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56"/>
          <w:szCs w:val="56"/>
        </w:rPr>
        <w:t xml:space="preserve">Reporting Module</w:t>
      </w:r>
    </w:p>
    <w:p>
      <w:pPr>
        <w:spacing w:after="40"/>
      </w:pPr>
      <w:r>
        <w:rPr>
          <w:color w:val="444444"/>
          <w:sz w:val="36"/>
          <w:szCs w:val="36"/>
        </w:rPr>
        <w:t xml:space="preserve">Design Requirements</w:t>
      </w:r>
    </w:p>
    <w:p>
      <w:pPr>
        <w:spacing w:after="40"/>
      </w:pPr>
      <w:r>
        <w:rPr>
          <w:color w:val="666666"/>
          <w:sz w:val="20"/>
          <w:szCs w:val="20"/>
        </w:rPr>
        <w:t xml:space="preserve">Derived from PRD-reporting-module-v1.pdf and PRD-reporting-module-v1-ANNEX.pdf (v1, 2026-09-08).</w:t>
      </w:r>
    </w:p>
    <w:p>
      <w:pPr>
        <w:pBdr>
          <w:bottom w:val="single" w:color="AAAAAA" w:sz="6" w:space="6"/>
        </w:pBdr>
        <w:spacing w:after="200"/>
      </w:pPr>
      <w:r>
        <w:rPr>
          <w:color w:val="666666"/>
          <w:sz w:val="20"/>
          <w:szCs w:val="20"/>
        </w:rPr>
        <w:t xml:space="preserve">Phase 1 reference. No design-system or Figma inspection has been performed — see the closing note of section 6.</w:t>
      </w:r>
    </w:p>
    <w:p>
      <w:pPr>
        <w:spacing w:after="120"/>
      </w:pPr>
      <w:r>
        <w:rPr>
          <w:b/>
          <w:bCs/>
          <w:color w:val="2E5C8A"/>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Overview</w:t>
      </w:r>
    </w:p>
    <w:p>
      <w:pPr>
        <w:spacing w:after="140"/>
        <w:jc w:val="left"/>
      </w:pPr>
      <w:r>
        <w:t xml:space="preserve">The Reporting Module turns a dashboard somebody already saved into a file that arrives by email on its own. A person picks a report, says which sites or devices it covers, picks a PDF or an Excel file, sets a repeating day and time, and lists the addresses it goes to. After that the platform builds the file and sends it, records every run, and stops on its own when the source disappears or the sender loses access.</w:t>
      </w:r>
    </w:p>
    <w:p>
      <w:pPr>
        <w:pStyle w:val="Heading2"/>
      </w:pPr>
      <w:r>
        <w:t xml:space="preserve">2. Objectives</w:t>
      </w:r>
    </w:p>
    <w:p>
      <w:pPr>
        <w:pStyle w:val="ListParagraph"/>
        <w:numPr>
          <w:ilvl w:val="0"/>
          <w:numId w:val="2"/>
        </w:numPr>
        <w:spacing w:after="60"/>
      </w:pPr>
      <w:r>
        <w:t xml:space="preserve">Centralize scheduled report delivery in one place per client account.</w:t>
      </w:r>
    </w:p>
    <w:p>
      <w:pPr>
        <w:pStyle w:val="ListParagraph"/>
        <w:numPr>
          <w:ilvl w:val="0"/>
          <w:numId w:val="2"/>
        </w:numPr>
        <w:spacing w:after="60"/>
      </w:pPr>
      <w:r>
        <w:t xml:space="preserve">Enable a saved dashboard to become a repeating report without rebuilding it.</w:t>
      </w:r>
    </w:p>
    <w:p>
      <w:pPr>
        <w:pStyle w:val="ListParagraph"/>
        <w:numPr>
          <w:ilvl w:val="0"/>
          <w:numId w:val="2"/>
        </w:numPr>
        <w:spacing w:after="60"/>
      </w:pPr>
      <w:r>
        <w:t xml:space="preserve">Support PDF and Excel output from the same report definition.</w:t>
      </w:r>
    </w:p>
    <w:p>
      <w:pPr>
        <w:pStyle w:val="ListParagraph"/>
        <w:numPr>
          <w:ilvl w:val="0"/>
          <w:numId w:val="2"/>
        </w:numPr>
        <w:spacing w:after="60"/>
      </w:pPr>
      <w:r>
        <w:t xml:space="preserve">Allow coverage to be narrowed to particular sites, particular devices, or the whole portfolio.</w:t>
      </w:r>
    </w:p>
    <w:p>
      <w:pPr>
        <w:pStyle w:val="ListParagraph"/>
        <w:numPr>
          <w:ilvl w:val="0"/>
          <w:numId w:val="2"/>
        </w:numPr>
        <w:spacing w:after="60"/>
      </w:pPr>
      <w:r>
        <w:t xml:space="preserve">Ensure every schedule resolves in a time zone stated on screen.</w:t>
      </w:r>
    </w:p>
    <w:p>
      <w:pPr>
        <w:pStyle w:val="ListParagraph"/>
        <w:numPr>
          <w:ilvl w:val="0"/>
          <w:numId w:val="2"/>
        </w:numPr>
        <w:spacing w:after="60"/>
      </w:pPr>
      <w:r>
        <w:t xml:space="preserve">Maintain a run history that records each delivery before it is sent.</w:t>
      </w:r>
    </w:p>
    <w:p>
      <w:pPr>
        <w:pStyle w:val="ListParagraph"/>
        <w:numPr>
          <w:ilvl w:val="0"/>
          <w:numId w:val="2"/>
        </w:numPr>
        <w:spacing w:after="60"/>
      </w:pPr>
      <w:r>
        <w:t xml:space="preserve">Make a failed run visible to the person who created it without turning the page into an incident view.</w:t>
      </w:r>
    </w:p>
    <w:p>
      <w:pPr>
        <w:pStyle w:val="ListParagraph"/>
        <w:numPr>
          <w:ilvl w:val="0"/>
          <w:numId w:val="2"/>
        </w:numPr>
        <w:spacing w:after="60"/>
      </w:pPr>
      <w:r>
        <w:t xml:space="preserve">Gate every action on a privilege rather than a role name.</w:t>
      </w:r>
    </w:p>
    <w:p>
      <w:pPr>
        <w:pStyle w:val="Heading2"/>
      </w:pPr>
      <w:r>
        <w:t xml:space="preserve">3. Target Users / Personas</w:t>
      </w:r>
    </w:p>
    <w:p>
      <w:pPr>
        <w:spacing w:after="140"/>
        <w:jc w:val="left"/>
      </w:pPr>
      <w:r>
        <w:t xml:space="preserve">The four roles below are the ones the software enforces, taken from the Admin Module. The PRD deliberately does not map them onto the eight commercial role names, and neither does this document.</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1625"/>
        <w:gridCol w:w="3249"/>
        <w:gridCol w:w="4151"/>
      </w:tblGrid>
      <w:tr>
        <w:trPr>
          <w:tblHeader/>
        </w:trPr>
        <w:tc>
          <w:tcPr>
            <w:tcW w:type="dxa" w:w="1625"/>
            <w:shd w:fill="E8E8F0" w:color="auto" w:val="clear"/>
            <w:tcMar>
              <w:top w:type="dxa" w:w="80"/>
              <w:left w:type="dxa" w:w="120"/>
              <w:bottom w:type="dxa" w:w="80"/>
              <w:right w:type="dxa" w:w="120"/>
            </w:tcMar>
          </w:tcPr>
          <w:p>
            <w:r>
              <w:rPr>
                <w:b/>
                <w:bCs/>
                <w:sz w:val="19"/>
                <w:szCs w:val="19"/>
              </w:rPr>
              <w:t xml:space="preserve">Persona</w:t>
            </w:r>
          </w:p>
        </w:tc>
        <w:tc>
          <w:tcPr>
            <w:tcW w:type="dxa" w:w="3249"/>
            <w:shd w:fill="E8E8F0" w:color="auto" w:val="clear"/>
            <w:tcMar>
              <w:top w:type="dxa" w:w="80"/>
              <w:left w:type="dxa" w:w="120"/>
              <w:bottom w:type="dxa" w:w="80"/>
              <w:right w:type="dxa" w:w="120"/>
            </w:tcMar>
          </w:tcPr>
          <w:p>
            <w:r>
              <w:rPr>
                <w:b/>
                <w:bCs/>
                <w:sz w:val="19"/>
                <w:szCs w:val="19"/>
              </w:rPr>
              <w:t xml:space="preserve">What they can see / access</w:t>
            </w:r>
          </w:p>
        </w:tc>
        <w:tc>
          <w:tcPr>
            <w:tcW w:type="dxa" w:w="4151"/>
            <w:shd w:fill="E8E8F0" w:color="auto" w:val="clear"/>
            <w:tcMar>
              <w:top w:type="dxa" w:w="80"/>
              <w:left w:type="dxa" w:w="120"/>
              <w:bottom w:type="dxa" w:w="80"/>
              <w:right w:type="dxa" w:w="120"/>
            </w:tcMar>
          </w:tcPr>
          <w:p>
            <w:r>
              <w:rPr>
                <w:b/>
                <w:bCs/>
                <w:sz w:val="19"/>
                <w:szCs w:val="19"/>
              </w:rPr>
              <w:t xml:space="preserve">What differs</w:t>
            </w:r>
          </w:p>
        </w:tc>
      </w:tr>
      <w:tr>
        <w:trPr>
          <w:tblHeader w:val="false"/>
        </w:trPr>
        <w:tc>
          <w:tcPr>
            <w:tcW w:type="dxa" w:w="1625"/>
            <w:tcMar>
              <w:top w:type="dxa" w:w="80"/>
              <w:left w:type="dxa" w:w="120"/>
              <w:bottom w:type="dxa" w:w="80"/>
              <w:right w:type="dxa" w:w="120"/>
            </w:tcMar>
          </w:tcPr>
          <w:p>
            <w:r>
              <w:rPr>
                <w:b/>
                <w:bCs/>
                <w:sz w:val="19"/>
                <w:szCs w:val="19"/>
              </w:rPr>
              <w:t xml:space="preserve">Owner</w:t>
            </w:r>
          </w:p>
        </w:tc>
        <w:tc>
          <w:tcPr>
            <w:tcW w:type="dxa" w:w="3249"/>
            <w:tcMar>
              <w:top w:type="dxa" w:w="80"/>
              <w:left w:type="dxa" w:w="120"/>
              <w:bottom w:type="dxa" w:w="80"/>
              <w:right w:type="dxa" w:w="120"/>
            </w:tcMar>
          </w:tcPr>
          <w:p>
            <w:r>
              <w:rPr>
                <w:sz w:val="19"/>
                <w:szCs w:val="19"/>
              </w:rPr>
              <w:t xml:space="preserve">All three report types. Own and others' shared reports. Run history for anything visible.</w:t>
            </w:r>
          </w:p>
        </w:tc>
        <w:tc>
          <w:tcPr>
            <w:tcW w:type="dxa" w:w="4151"/>
            <w:tcMar>
              <w:top w:type="dxa" w:w="80"/>
              <w:left w:type="dxa" w:w="120"/>
              <w:bottom w:type="dxa" w:w="80"/>
              <w:right w:type="dxa" w:w="120"/>
            </w:tcMar>
          </w:tcPr>
          <w:p>
            <w:r>
              <w:rPr>
                <w:sz w:val="19"/>
                <w:szCs w:val="19"/>
              </w:rPr>
              <w:t xml:space="preserve">May switch off a shared report somebody else created. May change a report's type. Outside-organization sending pending OPEN DECISION 7.</w:t>
            </w:r>
          </w:p>
        </w:tc>
      </w:tr>
      <w:tr>
        <w:trPr>
          <w:tblHeader w:val="false"/>
        </w:trPr>
        <w:tc>
          <w:tcPr>
            <w:tcW w:type="dxa" w:w="1625"/>
            <w:tcMar>
              <w:top w:type="dxa" w:w="80"/>
              <w:left w:type="dxa" w:w="120"/>
              <w:bottom w:type="dxa" w:w="80"/>
              <w:right w:type="dxa" w:w="120"/>
            </w:tcMar>
          </w:tcPr>
          <w:p>
            <w:r>
              <w:rPr>
                <w:b/>
                <w:bCs/>
                <w:sz w:val="19"/>
                <w:szCs w:val="19"/>
              </w:rPr>
              <w:t xml:space="preserve">Admin</w:t>
            </w:r>
          </w:p>
        </w:tc>
        <w:tc>
          <w:tcPr>
            <w:tcW w:type="dxa" w:w="3249"/>
            <w:tcMar>
              <w:top w:type="dxa" w:w="80"/>
              <w:left w:type="dxa" w:w="120"/>
              <w:bottom w:type="dxa" w:w="80"/>
              <w:right w:type="dxa" w:w="120"/>
            </w:tcMar>
          </w:tcPr>
          <w:p>
            <w:r>
              <w:rPr>
                <w:sz w:val="19"/>
                <w:szCs w:val="19"/>
              </w:rPr>
              <w:t xml:space="preserve">Same as Owner.</w:t>
            </w:r>
          </w:p>
        </w:tc>
        <w:tc>
          <w:tcPr>
            <w:tcW w:type="dxa" w:w="4151"/>
            <w:tcMar>
              <w:top w:type="dxa" w:w="80"/>
              <w:left w:type="dxa" w:w="120"/>
              <w:bottom w:type="dxa" w:w="80"/>
              <w:right w:type="dxa" w:w="120"/>
            </w:tcMar>
          </w:tcPr>
          <w:p>
            <w:r>
              <w:rPr>
                <w:sz w:val="19"/>
                <w:szCs w:val="19"/>
              </w:rPr>
              <w:t xml:space="preserve">Same as Owner.</w:t>
            </w:r>
          </w:p>
        </w:tc>
      </w:tr>
      <w:tr>
        <w:trPr>
          <w:tblHeader w:val="false"/>
        </w:trPr>
        <w:tc>
          <w:tcPr>
            <w:tcW w:type="dxa" w:w="1625"/>
            <w:tcMar>
              <w:top w:type="dxa" w:w="80"/>
              <w:left w:type="dxa" w:w="120"/>
              <w:bottom w:type="dxa" w:w="80"/>
              <w:right w:type="dxa" w:w="120"/>
            </w:tcMar>
          </w:tcPr>
          <w:p>
            <w:r>
              <w:rPr>
                <w:b/>
                <w:bCs/>
                <w:sz w:val="19"/>
                <w:szCs w:val="19"/>
              </w:rPr>
              <w:t xml:space="preserve">Engineer</w:t>
            </w:r>
          </w:p>
        </w:tc>
        <w:tc>
          <w:tcPr>
            <w:tcW w:type="dxa" w:w="3249"/>
            <w:tcMar>
              <w:top w:type="dxa" w:w="80"/>
              <w:left w:type="dxa" w:w="120"/>
              <w:bottom w:type="dxa" w:w="80"/>
              <w:right w:type="dxa" w:w="120"/>
            </w:tcMar>
          </w:tcPr>
          <w:p>
            <w:r>
              <w:rPr>
                <w:sz w:val="19"/>
                <w:szCs w:val="19"/>
              </w:rPr>
              <w:t xml:space="preserve">All three report types. Own reports; shared reports created by others are visible but not controllable.</w:t>
            </w:r>
          </w:p>
        </w:tc>
        <w:tc>
          <w:tcPr>
            <w:tcW w:type="dxa" w:w="4151"/>
            <w:tcMar>
              <w:top w:type="dxa" w:w="80"/>
              <w:left w:type="dxa" w:w="120"/>
              <w:bottom w:type="dxa" w:w="80"/>
              <w:right w:type="dxa" w:w="120"/>
            </w:tcMar>
          </w:tcPr>
          <w:p>
            <w:r>
              <w:rPr>
                <w:sz w:val="19"/>
                <w:szCs w:val="19"/>
              </w:rPr>
              <w:t xml:space="preserve">May create, share and schedule own reports. Cannot switch off another person's shared report — that control is hidden, not disabled.</w:t>
            </w:r>
          </w:p>
        </w:tc>
      </w:tr>
      <w:tr>
        <w:trPr>
          <w:tblHeader w:val="false"/>
        </w:trPr>
        <w:tc>
          <w:tcPr>
            <w:tcW w:type="dxa" w:w="1625"/>
            <w:tcMar>
              <w:top w:type="dxa" w:w="80"/>
              <w:left w:type="dxa" w:w="120"/>
              <w:bottom w:type="dxa" w:w="80"/>
              <w:right w:type="dxa" w:w="120"/>
            </w:tcMar>
          </w:tcPr>
          <w:p>
            <w:r>
              <w:rPr>
                <w:b/>
                <w:bCs/>
                <w:sz w:val="19"/>
                <w:szCs w:val="19"/>
              </w:rPr>
              <w:t xml:space="preserve">Technician</w:t>
            </w:r>
          </w:p>
        </w:tc>
        <w:tc>
          <w:tcPr>
            <w:tcW w:type="dxa" w:w="3249"/>
            <w:tcMar>
              <w:top w:type="dxa" w:w="80"/>
              <w:left w:type="dxa" w:w="120"/>
              <w:bottom w:type="dxa" w:w="80"/>
              <w:right w:type="dxa" w:w="120"/>
            </w:tcMar>
          </w:tcPr>
          <w:p>
            <w:r>
              <w:rPr>
                <w:sz w:val="19"/>
                <w:szCs w:val="19"/>
              </w:rPr>
              <w:t xml:space="preserve">Assigned sites only. Manages nobody.</w:t>
            </w:r>
          </w:p>
        </w:tc>
        <w:tc>
          <w:tcPr>
            <w:tcW w:type="dxa" w:w="4151"/>
            <w:tcMar>
              <w:top w:type="dxa" w:w="80"/>
              <w:left w:type="dxa" w:w="120"/>
              <w:bottom w:type="dxa" w:w="80"/>
              <w:right w:type="dxa" w:w="120"/>
            </w:tcMar>
          </w:tcPr>
          <w:p>
            <w:r>
              <w:rPr>
                <w:sz w:val="19"/>
                <w:szCs w:val="19"/>
              </w:rPr>
              <w:t xml:space="preserve">Cannot share, schedule, or switch off any report. Whether a Technician sees system reports, creates private reports, or reads run history is unanswered — OPEN DECISION 8. Design must hold for the case where all three are denied.</w:t>
            </w:r>
          </w:p>
        </w:tc>
      </w:tr>
    </w:tbl>
    <w:p>
      <w:pPr>
        <w:spacing w:after="160"/>
      </w:pPr>
      <w:r>
        <w:t xml:space="preserve"/>
      </w:r>
    </w:p>
    <w:p>
      <w:pPr>
        <w:spacing w:after="140"/>
        <w:jc w:val="left"/>
      </w:pPr>
      <w:r>
        <w:t xml:space="preserve">Three client teams — Asset Management, O&amp;M, and the client's own Technical Office — are where the need originates. Only Technician appears in both that vocabulary and the enforced list; no mapping is proposed, so they are not personas here.</w:t>
      </w:r>
    </w:p>
    <w:p>
      <w:pPr>
        <w:pStyle w:val="Heading2"/>
      </w:pPr>
      <w:r>
        <w:t xml:space="preserve">4. User Flows</w:t>
      </w:r>
    </w:p>
    <w:p>
      <w:pPr>
        <w:pStyle w:val="Heading3"/>
      </w:pPr>
      <w:r>
        <w:t xml:space="preserve">Common Flows</w:t>
      </w:r>
    </w:p>
    <w:p>
      <w:pPr>
        <w:spacing w:after="20" w:before="100"/>
      </w:pPr>
      <w:r>
        <w:rPr>
          <w:b/>
          <w:bCs/>
          <w:sz w:val="20"/>
          <w:szCs w:val="20"/>
        </w:rPr>
        <w:t xml:space="preserve">First Flow</w:t>
      </w:r>
    </w:p>
    <w:p>
      <w:pPr>
        <w:spacing w:after="80"/>
        <w:ind w:left="360"/>
      </w:pPr>
      <w:r>
        <w:rPr>
          <w:sz w:val="20"/>
          <w:szCs w:val="20"/>
        </w:rPr>
        <w:t xml:space="preserve">Open Reporting Setup Page → pick a report type tab → see that tab's list with its count badge → filter, search or page the list → open a report</w:t>
      </w:r>
    </w:p>
    <w:p>
      <w:pPr>
        <w:spacing w:after="20" w:before="100"/>
      </w:pPr>
      <w:r>
        <w:rPr>
          <w:b/>
          <w:bCs/>
          <w:sz w:val="20"/>
          <w:szCs w:val="20"/>
        </w:rPr>
        <w:t xml:space="preserve">Second Flow</w:t>
      </w:r>
    </w:p>
    <w:p>
      <w:pPr>
        <w:spacing w:after="80"/>
        <w:ind w:left="360"/>
      </w:pPr>
      <w:r>
        <w:rPr>
          <w:sz w:val="20"/>
          <w:szCs w:val="20"/>
        </w:rPr>
        <w:t xml:space="preserve">Open Report Editor → choose one saved dashboard as source → source name shows on screen → coverage options resolve as visibly pending → choose coverage kind → choose covered scopes</w:t>
      </w:r>
    </w:p>
    <w:p>
      <w:pPr>
        <w:spacing w:after="20" w:before="100"/>
      </w:pPr>
      <w:r>
        <w:rPr>
          <w:b/>
          <w:bCs/>
          <w:sz w:val="20"/>
          <w:szCs w:val="20"/>
        </w:rPr>
        <w:t xml:space="preserve">Third Flow</w:t>
      </w:r>
    </w:p>
    <w:p>
      <w:pPr>
        <w:spacing w:after="80"/>
        <w:ind w:left="360"/>
      </w:pPr>
      <w:r>
        <w:rPr>
          <w:sz w:val="20"/>
          <w:szCs w:val="20"/>
        </w:rPr>
        <w:t xml:space="preserve">In Report Editor → choose PDF or Excel → if PDF, choose diagrams and tables, diagrams only, or tables only → set the period</w:t>
      </w:r>
    </w:p>
    <w:p>
      <w:pPr>
        <w:spacing w:after="20" w:before="100"/>
      </w:pPr>
      <w:r>
        <w:rPr>
          <w:b/>
          <w:bCs/>
          <w:sz w:val="20"/>
          <w:szCs w:val="20"/>
        </w:rPr>
        <w:t xml:space="preserve">Fourth Flow</w:t>
      </w:r>
    </w:p>
    <w:p>
      <w:pPr>
        <w:spacing w:after="80"/>
        <w:ind w:left="360"/>
      </w:pPr>
      <w:r>
        <w:rPr>
          <w:sz w:val="20"/>
          <w:szCs w:val="20"/>
        </w:rPr>
        <w:t xml:space="preserve">In Report Editor → choose repeating or one-time → set start date → set time of day → read the declared time zone → choose repeat interval</w:t>
      </w:r>
    </w:p>
    <w:p>
      <w:pPr>
        <w:spacing w:after="20" w:before="100"/>
      </w:pPr>
      <w:r>
        <w:rPr>
          <w:b/>
          <w:bCs/>
          <w:sz w:val="20"/>
          <w:szCs w:val="20"/>
        </w:rPr>
        <w:t xml:space="preserve">Fifth Flow</w:t>
      </w:r>
    </w:p>
    <w:p>
      <w:pPr>
        <w:spacing w:after="80"/>
        <w:ind w:left="360"/>
      </w:pPr>
      <w:r>
        <w:rPr>
          <w:sz w:val="20"/>
          <w:szCs w:val="20"/>
        </w:rPr>
        <w:t xml:space="preserve">In Report Editor → add a recipient address → address shows as inside or outside the organization → repeat per address → switch active on</w:t>
      </w:r>
    </w:p>
    <w:p>
      <w:pPr>
        <w:spacing w:after="20" w:before="100"/>
      </w:pPr>
      <w:r>
        <w:rPr>
          <w:b/>
          <w:bCs/>
          <w:sz w:val="20"/>
          <w:szCs w:val="20"/>
        </w:rPr>
        <w:t xml:space="preserve">Sixth Flow</w:t>
      </w:r>
    </w:p>
    <w:p>
      <w:pPr>
        <w:spacing w:after="80"/>
        <w:ind w:left="360"/>
      </w:pPr>
      <w:r>
        <w:rPr>
          <w:sz w:val="20"/>
          <w:szCs w:val="20"/>
        </w:rPr>
        <w:t xml:space="preserve">Open a report → request generate once → one file produced → one delivery sent → one run recorded</w:t>
      </w:r>
    </w:p>
    <w:p>
      <w:pPr>
        <w:spacing w:after="20" w:before="100"/>
      </w:pPr>
      <w:r>
        <w:rPr>
          <w:b/>
          <w:bCs/>
          <w:sz w:val="20"/>
          <w:szCs w:val="20"/>
        </w:rPr>
        <w:t xml:space="preserve">Seventh Flow</w:t>
      </w:r>
    </w:p>
    <w:p>
      <w:pPr>
        <w:spacing w:after="80"/>
        <w:ind w:left="360"/>
      </w:pPr>
      <w:r>
        <w:rPr>
          <w:sz w:val="20"/>
          <w:szCs w:val="20"/>
        </w:rPr>
        <w:t xml:space="preserve">Open a dashboard → choose Make a Report from This → form opens with the source pre-chosen → complete the minimum → save</w:t>
      </w:r>
    </w:p>
    <w:p>
      <w:pPr>
        <w:spacing w:after="20" w:before="100"/>
      </w:pPr>
      <w:r>
        <w:rPr>
          <w:b/>
          <w:bCs/>
          <w:sz w:val="20"/>
          <w:szCs w:val="20"/>
        </w:rPr>
        <w:t xml:space="preserve">Eighth Flow</w:t>
      </w:r>
    </w:p>
    <w:p>
      <w:pPr>
        <w:spacing w:after="80"/>
        <w:ind w:left="360"/>
      </w:pPr>
      <w:r>
        <w:rPr>
          <w:sz w:val="20"/>
          <w:szCs w:val="20"/>
        </w:rPr>
        <w:t xml:space="preserve">Open a report → open Run History → runs listed newest first → read outcome, recipients as sent, and file reference</w:t>
      </w:r>
    </w:p>
    <w:p>
      <w:pPr>
        <w:spacing w:after="20" w:before="100"/>
      </w:pPr>
      <w:r>
        <w:rPr>
          <w:b/>
          <w:bCs/>
          <w:sz w:val="20"/>
          <w:szCs w:val="20"/>
        </w:rPr>
        <w:t xml:space="preserve">Ninth Flow</w:t>
      </w:r>
    </w:p>
    <w:p>
      <w:pPr>
        <w:spacing w:after="80"/>
        <w:ind w:left="360"/>
      </w:pPr>
      <w:r>
        <w:rPr>
          <w:sz w:val="20"/>
          <w:szCs w:val="20"/>
        </w:rPr>
        <w:t xml:space="preserve">Open Reporting Setup Page → find the report → switch active off → delivery stops, and switching on later does not backfill</w:t>
      </w:r>
    </w:p>
    <w:p>
      <w:pPr>
        <w:spacing w:after="20" w:before="100"/>
      </w:pPr>
      <w:r>
        <w:rPr>
          <w:b/>
          <w:bCs/>
          <w:sz w:val="20"/>
          <w:szCs w:val="20"/>
        </w:rPr>
        <w:t xml:space="preserve">Tenth Flow</w:t>
      </w:r>
    </w:p>
    <w:p>
      <w:pPr>
        <w:spacing w:after="80"/>
        <w:ind w:left="360"/>
      </w:pPr>
      <w:r>
        <w:rPr>
          <w:sz w:val="20"/>
          <w:szCs w:val="20"/>
        </w:rPr>
        <w:t xml:space="preserve">Schedule fires → authority resolved at the run → file rendered → delivery recorded → Report Delivery Email sent with attachment</w:t>
      </w:r>
    </w:p>
    <w:p>
      <w:pPr>
        <w:spacing w:after="20" w:before="100"/>
      </w:pPr>
      <w:r>
        <w:rPr>
          <w:b/>
          <w:bCs/>
          <w:sz w:val="20"/>
          <w:szCs w:val="20"/>
        </w:rPr>
        <w:t xml:space="preserve">Eleventh Flow</w:t>
      </w:r>
    </w:p>
    <w:p>
      <w:pPr>
        <w:spacing w:after="80"/>
        <w:ind w:left="360"/>
      </w:pPr>
      <w:r>
        <w:rPr>
          <w:sz w:val="20"/>
          <w:szCs w:val="20"/>
        </w:rPr>
        <w:t xml:space="preserve">Delete a source dashboard → Dashboard Deletion Impact Dialog names every dependent report and how many → confirm as a second deliberate action → those reports go inactive with the reason recorded</w:t>
      </w:r>
    </w:p>
    <w:p>
      <w:pPr>
        <w:pStyle w:val="Heading3"/>
      </w:pPr>
      <w:r>
        <w:t xml:space="preserve">Special Flows</w:t>
      </w:r>
    </w:p>
    <w:p>
      <w:pPr>
        <w:spacing w:after="140"/>
        <w:jc w:val="left"/>
      </w:pPr>
      <w:r>
        <w:rPr>
          <w:b/>
          <w:bCs/>
        </w:rPr>
        <w:t xml:space="preserve">Owner</w:t>
      </w:r>
      <w:r>
        <w:t xml:space="preserve"> Switch off a shared report created by somebody else, without finding its author. Change a report's type after creation.</w:t>
      </w:r>
    </w:p>
    <w:p>
      <w:pPr>
        <w:spacing w:after="140"/>
        <w:jc w:val="left"/>
      </w:pPr>
      <w:r>
        <w:rPr>
          <w:b/>
          <w:bCs/>
        </w:rPr>
        <w:t xml:space="preserve">Admin</w:t>
      </w:r>
      <w:r>
        <w:t xml:space="preserve"> Nothing distinct from Owner in this module.</w:t>
      </w:r>
    </w:p>
    <w:p>
      <w:pPr>
        <w:spacing w:after="140"/>
        <w:jc w:val="left"/>
      </w:pPr>
      <w:r>
        <w:rPr>
          <w:b/>
          <w:bCs/>
        </w:rPr>
        <w:t xml:space="preserve">Engineer</w:t>
      </w:r>
      <w:r>
        <w:t xml:space="preserve"> Create, share and schedule own reports. The switch-off control on another person's shared report is absent from the row entirely.</w:t>
      </w:r>
    </w:p>
    <w:p>
      <w:pPr>
        <w:spacing w:after="140"/>
        <w:jc w:val="left"/>
      </w:pPr>
      <w:r>
        <w:rPr>
          <w:b/>
          <w:bCs/>
        </w:rPr>
        <w:t xml:space="preserve">Technician</w:t>
      </w:r>
      <w:r>
        <w:t xml:space="preserve"> No sharing, no scheduling, no switching off. Every remaining surface is pending OPEN DECISION 8; where denied, the control is absent and the layout closes over it.</w:t>
      </w:r>
    </w:p>
    <w:p>
      <w:pPr>
        <w:pStyle w:val="Heading3"/>
      </w:pPr>
      <w:r>
        <w:t xml:space="preserve">Flow graph</w:t>
      </w:r>
    </w:p>
    <w:p>
      <w:pPr>
        <w:sectPr>
          <w:pgSz w:w="11905" w:h="16837" w:orient="portrait"/>
          <w:pgMar w:top="1440" w:right="1440" w:bottom="1440" w:left="1440" w:header="708" w:footer="708" w:gutter="0"/>
          <w:pgNumType/>
          <w:docGrid w:linePitch="360"/>
        </w:sectPr>
      </w:pPr>
    </w:p>
    <w:p>
      <w:pPr>
        <w:spacing w:after="120" w:before="120"/>
        <w:jc w:val="center"/>
      </w:pPr>
      <w:r>
        <w:drawing>
          <wp:inline distT="0" distB="0" distL="0" distR="0">
            <wp:extent cx="7458075"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458075" cy="5153025"/>
                    </a:xfrm>
                    <a:prstGeom prst="rect">
                      <a:avLst/>
                    </a:prstGeom>
                  </pic:spPr>
                </pic:pic>
              </a:graphicData>
            </a:graphic>
          </wp:inline>
        </w:drawing>
      </w:r>
    </w:p>
    <w:p>
      <w:pPr>
        <w:spacing w:after="240"/>
        <w:jc w:val="center"/>
      </w:pPr>
      <w:r>
        <w:rPr>
          <w:i/>
          <w:iCs/>
          <w:color w:val="555555"/>
          <w:sz w:val="18"/>
          <w:szCs w:val="18"/>
        </w:rPr>
        <w:t xml:space="preserve">Figure 1 — §4 user flows. Rectangles are §5 frames, stadiums are entry points, the diamond is a genuine branch; dashed edges are persona-specific.</w:t>
      </w:r>
    </w:p>
    <w:p>
      <w:pPr>
        <w:sectPr>
          <w:pgSz w:w="16837" w:h="11905" w:orient="landscape"/>
          <w:pgMar w:top="1440" w:right="1440" w:bottom="1440" w:left="1440" w:header="708" w:footer="708" w:gutter="0"/>
          <w:pgNumType/>
          <w:docGrid w:linePitch="360"/>
        </w:sectPr>
      </w:pPr>
    </w:p>
    <w:p>
      <w:pPr>
        <w:pStyle w:val="Heading2"/>
      </w:pPr>
      <w:r>
        <w:t xml:space="preserve">5. Pages / Frames</w:t>
      </w:r>
    </w:p>
    <w:p>
      <w:pPr>
        <w:spacing w:after="140"/>
        <w:jc w:val="left"/>
      </w:pPr>
      <w:r>
        <w:t xml:space="preserve">Requirement Pages / Frames will be:</w:t>
      </w:r>
    </w:p>
    <w:p>
      <w:pPr>
        <w:pStyle w:val="ListParagraph"/>
        <w:numPr>
          <w:ilvl w:val="0"/>
          <w:numId w:val="3"/>
        </w:numPr>
        <w:spacing w:after="40"/>
      </w:pPr>
      <w:r>
        <w:t xml:space="preserve">Reporting Setup Page</w:t>
      </w:r>
    </w:p>
    <w:p>
      <w:pPr>
        <w:pStyle w:val="ListParagraph"/>
        <w:numPr>
          <w:ilvl w:val="0"/>
          <w:numId w:val="3"/>
        </w:numPr>
        <w:spacing w:after="40"/>
      </w:pPr>
      <w:r>
        <w:t xml:space="preserve">Report Editor</w:t>
      </w:r>
    </w:p>
    <w:p>
      <w:pPr>
        <w:pStyle w:val="ListParagraph"/>
        <w:numPr>
          <w:ilvl w:val="0"/>
          <w:numId w:val="3"/>
        </w:numPr>
        <w:spacing w:after="40"/>
      </w:pPr>
      <w:r>
        <w:t xml:space="preserve">Run History</w:t>
      </w:r>
    </w:p>
    <w:p>
      <w:pPr>
        <w:pStyle w:val="ListParagraph"/>
        <w:numPr>
          <w:ilvl w:val="0"/>
          <w:numId w:val="3"/>
        </w:numPr>
        <w:spacing w:after="40"/>
      </w:pPr>
      <w:r>
        <w:t xml:space="preserve">Make a Report from This Dashboard</w:t>
      </w:r>
    </w:p>
    <w:p>
      <w:pPr>
        <w:pStyle w:val="ListParagraph"/>
        <w:numPr>
          <w:ilvl w:val="0"/>
          <w:numId w:val="3"/>
        </w:numPr>
        <w:spacing w:after="40"/>
      </w:pPr>
      <w:r>
        <w:t xml:space="preserve">Dashboard Deletion Impact Dialog</w:t>
      </w:r>
    </w:p>
    <w:p>
      <w:pPr>
        <w:pStyle w:val="ListParagraph"/>
        <w:numPr>
          <w:ilvl w:val="0"/>
          <w:numId w:val="3"/>
        </w:numPr>
        <w:spacing w:after="40"/>
      </w:pPr>
      <w:r>
        <w:t xml:space="preserve">Report PDF Output</w:t>
      </w:r>
    </w:p>
    <w:p>
      <w:pPr>
        <w:pStyle w:val="ListParagraph"/>
        <w:numPr>
          <w:ilvl w:val="0"/>
          <w:numId w:val="3"/>
        </w:numPr>
        <w:spacing w:after="40"/>
      </w:pPr>
      <w:r>
        <w:t xml:space="preserve">Report Excel Workbook Output</w:t>
      </w:r>
    </w:p>
    <w:p>
      <w:pPr>
        <w:pStyle w:val="ListParagraph"/>
        <w:numPr>
          <w:ilvl w:val="0"/>
          <w:numId w:val="3"/>
        </w:numPr>
        <w:spacing w:after="40"/>
      </w:pPr>
      <w:r>
        <w:t xml:space="preserve">Report Delivery Email</w:t>
      </w:r>
    </w:p>
    <w:p>
      <w:pPr>
        <w:spacing w:after="140"/>
        <w:jc w:val="left"/>
      </w:pPr>
      <w:r>
        <w:t xml:space="preserve">Frames 6–8 are surfaces nobody clicks and all three still need designing; the PRD names the email explicitly as needing a design rather than a default. Frame 5 sits inside a flow owned by the dashboard builders — see OPEN DECISION 9.</w:t>
      </w:r>
    </w:p>
    <w:p>
      <w:pPr>
        <w:pStyle w:val="Heading2"/>
      </w:pPr>
      <w:r>
        <w:t xml:space="preserve">6. Components per Page/Frame</w:t>
      </w:r>
    </w:p>
    <w:p>
      <w:pPr>
        <w:spacing w:after="140"/>
        <w:jc w:val="left"/>
      </w:pPr>
      <w:r>
        <w:rPr>
          <w:b/>
          <w:bCs/>
        </w:rPr>
        <w:t xml:space="preserve">Shared across frames, listed once:</w:t>
      </w:r>
      <w:r>
        <w:t xml:space="preserve"> Active Switch (1, 2), Pagination Control (1, 3), Run Outcome Indicator (1, 3), Empty State Block (1, 2, 3), Error State Block with Retry (1, 3), Skeleton Loader (1, 2, 3), Scaled Quantity Label (1, 2, 3, 6, 7), Report Name Field (2, 4), Coverage Kind Selector (2, 4), Output Format Selector (2, 4), Recipient List (2, 4).</w:t>
      </w:r>
    </w:p>
    <w:p>
      <w:pPr>
        <w:pStyle w:val="Heading3"/>
      </w:pPr>
      <w:r>
        <w:t xml:space="preserve">For the Reporting Setup Page frame we will need:</w:t>
      </w:r>
    </w:p>
    <w:p>
      <w:pPr>
        <w:pStyle w:val="ListParagraph"/>
        <w:numPr>
          <w:ilvl w:val="0"/>
          <w:numId w:val="3"/>
        </w:numPr>
        <w:spacing w:after="40"/>
      </w:pPr>
      <w:r>
        <w:t xml:space="preserve">Report Type Tab Bar, with exactly three tabs — system, my reports, shared</w:t>
      </w:r>
    </w:p>
    <w:p>
      <w:pPr>
        <w:pStyle w:val="ListParagraph"/>
        <w:numPr>
          <w:ilvl w:val="1"/>
          <w:numId w:val="3"/>
        </w:numPr>
        <w:spacing w:after="40"/>
      </w:pPr>
      <w:r>
        <w:t xml:space="preserve">Tab Count Badge</w:t>
      </w:r>
    </w:p>
    <w:p>
      <w:pPr>
        <w:pStyle w:val="ListParagraph"/>
        <w:numPr>
          <w:ilvl w:val="0"/>
          <w:numId w:val="3"/>
        </w:numPr>
        <w:spacing w:after="40"/>
      </w:pPr>
      <w:r>
        <w:t xml:space="preserve">Report List Table</w:t>
      </w:r>
    </w:p>
    <w:p>
      <w:pPr>
        <w:pStyle w:val="ListParagraph"/>
        <w:numPr>
          <w:ilvl w:val="1"/>
          <w:numId w:val="3"/>
        </w:numPr>
        <w:spacing w:after="40"/>
      </w:pPr>
      <w:r>
        <w:t xml:space="preserve">Table Column Chooser</w:t>
      </w:r>
    </w:p>
    <w:p>
      <w:pPr>
        <w:pStyle w:val="ListParagraph"/>
        <w:numPr>
          <w:ilvl w:val="1"/>
          <w:numId w:val="3"/>
        </w:numPr>
        <w:spacing w:after="40"/>
      </w:pPr>
      <w:r>
        <w:t xml:space="preserve">Table Filter Control</w:t>
      </w:r>
    </w:p>
    <w:p>
      <w:pPr>
        <w:pStyle w:val="ListParagraph"/>
        <w:numPr>
          <w:ilvl w:val="1"/>
          <w:numId w:val="3"/>
        </w:numPr>
        <w:spacing w:after="40"/>
      </w:pPr>
      <w:r>
        <w:t xml:space="preserve">Table Search Field</w:t>
      </w:r>
    </w:p>
    <w:p>
      <w:pPr>
        <w:pStyle w:val="ListParagraph"/>
        <w:numPr>
          <w:ilvl w:val="1"/>
          <w:numId w:val="3"/>
        </w:numPr>
        <w:spacing w:after="40"/>
      </w:pPr>
      <w:r>
        <w:t xml:space="preserve">Pagination Control</w:t>
      </w:r>
    </w:p>
    <w:p>
      <w:pPr>
        <w:pStyle w:val="ListParagraph"/>
        <w:numPr>
          <w:ilvl w:val="1"/>
          <w:numId w:val="3"/>
        </w:numPr>
        <w:spacing w:after="40"/>
      </w:pPr>
      <w:r>
        <w:t xml:space="preserve">Page Size Selector</w:t>
      </w:r>
    </w:p>
    <w:p>
      <w:pPr>
        <w:pStyle w:val="ListParagraph"/>
        <w:numPr>
          <w:ilvl w:val="1"/>
          <w:numId w:val="3"/>
        </w:numPr>
        <w:spacing w:after="40"/>
      </w:pPr>
      <w:r>
        <w:t xml:space="preserve">Result Count Label, reading "showing X of Y"</w:t>
      </w:r>
    </w:p>
    <w:p>
      <w:pPr>
        <w:pStyle w:val="ListParagraph"/>
        <w:numPr>
          <w:ilvl w:val="0"/>
          <w:numId w:val="3"/>
        </w:numPr>
        <w:spacing w:after="40"/>
      </w:pPr>
      <w:r>
        <w:t xml:space="preserve">Report List Row</w:t>
      </w:r>
    </w:p>
    <w:p>
      <w:pPr>
        <w:pStyle w:val="ListParagraph"/>
        <w:numPr>
          <w:ilvl w:val="1"/>
          <w:numId w:val="3"/>
        </w:numPr>
        <w:spacing w:after="40"/>
      </w:pPr>
      <w:r>
        <w:t xml:space="preserve">Report Name Label with Disambiguator, for two reports sharing a name</w:t>
      </w:r>
    </w:p>
    <w:p>
      <w:pPr>
        <w:pStyle w:val="ListParagraph"/>
        <w:numPr>
          <w:ilvl w:val="1"/>
          <w:numId w:val="3"/>
        </w:numPr>
        <w:spacing w:after="40"/>
      </w:pPr>
      <w:r>
        <w:t xml:space="preserve">Source Dashboard Label</w:t>
      </w:r>
    </w:p>
    <w:p>
      <w:pPr>
        <w:pStyle w:val="ListParagraph"/>
        <w:numPr>
          <w:ilvl w:val="1"/>
          <w:numId w:val="3"/>
        </w:numPr>
        <w:spacing w:after="40"/>
      </w:pPr>
      <w:r>
        <w:t xml:space="preserve">Active Switch</w:t>
      </w:r>
    </w:p>
    <w:p>
      <w:pPr>
        <w:pStyle w:val="ListParagraph"/>
        <w:numPr>
          <w:ilvl w:val="1"/>
          <w:numId w:val="3"/>
        </w:numPr>
        <w:spacing w:after="40"/>
      </w:pPr>
      <w:r>
        <w:t xml:space="preserve">Source Unavailable Marker</w:t>
      </w:r>
    </w:p>
    <w:p>
      <w:pPr>
        <w:pStyle w:val="ListParagraph"/>
        <w:numPr>
          <w:ilvl w:val="1"/>
          <w:numId w:val="3"/>
        </w:numPr>
        <w:spacing w:after="40"/>
      </w:pPr>
      <w:r>
        <w:t xml:space="preserve">Run Outcome Indicator</w:t>
      </w:r>
    </w:p>
    <w:p>
      <w:pPr>
        <w:pStyle w:val="ListParagraph"/>
        <w:numPr>
          <w:ilvl w:val="0"/>
          <w:numId w:val="3"/>
        </w:numPr>
        <w:spacing w:after="40"/>
      </w:pPr>
      <w:r>
        <w:t xml:space="preserve">Create Report Button</w:t>
      </w:r>
    </w:p>
    <w:p>
      <w:pPr>
        <w:pStyle w:val="ListParagraph"/>
        <w:numPr>
          <w:ilvl w:val="0"/>
          <w:numId w:val="3"/>
        </w:numPr>
        <w:spacing w:after="40"/>
      </w:pPr>
      <w:r>
        <w:t xml:space="preserve">Empty State Block, per tab, carrying the way to make one</w:t>
      </w:r>
    </w:p>
    <w:p>
      <w:pPr>
        <w:pStyle w:val="ListParagraph"/>
        <w:numPr>
          <w:ilvl w:val="0"/>
          <w:numId w:val="3"/>
        </w:numPr>
        <w:spacing w:after="40"/>
      </w:pPr>
      <w:r>
        <w:t xml:space="preserve">Error State Block with Retry, leaving the tabs usable</w:t>
      </w:r>
    </w:p>
    <w:p>
      <w:pPr>
        <w:pStyle w:val="ListParagraph"/>
        <w:numPr>
          <w:ilvl w:val="0"/>
          <w:numId w:val="3"/>
        </w:numPr>
        <w:spacing w:after="40"/>
      </w:pPr>
      <w:r>
        <w:t xml:space="preserve">Skeleton Loader, resolving tab shape and badges before the list</w:t>
      </w:r>
    </w:p>
    <w:p>
      <w:pPr>
        <w:pStyle w:val="Heading3"/>
      </w:pPr>
      <w:r>
        <w:t xml:space="preserve">For the Report Editor frame we will need:</w:t>
      </w:r>
    </w:p>
    <w:p>
      <w:pPr>
        <w:pStyle w:val="ListParagraph"/>
        <w:numPr>
          <w:ilvl w:val="0"/>
          <w:numId w:val="3"/>
        </w:numPr>
        <w:spacing w:after="40"/>
      </w:pPr>
      <w:r>
        <w:t xml:space="preserve">Report Name Field</w:t>
      </w:r>
    </w:p>
    <w:p>
      <w:pPr>
        <w:pStyle w:val="ListParagraph"/>
        <w:numPr>
          <w:ilvl w:val="0"/>
          <w:numId w:val="3"/>
        </w:numPr>
        <w:spacing w:after="40"/>
      </w:pPr>
      <w:r>
        <w:t xml:space="preserve">Report Description Field</w:t>
      </w:r>
    </w:p>
    <w:p>
      <w:pPr>
        <w:pStyle w:val="ListParagraph"/>
        <w:numPr>
          <w:ilvl w:val="0"/>
          <w:numId w:val="3"/>
        </w:numPr>
        <w:spacing w:after="40"/>
      </w:pPr>
      <w:r>
        <w:t xml:space="preserve">Source Dashboard Picker, single-select over saved dashboards</w:t>
      </w:r>
    </w:p>
    <w:p>
      <w:pPr>
        <w:pStyle w:val="ListParagraph"/>
        <w:numPr>
          <w:ilvl w:val="0"/>
          <w:numId w:val="3"/>
        </w:numPr>
        <w:spacing w:after="40"/>
      </w:pPr>
      <w:r>
        <w:t xml:space="preserve">Coverage Kind Selector, with exactly three options — sites, devices, portfolio</w:t>
      </w:r>
    </w:p>
    <w:p>
      <w:pPr>
        <w:pStyle w:val="ListParagraph"/>
        <w:numPr>
          <w:ilvl w:val="0"/>
          <w:numId w:val="3"/>
        </w:numPr>
        <w:spacing w:after="40"/>
      </w:pPr>
      <w:r>
        <w:t xml:space="preserve">Scope Picker, multi-select over sites or devices</w:t>
      </w:r>
    </w:p>
    <w:p>
      <w:pPr>
        <w:pStyle w:val="ListParagraph"/>
        <w:numPr>
          <w:ilvl w:val="0"/>
          <w:numId w:val="3"/>
        </w:numPr>
        <w:spacing w:after="40"/>
      </w:pPr>
      <w:r>
        <w:t xml:space="preserve">Period Field</w:t>
      </w:r>
    </w:p>
    <w:p>
      <w:pPr>
        <w:pStyle w:val="ListParagraph"/>
        <w:numPr>
          <w:ilvl w:val="0"/>
          <w:numId w:val="3"/>
        </w:numPr>
        <w:spacing w:after="40"/>
      </w:pPr>
      <w:r>
        <w:t xml:space="preserve">Output Format Selector, with exactly two options — PDF, Excel</w:t>
      </w:r>
    </w:p>
    <w:p>
      <w:pPr>
        <w:pStyle w:val="ListParagraph"/>
        <w:numPr>
          <w:ilvl w:val="0"/>
          <w:numId w:val="3"/>
        </w:numPr>
        <w:spacing w:after="40"/>
      </w:pPr>
      <w:r>
        <w:t xml:space="preserve">PDF Content Choice Selector, with exactly three options — diagrams and tables, diagrams only, tables only</w:t>
      </w:r>
    </w:p>
    <w:p>
      <w:pPr>
        <w:pStyle w:val="ListParagraph"/>
        <w:numPr>
          <w:ilvl w:val="0"/>
          <w:numId w:val="3"/>
        </w:numPr>
        <w:spacing w:after="40"/>
      </w:pPr>
      <w:r>
        <w:t xml:space="preserve">Schedule Kind Selector, with two options — repeating, one-time</w:t>
      </w:r>
    </w:p>
    <w:p>
      <w:pPr>
        <w:pStyle w:val="ListParagraph"/>
        <w:numPr>
          <w:ilvl w:val="0"/>
          <w:numId w:val="3"/>
        </w:numPr>
        <w:spacing w:after="40"/>
      </w:pPr>
      <w:r>
        <w:t xml:space="preserve">Date Picker</w:t>
      </w:r>
    </w:p>
    <w:p>
      <w:pPr>
        <w:pStyle w:val="ListParagraph"/>
        <w:numPr>
          <w:ilvl w:val="0"/>
          <w:numId w:val="3"/>
        </w:numPr>
        <w:spacing w:after="40"/>
      </w:pPr>
      <w:r>
        <w:t xml:space="preserve">Time Picker</w:t>
      </w:r>
    </w:p>
    <w:p>
      <w:pPr>
        <w:pStyle w:val="ListParagraph"/>
        <w:numPr>
          <w:ilvl w:val="0"/>
          <w:numId w:val="3"/>
        </w:numPr>
        <w:spacing w:after="40"/>
      </w:pPr>
      <w:r>
        <w:t xml:space="preserve">Time Zone Label</w:t>
      </w:r>
    </w:p>
    <w:p>
      <w:pPr>
        <w:pStyle w:val="ListParagraph"/>
        <w:numPr>
          <w:ilvl w:val="0"/>
          <w:numId w:val="3"/>
        </w:numPr>
        <w:spacing w:after="40"/>
      </w:pPr>
      <w:r>
        <w:t xml:space="preserve">Repeat Interval Selector</w:t>
      </w:r>
    </w:p>
    <w:p>
      <w:pPr>
        <w:pStyle w:val="ListParagraph"/>
        <w:numPr>
          <w:ilvl w:val="0"/>
          <w:numId w:val="3"/>
        </w:numPr>
        <w:spacing w:after="40"/>
      </w:pPr>
      <w:r>
        <w:t xml:space="preserve">Recipient List</w:t>
      </w:r>
    </w:p>
    <w:p>
      <w:pPr>
        <w:pStyle w:val="ListParagraph"/>
        <w:numPr>
          <w:ilvl w:val="1"/>
          <w:numId w:val="3"/>
        </w:numPr>
        <w:spacing w:after="40"/>
      </w:pPr>
      <w:r>
        <w:t xml:space="preserve">Recipient Row</w:t>
      </w:r>
    </w:p>
    <w:p>
      <w:pPr>
        <w:pStyle w:val="ListParagraph"/>
        <w:numPr>
          <w:ilvl w:val="1"/>
          <w:numId w:val="3"/>
        </w:numPr>
        <w:spacing w:after="40"/>
      </w:pPr>
      <w:r>
        <w:t xml:space="preserve">Recipient Address Field</w:t>
      </w:r>
    </w:p>
    <w:p>
      <w:pPr>
        <w:pStyle w:val="ListParagraph"/>
        <w:numPr>
          <w:ilvl w:val="1"/>
          <w:numId w:val="3"/>
        </w:numPr>
        <w:spacing w:after="40"/>
      </w:pPr>
      <w:r>
        <w:t xml:space="preserve">Inside or Outside Organization Marker</w:t>
      </w:r>
    </w:p>
    <w:p>
      <w:pPr>
        <w:pStyle w:val="ListParagraph"/>
        <w:numPr>
          <w:ilvl w:val="1"/>
          <w:numId w:val="3"/>
        </w:numPr>
        <w:spacing w:after="40"/>
      </w:pPr>
      <w:r>
        <w:t xml:space="preserve">Recipient Remove Control</w:t>
      </w:r>
    </w:p>
    <w:p>
      <w:pPr>
        <w:pStyle w:val="ListParagraph"/>
        <w:numPr>
          <w:ilvl w:val="0"/>
          <w:numId w:val="3"/>
        </w:numPr>
        <w:spacing w:after="40"/>
      </w:pPr>
      <w:r>
        <w:t xml:space="preserve">Active Switch, off by default on creation</w:t>
      </w:r>
    </w:p>
    <w:p>
      <w:pPr>
        <w:pStyle w:val="ListParagraph"/>
        <w:numPr>
          <w:ilvl w:val="0"/>
          <w:numId w:val="3"/>
        </w:numPr>
        <w:spacing w:after="40"/>
      </w:pPr>
      <w:r>
        <w:t xml:space="preserve">Generate Once Button</w:t>
      </w:r>
    </w:p>
    <w:p>
      <w:pPr>
        <w:pStyle w:val="ListParagraph"/>
        <w:numPr>
          <w:ilvl w:val="0"/>
          <w:numId w:val="3"/>
        </w:numPr>
        <w:spacing w:after="40"/>
      </w:pPr>
      <w:r>
        <w:t xml:space="preserve">Save Button</w:t>
      </w:r>
    </w:p>
    <w:p>
      <w:pPr>
        <w:pStyle w:val="ListParagraph"/>
        <w:numPr>
          <w:ilvl w:val="0"/>
          <w:numId w:val="3"/>
        </w:numPr>
        <w:spacing w:after="40"/>
      </w:pPr>
      <w:r>
        <w:t xml:space="preserve">Pending Field Indicator, for coverage options resolving after the source is chosen</w:t>
      </w:r>
    </w:p>
    <w:p>
      <w:pPr>
        <w:pStyle w:val="ListParagraph"/>
        <w:numPr>
          <w:ilvl w:val="0"/>
          <w:numId w:val="3"/>
        </w:numPr>
        <w:spacing w:after="40"/>
      </w:pPr>
      <w:r>
        <w:t xml:space="preserve">Partial Resolution Notice, naming what did not resolve</w:t>
      </w:r>
    </w:p>
    <w:p>
      <w:pPr>
        <w:pStyle w:val="ListParagraph"/>
        <w:numPr>
          <w:ilvl w:val="0"/>
          <w:numId w:val="3"/>
        </w:numPr>
        <w:spacing w:after="40"/>
      </w:pPr>
      <w:r>
        <w:t xml:space="preserve">Save Error Banner, preserving every entered value</w:t>
      </w:r>
    </w:p>
    <w:p>
      <w:pPr>
        <w:pStyle w:val="ListParagraph"/>
        <w:numPr>
          <w:ilvl w:val="0"/>
          <w:numId w:val="3"/>
        </w:numPr>
        <w:spacing w:after="40"/>
      </w:pPr>
      <w:r>
        <w:t xml:space="preserve">Empty State Block, showing the source picker first</w:t>
      </w:r>
    </w:p>
    <w:p>
      <w:pPr>
        <w:pStyle w:val="Heading3"/>
      </w:pPr>
      <w:r>
        <w:t xml:space="preserve">For the Run History frame we will need:</w:t>
      </w:r>
    </w:p>
    <w:p>
      <w:pPr>
        <w:pStyle w:val="ListParagraph"/>
        <w:numPr>
          <w:ilvl w:val="0"/>
          <w:numId w:val="3"/>
        </w:numPr>
        <w:spacing w:after="40"/>
      </w:pPr>
      <w:r>
        <w:t xml:space="preserve">Run History Table</w:t>
      </w:r>
    </w:p>
    <w:p>
      <w:pPr>
        <w:pStyle w:val="ListParagraph"/>
        <w:numPr>
          <w:ilvl w:val="1"/>
          <w:numId w:val="3"/>
        </w:numPr>
        <w:spacing w:after="40"/>
      </w:pPr>
      <w:r>
        <w:t xml:space="preserve">Pagination Control</w:t>
      </w:r>
    </w:p>
    <w:p>
      <w:pPr>
        <w:pStyle w:val="ListParagraph"/>
        <w:numPr>
          <w:ilvl w:val="0"/>
          <w:numId w:val="3"/>
        </w:numPr>
        <w:spacing w:after="40"/>
      </w:pPr>
      <w:r>
        <w:t xml:space="preserve">Run History Row</w:t>
      </w:r>
    </w:p>
    <w:p>
      <w:pPr>
        <w:pStyle w:val="ListParagraph"/>
        <w:numPr>
          <w:ilvl w:val="1"/>
          <w:numId w:val="3"/>
        </w:numPr>
        <w:spacing w:after="40"/>
      </w:pPr>
      <w:r>
        <w:t xml:space="preserve">Run Timestamp</w:t>
      </w:r>
    </w:p>
    <w:p>
      <w:pPr>
        <w:pStyle w:val="ListParagraph"/>
        <w:numPr>
          <w:ilvl w:val="1"/>
          <w:numId w:val="3"/>
        </w:numPr>
        <w:spacing w:after="40"/>
      </w:pPr>
      <w:r>
        <w:t xml:space="preserve">Resolved Coverage Label</w:t>
      </w:r>
    </w:p>
    <w:p>
      <w:pPr>
        <w:pStyle w:val="ListParagraph"/>
        <w:numPr>
          <w:ilvl w:val="1"/>
          <w:numId w:val="3"/>
        </w:numPr>
        <w:spacing w:after="40"/>
      </w:pPr>
      <w:r>
        <w:t xml:space="preserve">Resolved Authority Label</w:t>
      </w:r>
    </w:p>
    <w:p>
      <w:pPr>
        <w:pStyle w:val="ListParagraph"/>
        <w:numPr>
          <w:ilvl w:val="1"/>
          <w:numId w:val="3"/>
        </w:numPr>
        <w:spacing w:after="40"/>
      </w:pPr>
      <w:r>
        <w:t xml:space="preserve">File Reference Link</w:t>
      </w:r>
    </w:p>
    <w:p>
      <w:pPr>
        <w:pStyle w:val="ListParagraph"/>
        <w:numPr>
          <w:ilvl w:val="1"/>
          <w:numId w:val="3"/>
        </w:numPr>
        <w:spacing w:after="40"/>
      </w:pPr>
      <w:r>
        <w:t xml:space="preserve">Recipients Sent List</w:t>
      </w:r>
    </w:p>
    <w:p>
      <w:pPr>
        <w:pStyle w:val="ListParagraph"/>
        <w:numPr>
          <w:ilvl w:val="1"/>
          <w:numId w:val="3"/>
        </w:numPr>
        <w:spacing w:after="40"/>
      </w:pPr>
      <w:r>
        <w:t xml:space="preserve">Run Outcome Indicator</w:t>
      </w:r>
    </w:p>
    <w:p>
      <w:pPr>
        <w:pStyle w:val="ListParagraph"/>
        <w:numPr>
          <w:ilvl w:val="1"/>
          <w:numId w:val="3"/>
        </w:numPr>
        <w:spacing w:after="40"/>
      </w:pPr>
      <w:r>
        <w:t xml:space="preserve">Attempt Number Label</w:t>
      </w:r>
    </w:p>
    <w:p>
      <w:pPr>
        <w:pStyle w:val="ListParagraph"/>
        <w:numPr>
          <w:ilvl w:val="1"/>
          <w:numId w:val="3"/>
        </w:numPr>
        <w:spacing w:after="40"/>
      </w:pPr>
      <w:r>
        <w:t xml:space="preserve">Running Indicator</w:t>
      </w:r>
    </w:p>
    <w:p>
      <w:pPr>
        <w:pStyle w:val="ListParagraph"/>
        <w:numPr>
          <w:ilvl w:val="0"/>
          <w:numId w:val="3"/>
        </w:numPr>
        <w:spacing w:after="40"/>
      </w:pPr>
      <w:r>
        <w:t xml:space="preserve">Empty State Block, saying the report has never run</w:t>
      </w:r>
    </w:p>
    <w:p>
      <w:pPr>
        <w:pStyle w:val="ListParagraph"/>
        <w:numPr>
          <w:ilvl w:val="0"/>
          <w:numId w:val="3"/>
        </w:numPr>
        <w:spacing w:after="40"/>
      </w:pPr>
      <w:r>
        <w:t xml:space="preserve">Error State Block with Retry, not blocking the report itself</w:t>
      </w:r>
    </w:p>
    <w:p>
      <w:pPr>
        <w:pStyle w:val="Heading3"/>
      </w:pPr>
      <w:r>
        <w:t xml:space="preserve">For the Make a Report from This Dashboard frame we will need:</w:t>
      </w:r>
    </w:p>
    <w:p>
      <w:pPr>
        <w:pStyle w:val="ListParagraph"/>
        <w:numPr>
          <w:ilvl w:val="0"/>
          <w:numId w:val="3"/>
        </w:numPr>
        <w:spacing w:after="40"/>
      </w:pPr>
      <w:r>
        <w:t xml:space="preserve">Make Report Action, placed on a dashboard</w:t>
      </w:r>
    </w:p>
    <w:p>
      <w:pPr>
        <w:pStyle w:val="ListParagraph"/>
        <w:numPr>
          <w:ilvl w:val="0"/>
          <w:numId w:val="3"/>
        </w:numPr>
        <w:spacing w:after="40"/>
      </w:pPr>
      <w:r>
        <w:t xml:space="preserve">Short Form Container, with the source pre-chosen</w:t>
      </w:r>
    </w:p>
    <w:p>
      <w:pPr>
        <w:pStyle w:val="ListParagraph"/>
        <w:numPr>
          <w:ilvl w:val="1"/>
          <w:numId w:val="3"/>
        </w:numPr>
        <w:spacing w:after="40"/>
      </w:pPr>
      <w:r>
        <w:t xml:space="preserve">Report Name Field</w:t>
      </w:r>
    </w:p>
    <w:p>
      <w:pPr>
        <w:pStyle w:val="ListParagraph"/>
        <w:numPr>
          <w:ilvl w:val="1"/>
          <w:numId w:val="3"/>
        </w:numPr>
        <w:spacing w:after="40"/>
      </w:pPr>
      <w:r>
        <w:t xml:space="preserve">Coverage Kind Selector</w:t>
      </w:r>
    </w:p>
    <w:p>
      <w:pPr>
        <w:pStyle w:val="ListParagraph"/>
        <w:numPr>
          <w:ilvl w:val="1"/>
          <w:numId w:val="3"/>
        </w:numPr>
        <w:spacing w:after="40"/>
      </w:pPr>
      <w:r>
        <w:t xml:space="preserve">Output Format Selector</w:t>
      </w:r>
    </w:p>
    <w:p>
      <w:pPr>
        <w:pStyle w:val="ListParagraph"/>
        <w:numPr>
          <w:ilvl w:val="1"/>
          <w:numId w:val="3"/>
        </w:numPr>
        <w:spacing w:after="40"/>
      </w:pPr>
      <w:r>
        <w:t xml:space="preserve">Recipient List</w:t>
      </w:r>
    </w:p>
    <w:p>
      <w:pPr>
        <w:pStyle w:val="ListParagraph"/>
        <w:numPr>
          <w:ilvl w:val="0"/>
          <w:numId w:val="3"/>
        </w:numPr>
        <w:spacing w:after="40"/>
      </w:pPr>
      <w:r>
        <w:t xml:space="preserve">Inline Loading Indicator</w:t>
      </w:r>
    </w:p>
    <w:p>
      <w:pPr>
        <w:pStyle w:val="ListParagraph"/>
        <w:numPr>
          <w:ilvl w:val="0"/>
          <w:numId w:val="3"/>
        </w:numPr>
        <w:spacing w:after="40"/>
      </w:pPr>
      <w:r>
        <w:t xml:space="preserve">Setup Page Fallback Link</w:t>
      </w:r>
    </w:p>
    <w:p>
      <w:pPr>
        <w:pStyle w:val="Heading3"/>
      </w:pPr>
      <w:r>
        <w:t xml:space="preserve">For the Dashboard Deletion Impact Dialog frame we will need:</w:t>
      </w:r>
    </w:p>
    <w:p>
      <w:pPr>
        <w:pStyle w:val="ListParagraph"/>
        <w:numPr>
          <w:ilvl w:val="0"/>
          <w:numId w:val="3"/>
        </w:numPr>
        <w:spacing w:after="40"/>
      </w:pPr>
      <w:r>
        <w:t xml:space="preserve">Dependent Report Count Label</w:t>
      </w:r>
    </w:p>
    <w:p>
      <w:pPr>
        <w:pStyle w:val="ListParagraph"/>
        <w:numPr>
          <w:ilvl w:val="0"/>
          <w:numId w:val="3"/>
        </w:numPr>
        <w:spacing w:after="40"/>
      </w:pPr>
      <w:r>
        <w:t xml:space="preserve">Dependent Report List</w:t>
      </w:r>
    </w:p>
    <w:p>
      <w:pPr>
        <w:pStyle w:val="ListParagraph"/>
        <w:numPr>
          <w:ilvl w:val="0"/>
          <w:numId w:val="3"/>
        </w:numPr>
        <w:spacing w:after="40"/>
      </w:pPr>
      <w:r>
        <w:t xml:space="preserve">Second Confirmation Control</w:t>
      </w:r>
    </w:p>
    <w:p>
      <w:pPr>
        <w:pStyle w:val="ListParagraph"/>
        <w:numPr>
          <w:ilvl w:val="0"/>
          <w:numId w:val="3"/>
        </w:numPr>
        <w:spacing w:after="40"/>
      </w:pPr>
      <w:r>
        <w:t xml:space="preserve">Cancel Control</w:t>
      </w:r>
    </w:p>
    <w:p>
      <w:pPr>
        <w:pStyle w:val="Heading3"/>
      </w:pPr>
      <w:r>
        <w:t xml:space="preserve">For the Report PDF Output frame we will need:</w:t>
      </w:r>
    </w:p>
    <w:p>
      <w:pPr>
        <w:pStyle w:val="ListParagraph"/>
        <w:numPr>
          <w:ilvl w:val="0"/>
          <w:numId w:val="3"/>
        </w:numPr>
        <w:spacing w:after="40"/>
      </w:pPr>
      <w:r>
        <w:t xml:space="preserve">PDF Header Block</w:t>
      </w:r>
    </w:p>
    <w:p>
      <w:pPr>
        <w:pStyle w:val="ListParagraph"/>
        <w:numPr>
          <w:ilvl w:val="1"/>
          <w:numId w:val="3"/>
        </w:numPr>
        <w:spacing w:after="40"/>
      </w:pPr>
      <w:r>
        <w:t xml:space="preserve">Report Name</w:t>
      </w:r>
    </w:p>
    <w:p>
      <w:pPr>
        <w:pStyle w:val="ListParagraph"/>
        <w:numPr>
          <w:ilvl w:val="1"/>
          <w:numId w:val="3"/>
        </w:numPr>
        <w:spacing w:after="40"/>
      </w:pPr>
      <w:r>
        <w:t xml:space="preserve">Source Dashboard Name</w:t>
      </w:r>
    </w:p>
    <w:p>
      <w:pPr>
        <w:pStyle w:val="ListParagraph"/>
        <w:numPr>
          <w:ilvl w:val="1"/>
          <w:numId w:val="3"/>
        </w:numPr>
        <w:spacing w:after="40"/>
      </w:pPr>
      <w:r>
        <w:t xml:space="preserve">Declared Authority Name</w:t>
      </w:r>
    </w:p>
    <w:p>
      <w:pPr>
        <w:pStyle w:val="ListParagraph"/>
        <w:numPr>
          <w:ilvl w:val="1"/>
          <w:numId w:val="3"/>
        </w:numPr>
        <w:spacing w:after="40"/>
      </w:pPr>
      <w:r>
        <w:t xml:space="preserve">Period Covered</w:t>
      </w:r>
    </w:p>
    <w:p>
      <w:pPr>
        <w:pStyle w:val="ListParagraph"/>
        <w:numPr>
          <w:ilvl w:val="1"/>
          <w:numId w:val="3"/>
        </w:numPr>
        <w:spacing w:after="40"/>
      </w:pPr>
      <w:r>
        <w:t xml:space="preserve">Source Last-Changed Time</w:t>
      </w:r>
    </w:p>
    <w:p>
      <w:pPr>
        <w:pStyle w:val="ListParagraph"/>
        <w:numPr>
          <w:ilvl w:val="0"/>
          <w:numId w:val="3"/>
        </w:numPr>
        <w:spacing w:after="40"/>
      </w:pPr>
      <w:r>
        <w:t xml:space="preserve">PDF Diagram Panel</w:t>
      </w:r>
    </w:p>
    <w:p>
      <w:pPr>
        <w:pStyle w:val="ListParagraph"/>
        <w:numPr>
          <w:ilvl w:val="0"/>
          <w:numId w:val="3"/>
        </w:numPr>
        <w:spacing w:after="40"/>
      </w:pPr>
      <w:r>
        <w:t xml:space="preserve">PDF Table Panel</w:t>
      </w:r>
    </w:p>
    <w:p>
      <w:pPr>
        <w:pStyle w:val="ListParagraph"/>
        <w:numPr>
          <w:ilvl w:val="0"/>
          <w:numId w:val="3"/>
        </w:numPr>
        <w:spacing w:after="40"/>
      </w:pPr>
      <w:r>
        <w:t xml:space="preserve">PDF No Readings Notice</w:t>
      </w:r>
    </w:p>
    <w:p>
      <w:pPr>
        <w:pStyle w:val="ListParagraph"/>
        <w:numPr>
          <w:ilvl w:val="0"/>
          <w:numId w:val="3"/>
        </w:numPr>
        <w:spacing w:after="40"/>
      </w:pPr>
      <w:r>
        <w:t xml:space="preserve">PDF Unrendered Panel Placeholder</w:t>
      </w:r>
    </w:p>
    <w:p>
      <w:pPr>
        <w:pStyle w:val="ListParagraph"/>
        <w:numPr>
          <w:ilvl w:val="0"/>
          <w:numId w:val="3"/>
        </w:numPr>
        <w:spacing w:after="40"/>
      </w:pPr>
      <w:r>
        <w:t xml:space="preserve">Scaled Quantity Label</w:t>
      </w:r>
    </w:p>
    <w:p>
      <w:pPr>
        <w:pStyle w:val="ListParagraph"/>
        <w:numPr>
          <w:ilvl w:val="0"/>
          <w:numId w:val="3"/>
        </w:numPr>
        <w:spacing w:after="40"/>
      </w:pPr>
      <w:r>
        <w:t xml:space="preserve">PDF Footer Block</w:t>
      </w:r>
    </w:p>
    <w:p>
      <w:pPr>
        <w:pStyle w:val="Heading3"/>
      </w:pPr>
      <w:r>
        <w:t xml:space="preserve">For the Report Excel Workbook Output frame we will need:</w:t>
      </w:r>
    </w:p>
    <w:p>
      <w:pPr>
        <w:pStyle w:val="ListParagraph"/>
        <w:numPr>
          <w:ilvl w:val="0"/>
          <w:numId w:val="3"/>
        </w:numPr>
        <w:spacing w:after="40"/>
      </w:pPr>
      <w:r>
        <w:t xml:space="preserve">Excel Cover Sheet</w:t>
      </w:r>
    </w:p>
    <w:p>
      <w:pPr>
        <w:pStyle w:val="ListParagraph"/>
        <w:numPr>
          <w:ilvl w:val="0"/>
          <w:numId w:val="3"/>
        </w:numPr>
        <w:spacing w:after="40"/>
      </w:pPr>
      <w:r>
        <w:t xml:space="preserve">Excel Panel Sheet, one per dashboard panel</w:t>
      </w:r>
    </w:p>
    <w:p>
      <w:pPr>
        <w:pStyle w:val="ListParagraph"/>
        <w:numPr>
          <w:ilvl w:val="0"/>
          <w:numId w:val="3"/>
        </w:numPr>
        <w:spacing w:after="40"/>
      </w:pPr>
      <w:r>
        <w:t xml:space="preserve">Excel Chart Values Sheet, carrying the values behind a diagram</w:t>
      </w:r>
    </w:p>
    <w:p>
      <w:pPr>
        <w:pStyle w:val="ListParagraph"/>
        <w:numPr>
          <w:ilvl w:val="0"/>
          <w:numId w:val="3"/>
        </w:numPr>
        <w:spacing w:after="40"/>
      </w:pPr>
      <w:r>
        <w:t xml:space="preserve">Excel No Readings Sheet</w:t>
      </w:r>
    </w:p>
    <w:p>
      <w:pPr>
        <w:pStyle w:val="ListParagraph"/>
        <w:numPr>
          <w:ilvl w:val="0"/>
          <w:numId w:val="3"/>
        </w:numPr>
        <w:spacing w:after="40"/>
      </w:pPr>
      <w:r>
        <w:t xml:space="preserve">Excel Unresolved Panel Sheet</w:t>
      </w:r>
    </w:p>
    <w:p>
      <w:pPr>
        <w:pStyle w:val="ListParagraph"/>
        <w:numPr>
          <w:ilvl w:val="0"/>
          <w:numId w:val="3"/>
        </w:numPr>
        <w:spacing w:after="40"/>
      </w:pPr>
      <w:r>
        <w:t xml:space="preserve">Scaled Quantity Label</w:t>
      </w:r>
    </w:p>
    <w:p>
      <w:pPr>
        <w:pStyle w:val="Heading3"/>
      </w:pPr>
      <w:r>
        <w:t xml:space="preserve">For the Report Delivery Email frame we will need:</w:t>
      </w:r>
    </w:p>
    <w:p>
      <w:pPr>
        <w:pStyle w:val="ListParagraph"/>
        <w:numPr>
          <w:ilvl w:val="0"/>
          <w:numId w:val="3"/>
        </w:numPr>
        <w:spacing w:after="40"/>
      </w:pPr>
      <w:r>
        <w:t xml:space="preserve">Email Subject Line</w:t>
      </w:r>
    </w:p>
    <w:p>
      <w:pPr>
        <w:pStyle w:val="ListParagraph"/>
        <w:numPr>
          <w:ilvl w:val="0"/>
          <w:numId w:val="3"/>
        </w:numPr>
        <w:spacing w:after="40"/>
      </w:pPr>
      <w:r>
        <w:t xml:space="preserve">Email Body Block, naming the report, its period and its source dashboard</w:t>
      </w:r>
    </w:p>
    <w:p>
      <w:pPr>
        <w:pStyle w:val="ListParagraph"/>
        <w:numPr>
          <w:ilvl w:val="0"/>
          <w:numId w:val="3"/>
        </w:numPr>
        <w:spacing w:after="40"/>
      </w:pPr>
      <w:r>
        <w:t xml:space="preserve">Email Attachment Block</w:t>
      </w:r>
    </w:p>
    <w:p>
      <w:pPr>
        <w:pStyle w:val="ListParagraph"/>
        <w:numPr>
          <w:ilvl w:val="0"/>
          <w:numId w:val="3"/>
        </w:numPr>
        <w:spacing w:after="40"/>
      </w:pPr>
      <w:r>
        <w:t xml:space="preserve">Email Footer Block</w:t>
      </w:r>
    </w:p>
    <w:p>
      <w:pPr>
        <w:pStyle w:val="Heading3"/>
      </w:pPr>
      <w:r>
        <w:t xml:space="preserve">Page–component graph</w:t>
      </w:r>
    </w:p>
    <w:p>
      <w:pPr>
        <w:spacing w:after="140"/>
        <w:jc w:val="left"/>
      </w:pPr>
      <w:r>
        <w:t xml:space="preserve">Split into four graphs, one per frame group: as a single graph the eight frames and their seventy components lay out at a 16:1 aspect ratio in which no label is readable, so the split is for legibility rather than meaning. A component used by more than one frame carries every frame that uses it in its label, so cross-frame sharing stays stated wherever a split separates it from one of its parents.</w:t>
      </w:r>
    </w:p>
    <w:p>
      <w:pPr>
        <w:spacing w:after="140"/>
        <w:jc w:val="left"/>
      </w:pPr>
      <w:r>
        <w:rPr>
          <w:b/>
          <w:bCs/>
        </w:rPr>
        <w:t xml:space="preserve">Graph 1 of 4 — Reporting Setup Page.</w:t>
      </w:r>
    </w:p>
    <w:p>
      <w:pPr>
        <w:spacing w:after="120" w:before="120"/>
        <w:jc w:val="center"/>
      </w:pPr>
      <w:r>
        <w:drawing>
          <wp:inline distT="0" distB="0" distL="0" distR="0">
            <wp:extent cx="50292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8001000"/>
                    </a:xfrm>
                    <a:prstGeom prst="rect">
                      <a:avLst/>
                    </a:prstGeom>
                  </pic:spPr>
                </pic:pic>
              </a:graphicData>
            </a:graphic>
          </wp:inline>
        </w:drawing>
      </w:r>
    </w:p>
    <w:p>
      <w:pPr>
        <w:spacing w:after="240"/>
        <w:jc w:val="center"/>
      </w:pPr>
      <w:r>
        <w:rPr>
          <w:i/>
          <w:iCs/>
          <w:color w:val="555555"/>
          <w:sz w:val="18"/>
          <w:szCs w:val="18"/>
        </w:rPr>
        <w:t xml:space="preserve">Figure 2 — §6 components of the Reporting Setup Page.</w:t>
      </w:r>
    </w:p>
    <w:p>
      <w:pPr>
        <w:spacing w:after="140"/>
        <w:jc w:val="left"/>
      </w:pPr>
      <w:r>
        <w:rPr>
          <w:b/>
          <w:bCs/>
        </w:rPr>
        <w:t xml:space="preserve">Graph 2 of 4 — Report Editor.</w:t>
      </w:r>
    </w:p>
    <w:p>
      <w:pPr>
        <w:spacing w:after="120" w:before="120"/>
        <w:jc w:val="center"/>
      </w:pPr>
      <w:r>
        <w:drawing>
          <wp:inline distT="0" distB="0" distL="0" distR="0">
            <wp:extent cx="3476625"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76625" cy="8001000"/>
                    </a:xfrm>
                    <a:prstGeom prst="rect">
                      <a:avLst/>
                    </a:prstGeom>
                  </pic:spPr>
                </pic:pic>
              </a:graphicData>
            </a:graphic>
          </wp:inline>
        </w:drawing>
      </w:r>
    </w:p>
    <w:p>
      <w:pPr>
        <w:spacing w:after="240"/>
        <w:jc w:val="center"/>
      </w:pPr>
      <w:r>
        <w:rPr>
          <w:i/>
          <w:iCs/>
          <w:color w:val="555555"/>
          <w:sz w:val="18"/>
          <w:szCs w:val="18"/>
        </w:rPr>
        <w:t xml:space="preserve">Figure 3 — §6 components of the Report Editor.</w:t>
      </w:r>
    </w:p>
    <w:p>
      <w:pPr>
        <w:spacing w:after="140"/>
        <w:jc w:val="left"/>
      </w:pPr>
      <w:r>
        <w:rPr>
          <w:b/>
          <w:bCs/>
        </w:rPr>
        <w:t xml:space="preserve">Graph 3 of 4 — Run History, Make a Report from This Dashboard, Dashboard Deletion Impact Dialog.</w:t>
      </w:r>
    </w:p>
    <w:p>
      <w:pPr>
        <w:spacing w:after="120" w:before="120"/>
        <w:jc w:val="center"/>
      </w:pPr>
      <w:r>
        <w:drawing>
          <wp:inline distT="0" distB="0" distL="0" distR="0">
            <wp:extent cx="57245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7239000"/>
                    </a:xfrm>
                    <a:prstGeom prst="rect">
                      <a:avLst/>
                    </a:prstGeom>
                  </pic:spPr>
                </pic:pic>
              </a:graphicData>
            </a:graphic>
          </wp:inline>
        </w:drawing>
      </w:r>
    </w:p>
    <w:p>
      <w:pPr>
        <w:spacing w:after="240"/>
        <w:jc w:val="center"/>
      </w:pPr>
      <w:r>
        <w:rPr>
          <w:i/>
          <w:iCs/>
          <w:color w:val="555555"/>
          <w:sz w:val="18"/>
          <w:szCs w:val="18"/>
        </w:rPr>
        <w:t xml:space="preserve">Figure 4 — §6 components of Run History, Make a Report from This Dashboard, and the Dashboard Deletion Impact Dialog.</w:t>
      </w:r>
    </w:p>
    <w:p>
      <w:pPr>
        <w:spacing w:after="140"/>
        <w:jc w:val="left"/>
      </w:pPr>
      <w:r>
        <w:rPr>
          <w:b/>
          <w:bCs/>
        </w:rPr>
        <w:t xml:space="preserve">Graph 4 of 4 — Report PDF Output, Report Excel Workbook Output, Report Delivery Email.</w:t>
      </w:r>
    </w:p>
    <w:p>
      <w:pPr>
        <w:spacing w:after="120" w:before="120"/>
        <w:jc w:val="center"/>
      </w:pPr>
      <w:r>
        <w:drawing>
          <wp:inline distT="0" distB="0" distL="0" distR="0">
            <wp:extent cx="3914775"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14775" cy="8001000"/>
                    </a:xfrm>
                    <a:prstGeom prst="rect">
                      <a:avLst/>
                    </a:prstGeom>
                  </pic:spPr>
                </pic:pic>
              </a:graphicData>
            </a:graphic>
          </wp:inline>
        </w:drawing>
      </w:r>
    </w:p>
    <w:p>
      <w:pPr>
        <w:spacing w:after="240"/>
        <w:jc w:val="center"/>
      </w:pPr>
      <w:r>
        <w:rPr>
          <w:i/>
          <w:iCs/>
          <w:color w:val="555555"/>
          <w:sz w:val="18"/>
          <w:szCs w:val="18"/>
        </w:rPr>
        <w:t xml:space="preserve">Figure 5 — §6 components of the three produced artefacts.</w:t>
      </w:r>
    </w:p>
    <w:p>
      <w:pPr>
        <w:spacing w:after="140"/>
        <w:jc w:val="left"/>
      </w:pPr>
      <w:r>
        <w:rPr>
          <w:b/>
          <w:bCs/>
        </w:rPr>
        <w:t xml:space="preserve">Existence in the design system was not checked in this phase.</w:t>
      </w:r>
      <w:r>
        <w:t xml:space="preserve"> Every component above is stated as a need, not as a finding. Whether the library already provides it — and with which variants — is resolved by </w:t>
      </w:r>
      <w:r>
        <w:rPr>
          <w:rFonts w:ascii="Consolas" w:cs="Consolas" w:eastAsia="Consolas" w:hAnsi="Consolas"/>
        </w:rPr>
        <w:t xml:space="preserve">/component-analyzer</w:t>
      </w:r>
      <w:r>
        <w:t xml:space="preserve"> after gate 1, per requirement, with the variants it checked recorded as evidence.</w:t>
      </w:r>
    </w:p>
    <w:p>
      <w:pPr>
        <w:pStyle w:val="Heading2"/>
      </w:pPr>
      <w:r>
        <w:t xml:space="preserve">7. Assembly</w:t>
      </w:r>
    </w:p>
    <w:p>
      <w:pPr>
        <w:spacing w:after="140"/>
        <w:jc w:val="left"/>
      </w:pPr>
      <w:r>
        <w:rPr>
          <w:b/>
          <w:bCs/>
        </w:rPr>
        <w:t xml:space="preserve">Reporting Setup Page.</w:t>
      </w:r>
      <w:r>
        <w:t xml:space="preserve"> Report Type Tab Bar across the top, each tab carrying a Tab Count Badge. Beneath it the Report List Table with its column chooser, filter, search, page-size selector and result count in a toolbar row, and the Create Report Button aligned to that row. The table body is Report List Rows; each row carries the report name with its disambiguator, the source dashboard label, a run outcome indicator, an Active Switch, and a Source Unavailable Marker in place of the outcome where the source is gone. Empty, error and loading substitute into the table body only — the tab bar stays mounted and usable in all three.</w:t>
      </w:r>
    </w:p>
    <w:p>
      <w:pPr>
        <w:spacing w:after="140"/>
        <w:jc w:val="left"/>
      </w:pPr>
      <w:r>
        <w:rPr>
          <w:b/>
          <w:bCs/>
        </w:rPr>
        <w:t xml:space="preserve">Report Editor.</w:t>
      </w:r>
      <w:r>
        <w:t xml:space="preserve"> One column, ordered by dependency: Source Dashboard Picker first, because everything below it derives from the source. Coverage Kind Selector and Scope Picker follow, with the Pending Field Indicator occupying them while options resolve and the Partial Resolution Notice sitting beneath them when only some scopes resolve. Then Period Field, then Output Format Selector with the PDF Content Choice Selector revealed only under PDF. Schedule Kind Selector next, revealing Date Picker, Time Picker, Time Zone Label and Repeat Interval Selector under repeating. Recipient List last, as a scrollable stack of Recipient Rows each carrying its address, its inside/outside marker and its remove control, with the Recipient Address Field beneath as the add row. Active Switch, Generate Once Button and Save Button in a footer bar; the Save Error Banner sits above that footer and never clears the fields.</w:t>
      </w:r>
    </w:p>
    <w:p>
      <w:pPr>
        <w:spacing w:after="140"/>
        <w:jc w:val="left"/>
      </w:pPr>
      <w:r>
        <w:rPr>
          <w:b/>
          <w:bCs/>
        </w:rPr>
        <w:t xml:space="preserve">Run History.</w:t>
      </w:r>
      <w:r>
        <w:t xml:space="preserve"> Run History Table with the Pagination Control in its footer; rows newest first. Each Run History Row is a timestamp, resolved coverage, resolved authority, recipients as sent, attempt number and outcome, with the File Reference Link at the end. A mid-flight run substitutes the Running Indicator for the outcome. Empty and error substitute into the table body without unmounting the surrounding report.</w:t>
      </w:r>
    </w:p>
    <w:p>
      <w:pPr>
        <w:spacing w:after="140"/>
        <w:jc w:val="left"/>
      </w:pPr>
      <w:r>
        <w:rPr>
          <w:b/>
          <w:bCs/>
        </w:rPr>
        <w:t xml:space="preserve">Make a Report from This Dashboard.</w:t>
      </w:r>
      <w:r>
        <w:t xml:space="preserve"> Make Report Action lives on the dashboard. It opens the Short Form Container with the source already bound and not editable, containing only Report Name Field, Coverage Kind Selector, Output Format Selector and Recipient List. Inline Loading Indicator sits within the container. The Setup Page Fallback Link is the error path, carrying the pre-chosen source across.</w:t>
      </w:r>
    </w:p>
    <w:p>
      <w:pPr>
        <w:spacing w:after="140"/>
        <w:jc w:val="left"/>
      </w:pPr>
      <w:r>
        <w:rPr>
          <w:b/>
          <w:bCs/>
        </w:rPr>
        <w:t xml:space="preserve">Dashboard Deletion Impact Dialog.</w:t>
      </w:r>
      <w:r>
        <w:t xml:space="preserve"> Dependent Report Count Label as the headline, Dependent Report List beneath it, then Cancel Control and Second Confirmation Control. The confirmation is the second deliberate act, so it is never the default focus.</w:t>
      </w:r>
    </w:p>
    <w:p>
      <w:pPr>
        <w:spacing w:after="140"/>
        <w:jc w:val="left"/>
      </w:pPr>
      <w:r>
        <w:rPr>
          <w:b/>
          <w:bCs/>
        </w:rPr>
        <w:t xml:space="preserve">Report PDF Output.</w:t>
      </w:r>
      <w:r>
        <w:t xml:space="preserve"> PDF Header Block on page one carrying report name, source dashboard, declared authority, period and source last-changed time. Body is PDF Diagram Panels and PDF Table Panels in dashboard order, filtered to the chosen content variant. A panel that fails renders the PDF Unrendered Panel Placeholder in its place, at its size. A period with no readings replaces the whole body with the PDF No Readings Notice. Every quantity renders through the Scaled Quantity Label.</w:t>
      </w:r>
    </w:p>
    <w:p>
      <w:pPr>
        <w:spacing w:after="140"/>
        <w:jc w:val="left"/>
      </w:pPr>
      <w:r>
        <w:rPr>
          <w:b/>
          <w:bCs/>
        </w:rPr>
        <w:t xml:space="preserve">Report Excel Workbook Output.</w:t>
      </w:r>
      <w:r>
        <w:t xml:space="preserve"> Excel Cover Sheet first, carrying the same header facts as the PDF. Then one Excel Panel Sheet per dashboard panel in dashboard order; a diagram panel's sheet is an Excel Chart Values Sheet. An unresolvable panel gets an Excel Unresolved Panel Sheet naming the problem rather than being omitted. No readings gives one Excel No Readings Sheet.</w:t>
      </w:r>
    </w:p>
    <w:p>
      <w:pPr>
        <w:spacing w:after="140"/>
        <w:jc w:val="left"/>
      </w:pPr>
      <w:r>
        <w:rPr>
          <w:b/>
          <w:bCs/>
        </w:rPr>
        <w:t xml:space="preserve">Report Delivery Email.</w:t>
      </w:r>
      <w:r>
        <w:t xml:space="preserve"> Email Subject Line naming the report and period. Email Body Block repeating report name, period and source dashboard. Email Attachment Block carrying the single file. Email Footer Block. Nothing partial ever sends.</w:t>
      </w:r>
    </w:p>
    <w:p>
      <w:pPr>
        <w:pStyle w:val="Heading2"/>
      </w:pPr>
      <w:r>
        <w:t xml:space="preserve">8. Open Decisions</w:t>
      </w:r>
    </w:p>
    <w:p>
      <w:pPr>
        <w:pStyle w:val="Heading3"/>
      </w:pPr>
      <w:r>
        <w:t xml:space="preserve">Resolved upstream</w:t>
      </w:r>
    </w:p>
    <w:p>
      <w:pPr>
        <w:pStyle w:val="ListParagraph"/>
        <w:numPr>
          <w:ilvl w:val="0"/>
          <w:numId w:val="2"/>
        </w:numPr>
        <w:spacing w:after="60"/>
      </w:pPr>
      <w:r>
        <w:t xml:space="preserve">Permission model uses the Admin Module's four roles (Owner, Admin, Engineer, Technician), not the eight commercial role names. No mapping between the two lists is proposed.</w:t>
      </w:r>
    </w:p>
    <w:p>
      <w:pPr>
        <w:pStyle w:val="ListParagraph"/>
        <w:numPr>
          <w:ilvl w:val="0"/>
          <w:numId w:val="2"/>
        </w:numPr>
        <w:spacing w:after="60"/>
      </w:pPr>
      <w:r>
        <w:t xml:space="preserve">Every requirement is written against a privilege, never a role name.</w:t>
      </w:r>
    </w:p>
    <w:p>
      <w:pPr>
        <w:pStyle w:val="ListParagraph"/>
        <w:numPr>
          <w:ilvl w:val="0"/>
          <w:numId w:val="2"/>
        </w:numPr>
        <w:spacing w:after="60"/>
      </w:pPr>
      <w:r>
        <w:t xml:space="preserve">Exactly three report types: system, my reports, shared. Not to be altered.</w:t>
      </w:r>
    </w:p>
    <w:p>
      <w:pPr>
        <w:pStyle w:val="ListParagraph"/>
        <w:numPr>
          <w:ilvl w:val="0"/>
          <w:numId w:val="2"/>
        </w:numPr>
        <w:spacing w:after="60"/>
      </w:pPr>
      <w:r>
        <w:t xml:space="preserve">Exactly three coverage kinds: particular sites, particular devices, whole portfolio. Not to be altered.</w:t>
      </w:r>
    </w:p>
    <w:p>
      <w:pPr>
        <w:pStyle w:val="ListParagraph"/>
        <w:numPr>
          <w:ilvl w:val="0"/>
          <w:numId w:val="2"/>
        </w:numPr>
        <w:spacing w:after="60"/>
      </w:pPr>
      <w:r>
        <w:t xml:space="preserve">Exactly two output formats: PDF and Excel. Not to be altered.</w:t>
      </w:r>
    </w:p>
    <w:p>
      <w:pPr>
        <w:pStyle w:val="ListParagraph"/>
        <w:numPr>
          <w:ilvl w:val="0"/>
          <w:numId w:val="2"/>
        </w:numPr>
        <w:spacing w:after="60"/>
      </w:pPr>
      <w:r>
        <w:t xml:space="preserve">Exactly three PDF content choices: diagrams and tables, diagrams only, tables only. Not to be altered.</w:t>
      </w:r>
    </w:p>
    <w:p>
      <w:pPr>
        <w:pStyle w:val="ListParagraph"/>
        <w:numPr>
          <w:ilvl w:val="0"/>
          <w:numId w:val="2"/>
        </w:numPr>
        <w:spacing w:after="60"/>
      </w:pPr>
      <w:r>
        <w:t xml:space="preserve">Where a privilege is absent the control is hidden, not greyed out, and the layout leaves no hole.</w:t>
      </w:r>
    </w:p>
    <w:p>
      <w:pPr>
        <w:pStyle w:val="ListParagraph"/>
        <w:numPr>
          <w:ilvl w:val="0"/>
          <w:numId w:val="2"/>
        </w:numPr>
        <w:spacing w:after="60"/>
      </w:pPr>
      <w:r>
        <w:t xml:space="preserve">Nobody in the client account may change what a system report contains.</w:t>
      </w:r>
    </w:p>
    <w:p>
      <w:pPr>
        <w:pStyle w:val="ListParagraph"/>
        <w:numPr>
          <w:ilvl w:val="0"/>
          <w:numId w:val="2"/>
        </w:numPr>
        <w:spacing w:after="60"/>
      </w:pPr>
      <w:r>
        <w:t xml:space="preserve">A report sources from exactly one saved dashboard.</w:t>
      </w:r>
    </w:p>
    <w:p>
      <w:pPr>
        <w:pStyle w:val="ListParagraph"/>
        <w:numPr>
          <w:ilvl w:val="0"/>
          <w:numId w:val="2"/>
        </w:numPr>
        <w:spacing w:after="60"/>
      </w:pPr>
      <w:r>
        <w:t xml:space="preserve">Delivery is email only. No in-platform inbox, no download links, no file storage delivery.</w:t>
      </w:r>
    </w:p>
    <w:p>
      <w:pPr>
        <w:pStyle w:val="ListParagraph"/>
        <w:numPr>
          <w:ilvl w:val="0"/>
          <w:numId w:val="2"/>
        </w:numPr>
        <w:spacing w:after="60"/>
      </w:pPr>
      <w:r>
        <w:t xml:space="preserve">Recipients are email addresses and need not be platform users. No recipient-side permission check exists.</w:t>
      </w:r>
    </w:p>
    <w:p>
      <w:pPr>
        <w:pStyle w:val="ListParagraph"/>
        <w:numPr>
          <w:ilvl w:val="0"/>
          <w:numId w:val="2"/>
        </w:numPr>
        <w:spacing w:after="60"/>
      </w:pPr>
      <w:r>
        <w:t xml:space="preserve">Switching a report on after it was off does not backfill missed runs.</w:t>
      </w:r>
    </w:p>
    <w:p>
      <w:pPr>
        <w:pStyle w:val="ListParagraph"/>
        <w:numPr>
          <w:ilvl w:val="0"/>
          <w:numId w:val="2"/>
        </w:numPr>
        <w:spacing w:after="60"/>
      </w:pPr>
      <w:r>
        <w:t xml:space="preserve">A one-time report requested twice produces two runs, two files and two deliveries.</w:t>
      </w:r>
    </w:p>
    <w:p>
      <w:pPr>
        <w:pStyle w:val="ListParagraph"/>
        <w:numPr>
          <w:ilvl w:val="0"/>
          <w:numId w:val="2"/>
        </w:numPr>
        <w:spacing w:after="60"/>
      </w:pPr>
      <w:r>
        <w:t xml:space="preserve">The manual report creation that already shipped is unchanged.</w:t>
      </w:r>
    </w:p>
    <w:p>
      <w:pPr>
        <w:pStyle w:val="ListParagraph"/>
        <w:numPr>
          <w:ilvl w:val="0"/>
          <w:numId w:val="2"/>
        </w:numPr>
        <w:spacing w:after="60"/>
      </w:pPr>
      <w:r>
        <w:t xml:space="preserve">No delivery date, target quarter or committed date is in scope; order is stated instead.</w:t>
      </w:r>
    </w:p>
    <w:p>
      <w:pPr>
        <w:sectPr>
          <w:pgSz w:w="11905" w:h="16837" w:orient="portrait"/>
          <w:pgMar w:top="1440" w:right="1440" w:bottom="1440" w:left="1440" w:header="708" w:footer="708" w:gutter="0"/>
          <w:pgNumType/>
          <w:docGrid w:linePitch="360"/>
        </w:sectPr>
      </w:pPr>
    </w:p>
    <w:p>
      <w:pPr>
        <w:pStyle w:val="Heading3"/>
      </w:pPr>
      <w:r>
        <w:t xml:space="preserve">Raised here</w:t>
      </w:r>
    </w:p>
    <w:p>
      <w:pPr>
        <w:shd w:fill="F4F4F4" w:color="auto" w:val="clear"/>
        <w:spacing w:after="0"/>
      </w:pPr>
      <w:r>
        <w:rPr>
          <w:rFonts w:ascii="Consolas" w:cs="Consolas" w:eastAsia="Consolas" w:hAnsi="Consolas"/>
          <w:sz w:val="17"/>
          <w:szCs w:val="17"/>
        </w:rPr>
        <w:t xml:space="preserve">OPEN DECISION 1 — Is the schedule set on the report itself, or in a separate step?</w:t>
      </w:r>
    </w:p>
    <w:p>
      <w:pPr>
        <w:shd w:fill="F4F4F4" w:color="auto" w:val="clear"/>
        <w:spacing w:after="0"/>
      </w:pPr>
      <w:r>
        <w:rPr>
          <w:rFonts w:ascii="Consolas" w:cs="Consolas" w:eastAsia="Consolas" w:hAnsi="Consolas"/>
          <w:sz w:val="17"/>
          <w:szCs w:val="17"/>
        </w:rPr>
        <w:t xml:space="preserve">  affects:     REQ-19, REQ-60, REQ-71..REQ-74; frames 2, 4</w:t>
      </w:r>
    </w:p>
    <w:p>
      <w:pPr>
        <w:shd w:fill="F4F4F4" w:color="auto" w:val="clear"/>
        <w:spacing w:after="0"/>
      </w:pPr>
      <w:r>
        <w:rPr>
          <w:rFonts w:ascii="Consolas" w:cs="Consolas" w:eastAsia="Consolas" w:hAnsi="Consolas"/>
          <w:sz w:val="17"/>
          <w:szCs w:val="17"/>
        </w:rPr>
        <w:t xml:space="preserve">  options:     (a) A separate step — the editor saves the definition, scheduling is a distinct stage after</w:t>
      </w:r>
    </w:p>
    <w:p>
      <w:pPr>
        <w:shd w:fill="F4F4F4" w:color="auto" w:val="clear"/>
        <w:spacing w:after="0"/>
      </w:pPr>
      <w:r>
        <w:rPr>
          <w:rFonts w:ascii="Consolas" w:cs="Consolas" w:eastAsia="Consolas" w:hAnsi="Consolas"/>
          <w:sz w:val="17"/>
          <w:szCs w:val="17"/>
        </w:rPr>
        <w:t xml:space="preserve">               (b) On the report — schedule fields inline in the Report Editor beside coverage, format and recipients</w:t>
      </w:r>
    </w:p>
    <w:p>
      <w:pPr>
        <w:shd w:fill="F4F4F4" w:color="auto" w:val="clear"/>
        <w:spacing w:after="0"/>
      </w:pPr>
      <w:r>
        <w:rPr>
          <w:rFonts w:ascii="Consolas" w:cs="Consolas" w:eastAsia="Consolas" w:hAnsi="Consolas"/>
          <w:sz w:val="17"/>
          <w:szCs w:val="17"/>
        </w:rPr>
        <w:t xml:space="preserve">  recommended: (b), because it matches the flow the Product Manager described and keeps one editor and one save</w:t>
      </w:r>
    </w:p>
    <w:p>
      <w:pPr>
        <w:shd w:fill="F4F4F4" w:color="auto" w:val="clear"/>
        <w:spacing w:after="0"/>
      </w:pPr>
      <w:r>
        <w:rPr>
          <w:rFonts w:ascii="Consolas" w:cs="Consolas" w:eastAsia="Consolas" w:hAnsi="Consolas"/>
          <w:sz w:val="17"/>
          <w:szCs w:val="17"/>
        </w:rPr>
        <w:t xml:space="preserve">  consequence: (a) means shorter screens and a natural home for a reusable schedule later, at the cost of a</w:t>
      </w:r>
    </w:p>
    <w:p>
      <w:pPr>
        <w:shd w:fill="F4F4F4" w:color="auto" w:val="clear"/>
        <w:spacing w:after="0"/>
      </w:pPr>
      <w:r>
        <w:rPr>
          <w:rFonts w:ascii="Consolas" w:cs="Consolas" w:eastAsia="Consolas" w:hAnsi="Consolas"/>
          <w:sz w:val="17"/>
          <w:szCs w:val="17"/>
        </w:rPr>
        <w:t xml:space="preserve">               second save, a second set of five states, and a flow that no longer matches how the PRD</w:t>
      </w:r>
    </w:p>
    <w:p>
      <w:pPr>
        <w:shd w:fill="F4F4F4" w:color="auto" w:val="clear"/>
        <w:spacing w:after="0"/>
      </w:pPr>
      <w:r>
        <w:rPr>
          <w:rFonts w:ascii="Consolas" w:cs="Consolas" w:eastAsia="Consolas" w:hAnsi="Consolas"/>
          <w:sz w:val="17"/>
          <w:szCs w:val="17"/>
        </w:rPr>
        <w:t xml:space="preserve">               describes the task; (b) means a long editor that already needs progressive disclosure,</w:t>
      </w:r>
    </w:p>
    <w:p>
      <w:pPr>
        <w:shd w:fill="F4F4F4" w:color="auto" w:val="clear"/>
        <w:spacing w:after="0"/>
      </w:pPr>
      <w:r>
        <w:rPr>
          <w:rFonts w:ascii="Consolas" w:cs="Consolas" w:eastAsia="Consolas" w:hAnsi="Consolas"/>
          <w:sz w:val="17"/>
          <w:szCs w:val="17"/>
        </w:rPr>
        <w:t xml:space="preserve">               because coverage cannot load until the source is chosen</w:t>
      </w:r>
    </w:p>
    <w:p>
      <w:pPr>
        <w:shd w:fill="F4F4F4" w:color="auto" w:val="clear"/>
        <w:spacing w:after="0"/>
      </w:pPr>
      <w:r>
        <w:rPr>
          <w:rFonts w:ascii="Consolas" w:cs="Consolas" w:eastAsia="Consolas" w:hAnsi="Consolas"/>
          <w:sz w:val="17"/>
          <w:szCs w:val="17"/>
        </w:rPr>
        <w:t xml:space="preserve">  blocks design: yes</w:t>
      </w:r>
    </w:p>
    <w:p>
      <w:pPr>
        <w:spacing w:after="160"/>
      </w:pPr>
      <w:r>
        <w:t xml:space="preserve"/>
      </w:r>
    </w:p>
    <w:p>
      <w:pPr>
        <w:shd w:fill="F4F4F4" w:color="auto" w:val="clear"/>
        <w:spacing w:after="0"/>
      </w:pPr>
      <w:r>
        <w:rPr>
          <w:rFonts w:ascii="Consolas" w:cs="Consolas" w:eastAsia="Consolas" w:hAnsi="Consolas"/>
          <w:sz w:val="17"/>
          <w:szCs w:val="17"/>
        </w:rPr>
        <w:t xml:space="preserve">OPEN DECISION 2 — Is a schedule a property of one report, or a reusable object several reports share?</w:t>
      </w:r>
    </w:p>
    <w:p>
      <w:pPr>
        <w:shd w:fill="F4F4F4" w:color="auto" w:val="clear"/>
        <w:spacing w:after="0"/>
      </w:pPr>
      <w:r>
        <w:rPr>
          <w:rFonts w:ascii="Consolas" w:cs="Consolas" w:eastAsia="Consolas" w:hAnsi="Consolas"/>
          <w:sz w:val="17"/>
          <w:szCs w:val="17"/>
        </w:rPr>
        <w:t xml:space="preserve">  affects:     REQ-19, REQ-20, REQ-71; frame 2</w:t>
      </w:r>
    </w:p>
    <w:p>
      <w:pPr>
        <w:shd w:fill="F4F4F4" w:color="auto" w:val="clear"/>
        <w:spacing w:after="0"/>
      </w:pPr>
      <w:r>
        <w:rPr>
          <w:rFonts w:ascii="Consolas" w:cs="Consolas" w:eastAsia="Consolas" w:hAnsi="Consolas"/>
          <w:sz w:val="17"/>
          <w:szCs w:val="17"/>
        </w:rPr>
        <w:t xml:space="preserve">  options:     (a) A property of one report — each report owns its own schedule</w:t>
      </w:r>
    </w:p>
    <w:p>
      <w:pPr>
        <w:shd w:fill="F4F4F4" w:color="auto" w:val="clear"/>
        <w:spacing w:after="0"/>
      </w:pPr>
      <w:r>
        <w:rPr>
          <w:rFonts w:ascii="Consolas" w:cs="Consolas" w:eastAsia="Consolas" w:hAnsi="Consolas"/>
          <w:sz w:val="17"/>
          <w:szCs w:val="17"/>
        </w:rPr>
        <w:t xml:space="preserve">               (b) A reusable object — a named schedule several reports attach to</w:t>
      </w:r>
    </w:p>
    <w:p>
      <w:pPr>
        <w:shd w:fill="F4F4F4" w:color="auto" w:val="clear"/>
        <w:spacing w:after="0"/>
      </w:pPr>
      <w:r>
        <w:rPr>
          <w:rFonts w:ascii="Consolas" w:cs="Consolas" w:eastAsia="Consolas" w:hAnsi="Consolas"/>
          <w:sz w:val="17"/>
          <w:szCs w:val="17"/>
        </w:rPr>
        <w:t xml:space="preserve">  recommended: (a), because the PRD proposes it explicitly and it needs no schedule library, no attach or</w:t>
      </w:r>
    </w:p>
    <w:p>
      <w:pPr>
        <w:shd w:fill="F4F4F4" w:color="auto" w:val="clear"/>
        <w:spacing w:after="0"/>
      </w:pPr>
      <w:r>
        <w:rPr>
          <w:rFonts w:ascii="Consolas" w:cs="Consolas" w:eastAsia="Consolas" w:hAnsi="Consolas"/>
          <w:sz w:val="17"/>
          <w:szCs w:val="17"/>
        </w:rPr>
        <w:t xml:space="preserve">               detach interaction, and no answer to what an edit does to nine attached reports</w:t>
      </w:r>
    </w:p>
    <w:p>
      <w:pPr>
        <w:shd w:fill="F4F4F4" w:color="auto" w:val="clear"/>
        <w:spacing w:after="0"/>
      </w:pPr>
      <w:r>
        <w:rPr>
          <w:rFonts w:ascii="Consolas" w:cs="Consolas" w:eastAsia="Consolas" w:hAnsi="Consolas"/>
          <w:sz w:val="17"/>
          <w:szCs w:val="17"/>
        </w:rPr>
        <w:t xml:space="preserve">  consequence: (a) means changing "Monday 07:00" for nine reports is nine edits; (b) means one edit with a</w:t>
      </w:r>
    </w:p>
    <w:p>
      <w:pPr>
        <w:shd w:fill="F4F4F4" w:color="auto" w:val="clear"/>
        <w:spacing w:after="0"/>
      </w:pPr>
      <w:r>
        <w:rPr>
          <w:rFonts w:ascii="Consolas" w:cs="Consolas" w:eastAsia="Consolas" w:hAnsi="Consolas"/>
          <w:sz w:val="17"/>
          <w:szCs w:val="17"/>
        </w:rPr>
        <w:t xml:space="preserve">               blast radius that is invisible at the point of editing, plus a management surface nobody asked for</w:t>
      </w:r>
    </w:p>
    <w:p>
      <w:pPr>
        <w:shd w:fill="F4F4F4" w:color="auto" w:val="clear"/>
        <w:spacing w:after="0"/>
      </w:pPr>
      <w:r>
        <w:rPr>
          <w:rFonts w:ascii="Consolas" w:cs="Consolas" w:eastAsia="Consolas" w:hAnsi="Consolas"/>
          <w:sz w:val="17"/>
          <w:szCs w:val="17"/>
        </w:rPr>
        <w:t xml:space="preserve">  blocks design: yes</w:t>
      </w:r>
    </w:p>
    <w:p>
      <w:pPr>
        <w:spacing w:after="160"/>
      </w:pPr>
      <w:r>
        <w:t xml:space="preserve"/>
      </w:r>
    </w:p>
    <w:p>
      <w:pPr>
        <w:shd w:fill="F4F4F4" w:color="auto" w:val="clear"/>
        <w:spacing w:after="0"/>
      </w:pPr>
      <w:r>
        <w:rPr>
          <w:rFonts w:ascii="Consolas" w:cs="Consolas" w:eastAsia="Consolas" w:hAnsi="Consolas"/>
          <w:sz w:val="17"/>
          <w:szCs w:val="17"/>
        </w:rPr>
        <w:t xml:space="preserve">OPEN DECISION 3 — Which repeat intervals are offered?</w:t>
      </w:r>
    </w:p>
    <w:p>
      <w:pPr>
        <w:shd w:fill="F4F4F4" w:color="auto" w:val="clear"/>
        <w:spacing w:after="0"/>
      </w:pPr>
      <w:r>
        <w:rPr>
          <w:rFonts w:ascii="Consolas" w:cs="Consolas" w:eastAsia="Consolas" w:hAnsi="Consolas"/>
          <w:sz w:val="17"/>
          <w:szCs w:val="17"/>
        </w:rPr>
        <w:t xml:space="preserve">  affects:     REQ-74; frame 2, Repeat Interval Selector</w:t>
      </w:r>
    </w:p>
    <w:p>
      <w:pPr>
        <w:shd w:fill="F4F4F4" w:color="auto" w:val="clear"/>
        <w:spacing w:after="0"/>
      </w:pPr>
      <w:r>
        <w:rPr>
          <w:rFonts w:ascii="Consolas" w:cs="Consolas" w:eastAsia="Consolas" w:hAnsi="Consolas"/>
          <w:sz w:val="17"/>
          <w:szCs w:val="17"/>
        </w:rPr>
        <w:t xml:space="preserve">  options:     (a) Daily, weekly, monthly</w:t>
      </w:r>
    </w:p>
    <w:p>
      <w:pPr>
        <w:shd w:fill="F4F4F4" w:color="auto" w:val="clear"/>
        <w:spacing w:after="0"/>
      </w:pPr>
      <w:r>
        <w:rPr>
          <w:rFonts w:ascii="Consolas" w:cs="Consolas" w:eastAsia="Consolas" w:hAnsi="Consolas"/>
          <w:sz w:val="17"/>
          <w:szCs w:val="17"/>
        </w:rPr>
        <w:t xml:space="preserve">               (b) Daily, weekly, monthly, quarterly, yearly</w:t>
      </w:r>
    </w:p>
    <w:p>
      <w:pPr>
        <w:shd w:fill="F4F4F4" w:color="auto" w:val="clear"/>
        <w:spacing w:after="0"/>
      </w:pPr>
      <w:r>
        <w:rPr>
          <w:rFonts w:ascii="Consolas" w:cs="Consolas" w:eastAsia="Consolas" w:hAnsi="Consolas"/>
          <w:sz w:val="17"/>
          <w:szCs w:val="17"/>
        </w:rPr>
        <w:t xml:space="preserve">               (c) A free recurrence builder — every N days/weeks/months with weekday selection</w:t>
      </w:r>
    </w:p>
    <w:p>
      <w:pPr>
        <w:shd w:fill="F4F4F4" w:color="auto" w:val="clear"/>
        <w:spacing w:after="0"/>
      </w:pPr>
      <w:r>
        <w:rPr>
          <w:rFonts w:ascii="Consolas" w:cs="Consolas" w:eastAsia="Consolas" w:hAnsi="Consolas"/>
          <w:sz w:val="17"/>
          <w:szCs w:val="17"/>
        </w:rPr>
        <w:t xml:space="preserve">  recommended: (a), because it is a single select, testable in one check, and covers all five use cases the</w:t>
      </w:r>
    </w:p>
    <w:p>
      <w:pPr>
        <w:shd w:fill="F4F4F4" w:color="auto" w:val="clear"/>
        <w:spacing w:after="0"/>
      </w:pPr>
      <w:r>
        <w:rPr>
          <w:rFonts w:ascii="Consolas" w:cs="Consolas" w:eastAsia="Consolas" w:hAnsi="Consolas"/>
          <w:sz w:val="17"/>
          <w:szCs w:val="17"/>
        </w:rPr>
        <w:t xml:space="preserve">               PRD names, which are weekly or one-off</w:t>
      </w:r>
    </w:p>
    <w:p>
      <w:pPr>
        <w:shd w:fill="F4F4F4" w:color="auto" w:val="clear"/>
        <w:spacing w:after="0"/>
      </w:pPr>
      <w:r>
        <w:rPr>
          <w:rFonts w:ascii="Consolas" w:cs="Consolas" w:eastAsia="Consolas" w:hAnsi="Consolas"/>
          <w:sz w:val="17"/>
          <w:szCs w:val="17"/>
        </w:rPr>
        <w:t xml:space="preserve">  consequence: The Product Manager said "periodically" without naming a set, so nothing here is specified.</w:t>
      </w:r>
    </w:p>
    <w:p>
      <w:pPr>
        <w:shd w:fill="F4F4F4" w:color="auto" w:val="clear"/>
        <w:spacing w:after="0"/>
      </w:pPr>
      <w:r>
        <w:rPr>
          <w:rFonts w:ascii="Consolas" w:cs="Consolas" w:eastAsia="Consolas" w:hAnsi="Consolas"/>
          <w:sz w:val="17"/>
          <w:szCs w:val="17"/>
        </w:rPr>
        <w:t xml:space="preserve">               (a) means a fixed select; (b) is nearly free in the control but each added interval needs a</w:t>
      </w:r>
    </w:p>
    <w:p>
      <w:pPr>
        <w:shd w:fill="F4F4F4" w:color="auto" w:val="clear"/>
        <w:spacing w:after="0"/>
      </w:pPr>
      <w:r>
        <w:rPr>
          <w:rFonts w:ascii="Consolas" w:cs="Consolas" w:eastAsia="Consolas" w:hAnsi="Consolas"/>
          <w:sz w:val="17"/>
          <w:szCs w:val="17"/>
        </w:rPr>
        <w:t xml:space="preserve">               defined anchor day; (c) is a substantially larger design and interacts with both the</w:t>
      </w:r>
    </w:p>
    <w:p>
      <w:pPr>
        <w:shd w:fill="F4F4F4" w:color="auto" w:val="clear"/>
        <w:spacing w:after="0"/>
      </w:pPr>
      <w:r>
        <w:rPr>
          <w:rFonts w:ascii="Consolas" w:cs="Consolas" w:eastAsia="Consolas" w:hAnsi="Consolas"/>
          <w:sz w:val="17"/>
          <w:szCs w:val="17"/>
        </w:rPr>
        <w:t xml:space="preserve">               time-zone rule and concurrency sizing, which is itself unanswered</w:t>
      </w:r>
    </w:p>
    <w:p>
      <w:pPr>
        <w:shd w:fill="F4F4F4" w:color="auto" w:val="clear"/>
        <w:spacing w:after="0"/>
      </w:pPr>
      <w:r>
        <w:rPr>
          <w:rFonts w:ascii="Consolas" w:cs="Consolas" w:eastAsia="Consolas" w:hAnsi="Consolas"/>
          <w:sz w:val="17"/>
          <w:szCs w:val="17"/>
        </w:rPr>
        <w:t xml:space="preserve">  blocks design: yes</w:t>
      </w:r>
    </w:p>
    <w:p>
      <w:pPr>
        <w:spacing w:after="160"/>
      </w:pPr>
      <w:r>
        <w:t xml:space="preserve"/>
      </w:r>
    </w:p>
    <w:p>
      <w:pPr>
        <w:shd w:fill="F4F4F4" w:color="auto" w:val="clear"/>
        <w:spacing w:after="0"/>
      </w:pPr>
      <w:r>
        <w:rPr>
          <w:rFonts w:ascii="Consolas" w:cs="Consolas" w:eastAsia="Consolas" w:hAnsi="Consolas"/>
          <w:sz w:val="17"/>
          <w:szCs w:val="17"/>
        </w:rPr>
        <w:t xml:space="preserve">OPEN DECISION 4 — Does run history sit on each report, or in one place for all of them?</w:t>
      </w:r>
    </w:p>
    <w:p>
      <w:pPr>
        <w:shd w:fill="F4F4F4" w:color="auto" w:val="clear"/>
        <w:spacing w:after="0"/>
      </w:pPr>
      <w:r>
        <w:rPr>
          <w:rFonts w:ascii="Consolas" w:cs="Consolas" w:eastAsia="Consolas" w:hAnsi="Consolas"/>
          <w:sz w:val="17"/>
          <w:szCs w:val="17"/>
        </w:rPr>
        <w:t xml:space="preserve">  affects:     REQ-32, REQ-33, REQ-89..REQ-93, REQ-109; frame 3</w:t>
      </w:r>
    </w:p>
    <w:p>
      <w:pPr>
        <w:shd w:fill="F4F4F4" w:color="auto" w:val="clear"/>
        <w:spacing w:after="0"/>
      </w:pPr>
      <w:r>
        <w:rPr>
          <w:rFonts w:ascii="Consolas" w:cs="Consolas" w:eastAsia="Consolas" w:hAnsi="Consolas"/>
          <w:sz w:val="17"/>
          <w:szCs w:val="17"/>
        </w:rPr>
        <w:t xml:space="preserve">  options:     (a) On each report — history is a view within the report</w:t>
      </w:r>
    </w:p>
    <w:p>
      <w:pPr>
        <w:shd w:fill="F4F4F4" w:color="auto" w:val="clear"/>
        <w:spacing w:after="0"/>
      </w:pPr>
      <w:r>
        <w:rPr>
          <w:rFonts w:ascii="Consolas" w:cs="Consolas" w:eastAsia="Consolas" w:hAnsi="Consolas"/>
          <w:sz w:val="17"/>
          <w:szCs w:val="17"/>
        </w:rPr>
        <w:t xml:space="preserve">               (b) One central place — a module-level history across all reports, filterable by report</w:t>
      </w:r>
    </w:p>
    <w:p>
      <w:pPr>
        <w:shd w:fill="F4F4F4" w:color="auto" w:val="clear"/>
        <w:spacing w:after="0"/>
      </w:pPr>
      <w:r>
        <w:rPr>
          <w:rFonts w:ascii="Consolas" w:cs="Consolas" w:eastAsia="Consolas" w:hAnsi="Consolas"/>
          <w:sz w:val="17"/>
          <w:szCs w:val="17"/>
        </w:rPr>
        <w:t xml:space="preserve">               (c) Both — a central list plus a per-report view</w:t>
      </w:r>
    </w:p>
    <w:p>
      <w:pPr>
        <w:shd w:fill="F4F4F4" w:color="auto" w:val="clear"/>
        <w:spacing w:after="0"/>
      </w:pPr>
      <w:r>
        <w:rPr>
          <w:rFonts w:ascii="Consolas" w:cs="Consolas" w:eastAsia="Consolas" w:hAnsi="Consolas"/>
          <w:sz w:val="17"/>
          <w:szCs w:val="17"/>
        </w:rPr>
        <w:t xml:space="preserve">  recommended: (a), because Requirement 16 specifies "a run history per report", and per-report keeps the</w:t>
      </w:r>
    </w:p>
    <w:p>
      <w:pPr>
        <w:shd w:fill="F4F4F4" w:color="auto" w:val="clear"/>
        <w:spacing w:after="0"/>
      </w:pPr>
      <w:r>
        <w:rPr>
          <w:rFonts w:ascii="Consolas" w:cs="Consolas" w:eastAsia="Consolas" w:hAnsi="Consolas"/>
          <w:sz w:val="17"/>
          <w:szCs w:val="17"/>
        </w:rPr>
        <w:t xml:space="preserve">               forbidden state simple and the error state contained</w:t>
      </w:r>
    </w:p>
    <w:p>
      <w:pPr>
        <w:shd w:fill="F4F4F4" w:color="auto" w:val="clear"/>
        <w:spacing w:after="0"/>
      </w:pPr>
      <w:r>
        <w:rPr>
          <w:rFonts w:ascii="Consolas" w:cs="Consolas" w:eastAsia="Consolas" w:hAnsi="Consolas"/>
          <w:sz w:val="17"/>
          <w:szCs w:val="17"/>
        </w:rPr>
        <w:t xml:space="preserve">  consequence: (a) answers "find out that last night's report did not send" badly — the person must already</w:t>
      </w:r>
    </w:p>
    <w:p>
      <w:pPr>
        <w:shd w:fill="F4F4F4" w:color="auto" w:val="clear"/>
        <w:spacing w:after="0"/>
      </w:pPr>
      <w:r>
        <w:rPr>
          <w:rFonts w:ascii="Consolas" w:cs="Consolas" w:eastAsia="Consolas" w:hAnsi="Consolas"/>
          <w:sz w:val="17"/>
          <w:szCs w:val="17"/>
        </w:rPr>
        <w:t xml:space="preserve">               know which report failed, and with nine reports that is nine places to look; (b) answers it</w:t>
      </w:r>
    </w:p>
    <w:p>
      <w:pPr>
        <w:shd w:fill="F4F4F4" w:color="auto" w:val="clear"/>
        <w:spacing w:after="0"/>
      </w:pPr>
      <w:r>
        <w:rPr>
          <w:rFonts w:ascii="Consolas" w:cs="Consolas" w:eastAsia="Consolas" w:hAnsi="Consolas"/>
          <w:sz w:val="17"/>
          <w:szCs w:val="17"/>
        </w:rPr>
        <w:t xml:space="preserve">               directly and is where the visible-without-alarming requirement naturally lives; (c) is the</w:t>
      </w:r>
    </w:p>
    <w:p>
      <w:pPr>
        <w:shd w:fill="F4F4F4" w:color="auto" w:val="clear"/>
        <w:spacing w:after="0"/>
      </w:pPr>
      <w:r>
        <w:rPr>
          <w:rFonts w:ascii="Consolas" w:cs="Consolas" w:eastAsia="Consolas" w:hAnsi="Consolas"/>
          <w:sz w:val="17"/>
          <w:szCs w:val="17"/>
        </w:rPr>
        <w:t xml:space="preserve">               most useful and the most to design and state-matrix</w:t>
      </w:r>
    </w:p>
    <w:p>
      <w:pPr>
        <w:shd w:fill="F4F4F4" w:color="auto" w:val="clear"/>
        <w:spacing w:after="0"/>
      </w:pPr>
      <w:r>
        <w:rPr>
          <w:rFonts w:ascii="Consolas" w:cs="Consolas" w:eastAsia="Consolas" w:hAnsi="Consolas"/>
          <w:sz w:val="17"/>
          <w:szCs w:val="17"/>
        </w:rPr>
        <w:t xml:space="preserve">  blocks design: yes</w:t>
      </w:r>
    </w:p>
    <w:p>
      <w:pPr>
        <w:spacing w:after="160"/>
      </w:pPr>
      <w:r>
        <w:t xml:space="preserve"/>
      </w:r>
    </w:p>
    <w:p>
      <w:pPr>
        <w:shd w:fill="F4F4F4" w:color="auto" w:val="clear"/>
        <w:spacing w:after="0"/>
      </w:pPr>
      <w:r>
        <w:rPr>
          <w:rFonts w:ascii="Consolas" w:cs="Consolas" w:eastAsia="Consolas" w:hAnsi="Consolas"/>
          <w:sz w:val="17"/>
          <w:szCs w:val="17"/>
        </w:rPr>
        <w:t xml:space="preserve">OPEN DECISION 5 — Does the entry point from a dashboard open the full setup page, or a short form?</w:t>
      </w:r>
    </w:p>
    <w:p>
      <w:pPr>
        <w:shd w:fill="F4F4F4" w:color="auto" w:val="clear"/>
        <w:spacing w:after="0"/>
      </w:pPr>
      <w:r>
        <w:rPr>
          <w:rFonts w:ascii="Consolas" w:cs="Consolas" w:eastAsia="Consolas" w:hAnsi="Consolas"/>
          <w:sz w:val="17"/>
          <w:szCs w:val="17"/>
        </w:rPr>
        <w:t xml:space="preserve">  affects:     REQ-61, REQ-94..REQ-96; frame 4</w:t>
      </w:r>
    </w:p>
    <w:p>
      <w:pPr>
        <w:shd w:fill="F4F4F4" w:color="auto" w:val="clear"/>
        <w:spacing w:after="0"/>
      </w:pPr>
      <w:r>
        <w:rPr>
          <w:rFonts w:ascii="Consolas" w:cs="Consolas" w:eastAsia="Consolas" w:hAnsi="Consolas"/>
          <w:sz w:val="17"/>
          <w:szCs w:val="17"/>
        </w:rPr>
        <w:t xml:space="preserve">  options:     (a) The full Report Editor, navigated to with the source pre-chosen</w:t>
      </w:r>
    </w:p>
    <w:p>
      <w:pPr>
        <w:shd w:fill="F4F4F4" w:color="auto" w:val="clear"/>
        <w:spacing w:after="0"/>
      </w:pPr>
      <w:r>
        <w:rPr>
          <w:rFonts w:ascii="Consolas" w:cs="Consolas" w:eastAsia="Consolas" w:hAnsi="Consolas"/>
          <w:sz w:val="17"/>
          <w:szCs w:val="17"/>
        </w:rPr>
        <w:t xml:space="preserve">               (b) A short form — a compact overlay capturing the minimum, source pre-chosen</w:t>
      </w:r>
    </w:p>
    <w:p>
      <w:pPr>
        <w:shd w:fill="F4F4F4" w:color="auto" w:val="clear"/>
        <w:spacing w:after="0"/>
      </w:pPr>
      <w:r>
        <w:rPr>
          <w:rFonts w:ascii="Consolas" w:cs="Consolas" w:eastAsia="Consolas" w:hAnsi="Consolas"/>
          <w:sz w:val="17"/>
          <w:szCs w:val="17"/>
        </w:rPr>
        <w:t xml:space="preserve">  recommended: (b), because it keeps the person on their dashboard and suits the "one report now, one site,</w:t>
      </w:r>
    </w:p>
    <w:p>
      <w:pPr>
        <w:shd w:fill="F4F4F4" w:color="auto" w:val="clear"/>
        <w:spacing w:after="0"/>
      </w:pPr>
      <w:r>
        <w:rPr>
          <w:rFonts w:ascii="Consolas" w:cs="Consolas" w:eastAsia="Consolas" w:hAnsi="Consolas"/>
          <w:sz w:val="17"/>
          <w:szCs w:val="17"/>
        </w:rPr>
        <w:t xml:space="preserve">               no schedule" use case</w:t>
      </w:r>
    </w:p>
    <w:p>
      <w:pPr>
        <w:shd w:fill="F4F4F4" w:color="auto" w:val="clear"/>
        <w:spacing w:after="0"/>
      </w:pPr>
      <w:r>
        <w:rPr>
          <w:rFonts w:ascii="Consolas" w:cs="Consolas" w:eastAsia="Consolas" w:hAnsi="Consolas"/>
          <w:sz w:val="17"/>
          <w:szCs w:val="17"/>
        </w:rPr>
        <w:t xml:space="preserve">  consequence: (b) needs a defined minimum field set, its own validation, and a defined path to the full</w:t>
      </w:r>
    </w:p>
    <w:p>
      <w:pPr>
        <w:shd w:fill="F4F4F4" w:color="auto" w:val="clear"/>
        <w:spacing w:after="0"/>
      </w:pPr>
      <w:r>
        <w:rPr>
          <w:rFonts w:ascii="Consolas" w:cs="Consolas" w:eastAsia="Consolas" w:hAnsi="Consolas"/>
          <w:sz w:val="17"/>
          <w:szCs w:val="17"/>
        </w:rPr>
        <w:t xml:space="preserve">               editor for anything it omits — and the annex already specifies its error state falls back to</w:t>
      </w:r>
    </w:p>
    <w:p>
      <w:pPr>
        <w:shd w:fill="F4F4F4" w:color="auto" w:val="clear"/>
        <w:spacing w:after="0"/>
      </w:pPr>
      <w:r>
        <w:rPr>
          <w:rFonts w:ascii="Consolas" w:cs="Consolas" w:eastAsia="Consolas" w:hAnsi="Consolas"/>
          <w:sz w:val="17"/>
          <w:szCs w:val="17"/>
        </w:rPr>
        <w:t xml:space="preserve">               the setup page with the source pre-chosen, so both surfaces exist either way; (a) adds no new</w:t>
      </w:r>
    </w:p>
    <w:p>
      <w:pPr>
        <w:shd w:fill="F4F4F4" w:color="auto" w:val="clear"/>
        <w:spacing w:after="0"/>
      </w:pPr>
      <w:r>
        <w:rPr>
          <w:rFonts w:ascii="Consolas" w:cs="Consolas" w:eastAsia="Consolas" w:hAnsi="Consolas"/>
          <w:sz w:val="17"/>
          <w:szCs w:val="17"/>
        </w:rPr>
        <w:t xml:space="preserve">               surface and no second field set, at the cost of pulling the person out of the dashboard</w:t>
      </w:r>
    </w:p>
    <w:p>
      <w:pPr>
        <w:shd w:fill="F4F4F4" w:color="auto" w:val="clear"/>
        <w:spacing w:after="0"/>
      </w:pPr>
      <w:r>
        <w:rPr>
          <w:rFonts w:ascii="Consolas" w:cs="Consolas" w:eastAsia="Consolas" w:hAnsi="Consolas"/>
          <w:sz w:val="17"/>
          <w:szCs w:val="17"/>
        </w:rPr>
        <w:t xml:space="preserve">  blocks design: yes</w:t>
      </w:r>
    </w:p>
    <w:p>
      <w:pPr>
        <w:spacing w:after="160"/>
      </w:pPr>
      <w:r>
        <w:t xml:space="preserve"/>
      </w:r>
    </w:p>
    <w:p>
      <w:pPr>
        <w:shd w:fill="F4F4F4" w:color="auto" w:val="clear"/>
        <w:spacing w:after="0"/>
      </w:pPr>
      <w:r>
        <w:rPr>
          <w:rFonts w:ascii="Consolas" w:cs="Consolas" w:eastAsia="Consolas" w:hAnsi="Consolas"/>
          <w:sz w:val="17"/>
          <w:szCs w:val="17"/>
        </w:rPr>
        <w:t xml:space="preserve">OPEN DECISION 6 — What does the recipient list look like at twenty addresses?</w:t>
      </w:r>
    </w:p>
    <w:p>
      <w:pPr>
        <w:shd w:fill="F4F4F4" w:color="auto" w:val="clear"/>
        <w:spacing w:after="0"/>
      </w:pPr>
      <w:r>
        <w:rPr>
          <w:rFonts w:ascii="Consolas" w:cs="Consolas" w:eastAsia="Consolas" w:hAnsi="Consolas"/>
          <w:sz w:val="17"/>
          <w:szCs w:val="17"/>
        </w:rPr>
        <w:t xml:space="preserve">  affects:     REQ-27, REQ-75, REQ-76, REQ-107; frames 2, 4</w:t>
      </w:r>
    </w:p>
    <w:p>
      <w:pPr>
        <w:shd w:fill="F4F4F4" w:color="auto" w:val="clear"/>
        <w:spacing w:after="0"/>
      </w:pPr>
      <w:r>
        <w:rPr>
          <w:rFonts w:ascii="Consolas" w:cs="Consolas" w:eastAsia="Consolas" w:hAnsi="Consolas"/>
          <w:sz w:val="17"/>
          <w:szCs w:val="17"/>
        </w:rPr>
        <w:t xml:space="preserve">  options:     (a) A chip or token field — removable tokens that wrap, with a scroll cap</w:t>
      </w:r>
    </w:p>
    <w:p>
      <w:pPr>
        <w:shd w:fill="F4F4F4" w:color="auto" w:val="clear"/>
        <w:spacing w:after="0"/>
      </w:pPr>
      <w:r>
        <w:rPr>
          <w:rFonts w:ascii="Consolas" w:cs="Consolas" w:eastAsia="Consolas" w:hAnsi="Consolas"/>
          <w:sz w:val="17"/>
          <w:szCs w:val="17"/>
        </w:rPr>
        <w:t xml:space="preserve">               (b) A managed list — one row per address, scrollable, per-row remove, with an add field</w:t>
      </w:r>
    </w:p>
    <w:p>
      <w:pPr>
        <w:shd w:fill="F4F4F4" w:color="auto" w:val="clear"/>
        <w:spacing w:after="0"/>
      </w:pPr>
      <w:r>
        <w:rPr>
          <w:rFonts w:ascii="Consolas" w:cs="Consolas" w:eastAsia="Consolas" w:hAnsi="Consolas"/>
          <w:sz w:val="17"/>
          <w:szCs w:val="17"/>
        </w:rPr>
        <w:t xml:space="preserve">               (c) A textarea of addresses parsed on save</w:t>
      </w:r>
    </w:p>
    <w:p>
      <w:pPr>
        <w:shd w:fill="F4F4F4" w:color="auto" w:val="clear"/>
        <w:spacing w:after="0"/>
      </w:pPr>
      <w:r>
        <w:rPr>
          <w:rFonts w:ascii="Consolas" w:cs="Consolas" w:eastAsia="Consolas" w:hAnsi="Consolas"/>
          <w:sz w:val="17"/>
          <w:szCs w:val="17"/>
        </w:rPr>
        <w:t xml:space="preserve">  recommended: (b), because it is the only one of the three with somewhere to put per-address information,</w:t>
      </w:r>
    </w:p>
    <w:p>
      <w:pPr>
        <w:shd w:fill="F4F4F4" w:color="auto" w:val="clear"/>
        <w:spacing w:after="0"/>
      </w:pPr>
      <w:r>
        <w:rPr>
          <w:rFonts w:ascii="Consolas" w:cs="Consolas" w:eastAsia="Consolas" w:hAnsi="Consolas"/>
          <w:sz w:val="17"/>
          <w:szCs w:val="17"/>
        </w:rPr>
        <w:t xml:space="preserve">               and two requirements need exactly that</w:t>
      </w:r>
    </w:p>
    <w:p>
      <w:pPr>
        <w:shd w:fill="F4F4F4" w:color="auto" w:val="clear"/>
        <w:spacing w:after="0"/>
      </w:pPr>
      <w:r>
        <w:rPr>
          <w:rFonts w:ascii="Consolas" w:cs="Consolas" w:eastAsia="Consolas" w:hAnsi="Consolas"/>
          <w:sz w:val="17"/>
          <w:szCs w:val="17"/>
        </w:rPr>
        <w:t xml:space="preserve">  consequence: Inside-or-outside-the-organization is derived per address and gates a privilege (REQ-76), and</w:t>
      </w:r>
    </w:p>
    <w:p>
      <w:pPr>
        <w:shd w:fill="F4F4F4" w:color="auto" w:val="clear"/>
        <w:spacing w:after="0"/>
      </w:pPr>
      <w:r>
        <w:rPr>
          <w:rFonts w:ascii="Consolas" w:cs="Consolas" w:eastAsia="Consolas" w:hAnsi="Consolas"/>
          <w:sz w:val="17"/>
          <w:szCs w:val="17"/>
        </w:rPr>
        <w:t xml:space="preserve">               a bounce is reported per address (REQ-107). (a) has no room for either and twenty tokens wrap</w:t>
      </w:r>
    </w:p>
    <w:p>
      <w:pPr>
        <w:shd w:fill="F4F4F4" w:color="auto" w:val="clear"/>
        <w:spacing w:after="0"/>
      </w:pPr>
      <w:r>
        <w:rPr>
          <w:rFonts w:ascii="Consolas" w:cs="Consolas" w:eastAsia="Consolas" w:hAnsi="Consolas"/>
          <w:sz w:val="17"/>
          <w:szCs w:val="17"/>
        </w:rPr>
        <w:t xml:space="preserve">               into an unreadable block; (c) is cheapest and worst — it cannot show derived state at all, and</w:t>
      </w:r>
    </w:p>
    <w:p>
      <w:pPr>
        <w:shd w:fill="F4F4F4" w:color="auto" w:val="clear"/>
        <w:spacing w:after="0"/>
      </w:pPr>
      <w:r>
        <w:rPr>
          <w:rFonts w:ascii="Consolas" w:cs="Consolas" w:eastAsia="Consolas" w:hAnsi="Consolas"/>
          <w:sz w:val="17"/>
          <w:szCs w:val="17"/>
        </w:rPr>
        <w:t xml:space="preserve">               it makes a typo in a portfolio recipient list invisible until after the file has left, which</w:t>
      </w:r>
    </w:p>
    <w:p>
      <w:pPr>
        <w:shd w:fill="F4F4F4" w:color="auto" w:val="clear"/>
        <w:spacing w:after="0"/>
      </w:pPr>
      <w:r>
        <w:rPr>
          <w:rFonts w:ascii="Consolas" w:cs="Consolas" w:eastAsia="Consolas" w:hAnsi="Consolas"/>
          <w:sz w:val="17"/>
          <w:szCs w:val="17"/>
        </w:rPr>
        <w:t xml:space="preserve">               the PRD names as its largest risk</w:t>
      </w:r>
    </w:p>
    <w:p>
      <w:pPr>
        <w:shd w:fill="F4F4F4" w:color="auto" w:val="clear"/>
        <w:spacing w:after="0"/>
      </w:pPr>
      <w:r>
        <w:rPr>
          <w:rFonts w:ascii="Consolas" w:cs="Consolas" w:eastAsia="Consolas" w:hAnsi="Consolas"/>
          <w:sz w:val="17"/>
          <w:szCs w:val="17"/>
        </w:rPr>
        <w:t xml:space="preserve">  blocks design: yes</w:t>
      </w:r>
    </w:p>
    <w:p>
      <w:pPr>
        <w:spacing w:after="160"/>
      </w:pPr>
      <w:r>
        <w:t xml:space="preserve"/>
      </w:r>
    </w:p>
    <w:p>
      <w:pPr>
        <w:shd w:fill="F4F4F4" w:color="auto" w:val="clear"/>
        <w:spacing w:after="0"/>
      </w:pPr>
      <w:r>
        <w:rPr>
          <w:rFonts w:ascii="Consolas" w:cs="Consolas" w:eastAsia="Consolas" w:hAnsi="Consolas"/>
          <w:sz w:val="17"/>
          <w:szCs w:val="17"/>
        </w:rPr>
        <w:t xml:space="preserve">OPEN DECISION 7 — May a report be emailed to an address outside the client's own organization?</w:t>
      </w:r>
    </w:p>
    <w:p>
      <w:pPr>
        <w:shd w:fill="F4F4F4" w:color="auto" w:val="clear"/>
        <w:spacing w:after="0"/>
      </w:pPr>
      <w:r>
        <w:rPr>
          <w:rFonts w:ascii="Consolas" w:cs="Consolas" w:eastAsia="Consolas" w:hAnsi="Consolas"/>
          <w:sz w:val="17"/>
          <w:szCs w:val="17"/>
        </w:rPr>
        <w:t xml:space="preserve">  affects:     REQ-27, REQ-76, REQ-77; frames 2, 4</w:t>
      </w:r>
    </w:p>
    <w:p>
      <w:pPr>
        <w:shd w:fill="F4F4F4" w:color="auto" w:val="clear"/>
        <w:spacing w:after="0"/>
      </w:pPr>
      <w:r>
        <w:rPr>
          <w:rFonts w:ascii="Consolas" w:cs="Consolas" w:eastAsia="Consolas" w:hAnsi="Consolas"/>
          <w:sz w:val="17"/>
          <w:szCs w:val="17"/>
        </w:rPr>
        <w:t xml:space="preserve">  options:     (a) Yes, gated on the send-outside privilege, held by Owner and Admin only</w:t>
      </w:r>
    </w:p>
    <w:p>
      <w:pPr>
        <w:shd w:fill="F4F4F4" w:color="auto" w:val="clear"/>
        <w:spacing w:after="0"/>
      </w:pPr>
      <w:r>
        <w:rPr>
          <w:rFonts w:ascii="Consolas" w:cs="Consolas" w:eastAsia="Consolas" w:hAnsi="Consolas"/>
          <w:sz w:val="17"/>
          <w:szCs w:val="17"/>
        </w:rPr>
        <w:t xml:space="preserve">               (b) Yes, gated on that privilege, held by Owner, Admin and Engineer</w:t>
      </w:r>
    </w:p>
    <w:p>
      <w:pPr>
        <w:shd w:fill="F4F4F4" w:color="auto" w:val="clear"/>
        <w:spacing w:after="0"/>
      </w:pPr>
      <w:r>
        <w:rPr>
          <w:rFonts w:ascii="Consolas" w:cs="Consolas" w:eastAsia="Consolas" w:hAnsi="Consolas"/>
          <w:sz w:val="17"/>
          <w:szCs w:val="17"/>
        </w:rPr>
        <w:t xml:space="preserve">               (c) No — recipients must be inside the client's domain in this release</w:t>
      </w:r>
    </w:p>
    <w:p>
      <w:pPr>
        <w:shd w:fill="F4F4F4" w:color="auto" w:val="clear"/>
        <w:spacing w:after="0"/>
      </w:pPr>
      <w:r>
        <w:rPr>
          <w:rFonts w:ascii="Consolas" w:cs="Consolas" w:eastAsia="Consolas" w:hAnsi="Consolas"/>
          <w:sz w:val="17"/>
          <w:szCs w:val="17"/>
        </w:rPr>
        <w:t xml:space="preserve">  recommended: (a), because it keeps un-recallable external delivery with the two roles that can already</w:t>
      </w:r>
    </w:p>
    <w:p>
      <w:pPr>
        <w:shd w:fill="F4F4F4" w:color="auto" w:val="clear"/>
        <w:spacing w:after="0"/>
      </w:pPr>
      <w:r>
        <w:rPr>
          <w:rFonts w:ascii="Consolas" w:cs="Consolas" w:eastAsia="Consolas" w:hAnsi="Consolas"/>
          <w:sz w:val="17"/>
          <w:szCs w:val="17"/>
        </w:rPr>
        <w:t xml:space="preserve">               switch off somebody else's report</w:t>
      </w:r>
    </w:p>
    <w:p>
      <w:pPr>
        <w:shd w:fill="F4F4F4" w:color="auto" w:val="clear"/>
        <w:spacing w:after="0"/>
      </w:pPr>
      <w:r>
        <w:rPr>
          <w:rFonts w:ascii="Consolas" w:cs="Consolas" w:eastAsia="Consolas" w:hAnsi="Consolas"/>
          <w:sz w:val="17"/>
          <w:szCs w:val="17"/>
        </w:rPr>
        <w:t xml:space="preserve">  consequence: The PRD files this as a leadership decision and leaves three privilege-table cells unfilled</w:t>
      </w:r>
    </w:p>
    <w:p>
      <w:pPr>
        <w:shd w:fill="F4F4F4" w:color="auto" w:val="clear"/>
        <w:spacing w:after="0"/>
      </w:pPr>
      <w:r>
        <w:rPr>
          <w:rFonts w:ascii="Consolas" w:cs="Consolas" w:eastAsia="Consolas" w:hAnsi="Consolas"/>
          <w:sz w:val="17"/>
          <w:szCs w:val="17"/>
        </w:rPr>
        <w:t xml:space="preserve">               pending it. (a) and (b) both require a visible per-address inside/outside marker; (b) puts</w:t>
      </w:r>
    </w:p>
    <w:p>
      <w:pPr>
        <w:shd w:fill="F4F4F4" w:color="auto" w:val="clear"/>
        <w:spacing w:after="0"/>
      </w:pPr>
      <w:r>
        <w:rPr>
          <w:rFonts w:ascii="Consolas" w:cs="Consolas" w:eastAsia="Consolas" w:hAnsi="Consolas"/>
          <w:sz w:val="17"/>
          <w:szCs w:val="17"/>
        </w:rPr>
        <w:t xml:space="preserve">               un-recallable external delivery in the hands of the widest authoring role; (c) removes both</w:t>
      </w:r>
    </w:p>
    <w:p>
      <w:pPr>
        <w:shd w:fill="F4F4F4" w:color="auto" w:val="clear"/>
        <w:spacing w:after="0"/>
      </w:pPr>
      <w:r>
        <w:rPr>
          <w:rFonts w:ascii="Consolas" w:cs="Consolas" w:eastAsia="Consolas" w:hAnsi="Consolas"/>
          <w:sz w:val="17"/>
          <w:szCs w:val="17"/>
        </w:rPr>
        <w:t xml:space="preserve">               the privilege and the marker from this release, at the cost of the lender and auditor</w:t>
      </w:r>
    </w:p>
    <w:p>
      <w:pPr>
        <w:shd w:fill="F4F4F4" w:color="auto" w:val="clear"/>
        <w:spacing w:after="0"/>
      </w:pPr>
      <w:r>
        <w:rPr>
          <w:rFonts w:ascii="Consolas" w:cs="Consolas" w:eastAsia="Consolas" w:hAnsi="Consolas"/>
          <w:sz w:val="17"/>
          <w:szCs w:val="17"/>
        </w:rPr>
        <w:t xml:space="preserve">               reporting the PRD hints the account wants</w:t>
      </w:r>
    </w:p>
    <w:p>
      <w:pPr>
        <w:shd w:fill="F4F4F4" w:color="auto" w:val="clear"/>
        <w:spacing w:after="0"/>
      </w:pPr>
      <w:r>
        <w:rPr>
          <w:rFonts w:ascii="Consolas" w:cs="Consolas" w:eastAsia="Consolas" w:hAnsi="Consolas"/>
          <w:sz w:val="17"/>
          <w:szCs w:val="17"/>
        </w:rPr>
        <w:t xml:space="preserve">  blocks design: yes</w:t>
      </w:r>
    </w:p>
    <w:p>
      <w:pPr>
        <w:spacing w:after="160"/>
      </w:pPr>
      <w:r>
        <w:t xml:space="preserve"/>
      </w:r>
    </w:p>
    <w:p>
      <w:pPr>
        <w:shd w:fill="F4F4F4" w:color="auto" w:val="clear"/>
        <w:spacing w:after="0"/>
      </w:pPr>
      <w:r>
        <w:rPr>
          <w:rFonts w:ascii="Consolas" w:cs="Consolas" w:eastAsia="Consolas" w:hAnsi="Consolas"/>
          <w:sz w:val="17"/>
          <w:szCs w:val="17"/>
        </w:rPr>
        <w:t xml:space="preserve">OPEN DECISION 8 — Does a Technician get reports at all? Three privilege-table cells are unfilled —</w:t>
      </w:r>
    </w:p>
    <w:p>
      <w:pPr>
        <w:shd w:fill="F4F4F4" w:color="auto" w:val="clear"/>
        <w:spacing w:after="0"/>
      </w:pPr>
      <w:r>
        <w:rPr>
          <w:rFonts w:ascii="Consolas" w:cs="Consolas" w:eastAsia="Consolas" w:hAnsi="Consolas"/>
          <w:sz w:val="17"/>
          <w:szCs w:val="17"/>
        </w:rPr>
        <w:t xml:space="preserve">                  see system reports, create a private report, and read run history.</w:t>
      </w:r>
    </w:p>
    <w:p>
      <w:pPr>
        <w:shd w:fill="F4F4F4" w:color="auto" w:val="clear"/>
        <w:spacing w:after="0"/>
      </w:pPr>
      <w:r>
        <w:rPr>
          <w:rFonts w:ascii="Consolas" w:cs="Consolas" w:eastAsia="Consolas" w:hAnsi="Consolas"/>
          <w:sz w:val="17"/>
          <w:szCs w:val="17"/>
        </w:rPr>
        <w:t xml:space="preserve">  affects:     REQ-77, REQ-81, REQ-91, REQ-95, REQ-49, REQ-50; frames 1, 2, 3, 4</w:t>
      </w:r>
    </w:p>
    <w:p>
      <w:pPr>
        <w:shd w:fill="F4F4F4" w:color="auto" w:val="clear"/>
        <w:spacing w:after="0"/>
      </w:pPr>
      <w:r>
        <w:rPr>
          <w:rFonts w:ascii="Consolas" w:cs="Consolas" w:eastAsia="Consolas" w:hAnsi="Consolas"/>
          <w:sz w:val="17"/>
          <w:szCs w:val="17"/>
        </w:rPr>
        <w:t xml:space="preserve">  options:     (a) No to all three — a Technician has no reporting surface at all</w:t>
      </w:r>
    </w:p>
    <w:p>
      <w:pPr>
        <w:shd w:fill="F4F4F4" w:color="auto" w:val="clear"/>
        <w:spacing w:after="0"/>
      </w:pPr>
      <w:r>
        <w:rPr>
          <w:rFonts w:ascii="Consolas" w:cs="Consolas" w:eastAsia="Consolas" w:hAnsi="Consolas"/>
          <w:sz w:val="17"/>
          <w:szCs w:val="17"/>
        </w:rPr>
        <w:t xml:space="preserve">               (b) Read-only — sees system reports and reads run history, cannot create</w:t>
      </w:r>
    </w:p>
    <w:p>
      <w:pPr>
        <w:shd w:fill="F4F4F4" w:color="auto" w:val="clear"/>
        <w:spacing w:after="0"/>
      </w:pPr>
      <w:r>
        <w:rPr>
          <w:rFonts w:ascii="Consolas" w:cs="Consolas" w:eastAsia="Consolas" w:hAnsi="Consolas"/>
          <w:sz w:val="17"/>
          <w:szCs w:val="17"/>
        </w:rPr>
        <w:t xml:space="preserve">               (c) Yes to all three — sees system reports, creates private reports, reads history for</w:t>
      </w:r>
    </w:p>
    <w:p>
      <w:pPr>
        <w:shd w:fill="F4F4F4" w:color="auto" w:val="clear"/>
        <w:spacing w:after="0"/>
      </w:pPr>
      <w:r>
        <w:rPr>
          <w:rFonts w:ascii="Consolas" w:cs="Consolas" w:eastAsia="Consolas" w:hAnsi="Consolas"/>
          <w:sz w:val="17"/>
          <w:szCs w:val="17"/>
        </w:rPr>
        <w:t xml:space="preserve">                   anything visible</w:t>
      </w:r>
    </w:p>
    <w:p>
      <w:pPr>
        <w:shd w:fill="F4F4F4" w:color="auto" w:val="clear"/>
        <w:spacing w:after="0"/>
      </w:pPr>
      <w:r>
        <w:rPr>
          <w:rFonts w:ascii="Consolas" w:cs="Consolas" w:eastAsia="Consolas" w:hAnsi="Consolas"/>
          <w:sz w:val="17"/>
          <w:szCs w:val="17"/>
        </w:rPr>
        <w:t xml:space="preserve">  recommended: (b), because it gives a Technician the reports Sand ships for their assigned sites without</w:t>
      </w:r>
    </w:p>
    <w:p>
      <w:pPr>
        <w:shd w:fill="F4F4F4" w:color="auto" w:val="clear"/>
        <w:spacing w:after="0"/>
      </w:pPr>
      <w:r>
        <w:rPr>
          <w:rFonts w:ascii="Consolas" w:cs="Consolas" w:eastAsia="Consolas" w:hAnsi="Consolas"/>
          <w:sz w:val="17"/>
          <w:szCs w:val="17"/>
        </w:rPr>
        <w:t xml:space="preserve">               any authoring surface</w:t>
      </w:r>
    </w:p>
    <w:p>
      <w:pPr>
        <w:shd w:fill="F4F4F4" w:color="auto" w:val="clear"/>
        <w:spacing w:after="0"/>
      </w:pPr>
      <w:r>
        <w:rPr>
          <w:rFonts w:ascii="Consolas" w:cs="Consolas" w:eastAsia="Consolas" w:hAnsi="Consolas"/>
          <w:sz w:val="17"/>
          <w:szCs w:val="17"/>
        </w:rPr>
        <w:t xml:space="preserve">  consequence: This decides how much the hidden-not-disabled rule actually has to do. (a) is the most</w:t>
      </w:r>
    </w:p>
    <w:p>
      <w:pPr>
        <w:shd w:fill="F4F4F4" w:color="auto" w:val="clear"/>
        <w:spacing w:after="0"/>
      </w:pPr>
      <w:r>
        <w:rPr>
          <w:rFonts w:ascii="Consolas" w:cs="Consolas" w:eastAsia="Consolas" w:hAnsi="Consolas"/>
          <w:sz w:val="17"/>
          <w:szCs w:val="17"/>
        </w:rPr>
        <w:t xml:space="preserve">               demanding version of REQ-50 — no system tab, no create affordance, no history, and still no</w:t>
      </w:r>
    </w:p>
    <w:p>
      <w:pPr>
        <w:shd w:fill="F4F4F4" w:color="auto" w:val="clear"/>
        <w:spacing w:after="0"/>
      </w:pPr>
      <w:r>
        <w:rPr>
          <w:rFonts w:ascii="Consolas" w:cs="Consolas" w:eastAsia="Consolas" w:hAnsi="Consolas"/>
          <w:sz w:val="17"/>
          <w:szCs w:val="17"/>
        </w:rPr>
        <w:t xml:space="preserve">               hole in the layout — and is worth designing against deliberately if chosen; (c) makes the</w:t>
      </w:r>
    </w:p>
    <w:p>
      <w:pPr>
        <w:shd w:fill="F4F4F4" w:color="auto" w:val="clear"/>
        <w:spacing w:after="0"/>
      </w:pPr>
      <w:r>
        <w:rPr>
          <w:rFonts w:ascii="Consolas" w:cs="Consolas" w:eastAsia="Consolas" w:hAnsi="Consolas"/>
          <w:sz w:val="17"/>
          <w:szCs w:val="17"/>
        </w:rPr>
        <w:t xml:space="preserve">               Technician column identical to Engineer except for sharing, which weakens the reason for</w:t>
      </w:r>
    </w:p>
    <w:p>
      <w:pPr>
        <w:shd w:fill="F4F4F4" w:color="auto" w:val="clear"/>
        <w:spacing w:after="0"/>
      </w:pPr>
      <w:r>
        <w:rPr>
          <w:rFonts w:ascii="Consolas" w:cs="Consolas" w:eastAsia="Consolas" w:hAnsi="Consolas"/>
          <w:sz w:val="17"/>
          <w:szCs w:val="17"/>
        </w:rPr>
        <w:t xml:space="preserve">               having the row</w:t>
      </w:r>
    </w:p>
    <w:p>
      <w:pPr>
        <w:shd w:fill="F4F4F4" w:color="auto" w:val="clear"/>
        <w:spacing w:after="0"/>
      </w:pPr>
      <w:r>
        <w:rPr>
          <w:rFonts w:ascii="Consolas" w:cs="Consolas" w:eastAsia="Consolas" w:hAnsi="Consolas"/>
          <w:sz w:val="17"/>
          <w:szCs w:val="17"/>
        </w:rPr>
        <w:t xml:space="preserve">  blocks design: yes</w:t>
      </w:r>
    </w:p>
    <w:p>
      <w:pPr>
        <w:spacing w:after="160"/>
      </w:pPr>
      <w:r>
        <w:t xml:space="preserve"/>
      </w:r>
    </w:p>
    <w:p>
      <w:pPr>
        <w:shd w:fill="F4F4F4" w:color="auto" w:val="clear"/>
        <w:spacing w:after="0"/>
      </w:pPr>
      <w:r>
        <w:rPr>
          <w:rFonts w:ascii="Consolas" w:cs="Consolas" w:eastAsia="Consolas" w:hAnsi="Consolas"/>
          <w:sz w:val="17"/>
          <w:szCs w:val="17"/>
        </w:rPr>
        <w:t xml:space="preserve">OPEN DECISION 9 — Who designs the Dashboard Deletion Impact Dialog, given that it modifies a flow the</w:t>
      </w:r>
    </w:p>
    <w:p>
      <w:pPr>
        <w:shd w:fill="F4F4F4" w:color="auto" w:val="clear"/>
        <w:spacing w:after="0"/>
      </w:pPr>
      <w:r>
        <w:rPr>
          <w:rFonts w:ascii="Consolas" w:cs="Consolas" w:eastAsia="Consolas" w:hAnsi="Consolas"/>
          <w:sz w:val="17"/>
          <w:szCs w:val="17"/>
        </w:rPr>
        <w:t xml:space="preserve">                  dashboard builders own?</w:t>
      </w:r>
    </w:p>
    <w:p>
      <w:pPr>
        <w:shd w:fill="F4F4F4" w:color="auto" w:val="clear"/>
        <w:spacing w:after="0"/>
      </w:pPr>
      <w:r>
        <w:rPr>
          <w:rFonts w:ascii="Consolas" w:cs="Consolas" w:eastAsia="Consolas" w:hAnsi="Consolas"/>
          <w:sz w:val="17"/>
          <w:szCs w:val="17"/>
        </w:rPr>
        <w:t xml:space="preserve">  affects:     REQ-43, REQ-44, REQ-45; frame 5</w:t>
      </w:r>
    </w:p>
    <w:p>
      <w:pPr>
        <w:shd w:fill="F4F4F4" w:color="auto" w:val="clear"/>
        <w:spacing w:after="0"/>
      </w:pPr>
      <w:r>
        <w:rPr>
          <w:rFonts w:ascii="Consolas" w:cs="Consolas" w:eastAsia="Consolas" w:hAnsi="Consolas"/>
          <w:sz w:val="17"/>
          <w:szCs w:val="17"/>
        </w:rPr>
        <w:t xml:space="preserve">  options:     (a) This module specs it and hands it to the dashboard builders' file</w:t>
      </w:r>
    </w:p>
    <w:p>
      <w:pPr>
        <w:shd w:fill="F4F4F4" w:color="auto" w:val="clear"/>
        <w:spacing w:after="0"/>
      </w:pPr>
      <w:r>
        <w:rPr>
          <w:rFonts w:ascii="Consolas" w:cs="Consolas" w:eastAsia="Consolas" w:hAnsi="Consolas"/>
          <w:sz w:val="17"/>
          <w:szCs w:val="17"/>
        </w:rPr>
        <w:t xml:space="preserve">               (b) The dashboard builders own it, and this module supplies only the dependent-report data contract</w:t>
      </w:r>
    </w:p>
    <w:p>
      <w:pPr>
        <w:shd w:fill="F4F4F4" w:color="auto" w:val="clear"/>
        <w:spacing w:after="0"/>
      </w:pPr>
      <w:r>
        <w:rPr>
          <w:rFonts w:ascii="Consolas" w:cs="Consolas" w:eastAsia="Consolas" w:hAnsi="Consolas"/>
          <w:sz w:val="17"/>
          <w:szCs w:val="17"/>
        </w:rPr>
        <w:t xml:space="preserve">               (c) This module designs and builds it in its own file, accepting a duplicate deletion flow</w:t>
      </w:r>
    </w:p>
    <w:p>
      <w:pPr>
        <w:shd w:fill="F4F4F4" w:color="auto" w:val="clear"/>
        <w:spacing w:after="0"/>
      </w:pPr>
      <w:r>
        <w:rPr>
          <w:rFonts w:ascii="Consolas" w:cs="Consolas" w:eastAsia="Consolas" w:hAnsi="Consolas"/>
          <w:sz w:val="17"/>
          <w:szCs w:val="17"/>
        </w:rPr>
        <w:t xml:space="preserve">  recommended: (a), because Requirement 21 is this module's requirement and no other module has a reason to</w:t>
      </w:r>
    </w:p>
    <w:p>
      <w:pPr>
        <w:shd w:fill="F4F4F4" w:color="auto" w:val="clear"/>
        <w:spacing w:after="0"/>
      </w:pPr>
      <w:r>
        <w:rPr>
          <w:rFonts w:ascii="Consolas" w:cs="Consolas" w:eastAsia="Consolas" w:hAnsi="Consolas"/>
          <w:sz w:val="17"/>
          <w:szCs w:val="17"/>
        </w:rPr>
        <w:t xml:space="preserve">               name scheduled reports, but the deletion flow is not this module's to own</w:t>
      </w:r>
    </w:p>
    <w:p>
      <w:pPr>
        <w:shd w:fill="F4F4F4" w:color="auto" w:val="clear"/>
        <w:spacing w:after="0"/>
      </w:pPr>
      <w:r>
        <w:rPr>
          <w:rFonts w:ascii="Consolas" w:cs="Consolas" w:eastAsia="Consolas" w:hAnsi="Consolas"/>
          <w:sz w:val="17"/>
          <w:szCs w:val="17"/>
        </w:rPr>
        <w:t xml:space="preserve">  consequence: The PRD's own screen inventory names four screens plus three artefacts and omits this dialog</w:t>
      </w:r>
    </w:p>
    <w:p>
      <w:pPr>
        <w:shd w:fill="F4F4F4" w:color="auto" w:val="clear"/>
        <w:spacing w:after="0"/>
      </w:pPr>
      <w:r>
        <w:rPr>
          <w:rFonts w:ascii="Consolas" w:cs="Consolas" w:eastAsia="Consolas" w:hAnsi="Consolas"/>
          <w:sz w:val="17"/>
          <w:szCs w:val="17"/>
        </w:rPr>
        <w:t xml:space="preserve">               entirely, so it is unassigned rather than assigned elsewhere. (a) needs a coordination point</w:t>
      </w:r>
    </w:p>
    <w:p>
      <w:pPr>
        <w:shd w:fill="F4F4F4" w:color="auto" w:val="clear"/>
        <w:spacing w:after="0"/>
      </w:pPr>
      <w:r>
        <w:rPr>
          <w:rFonts w:ascii="Consolas" w:cs="Consolas" w:eastAsia="Consolas" w:hAnsi="Consolas"/>
          <w:sz w:val="17"/>
          <w:szCs w:val="17"/>
        </w:rPr>
        <w:t xml:space="preserve">               and a shared component location; (b) risks the warning never being built, because it is</w:t>
      </w:r>
    </w:p>
    <w:p>
      <w:pPr>
        <w:shd w:fill="F4F4F4" w:color="auto" w:val="clear"/>
        <w:spacing w:after="0"/>
      </w:pPr>
      <w:r>
        <w:rPr>
          <w:rFonts w:ascii="Consolas" w:cs="Consolas" w:eastAsia="Consolas" w:hAnsi="Consolas"/>
          <w:sz w:val="17"/>
          <w:szCs w:val="17"/>
        </w:rPr>
        <w:t xml:space="preserve">               nobody's P0; (c) produces two deletion confirmations for one action, which is the worst</w:t>
      </w:r>
    </w:p>
    <w:p>
      <w:pPr>
        <w:shd w:fill="F4F4F4" w:color="auto" w:val="clear"/>
        <w:spacing w:after="0"/>
      </w:pPr>
      <w:r>
        <w:rPr>
          <w:rFonts w:ascii="Consolas" w:cs="Consolas" w:eastAsia="Consolas" w:hAnsi="Consolas"/>
          <w:sz w:val="17"/>
          <w:szCs w:val="17"/>
        </w:rPr>
        <w:t xml:space="preserve">               outcome for the person deleting</w:t>
      </w:r>
    </w:p>
    <w:p>
      <w:pPr>
        <w:shd w:fill="F4F4F4" w:color="auto" w:val="clear"/>
        <w:spacing w:after="0"/>
      </w:pPr>
      <w:r>
        <w:rPr>
          <w:rFonts w:ascii="Consolas" w:cs="Consolas" w:eastAsia="Consolas" w:hAnsi="Consolas"/>
          <w:sz w:val="17"/>
          <w:szCs w:val="17"/>
        </w:rPr>
        <w:t xml:space="preserve">  blocks design: yes</w:t>
      </w:r>
    </w:p>
    <w:p>
      <w:pPr>
        <w:spacing w:after="160"/>
      </w:pPr>
      <w:r>
        <w:t xml:space="preserve"/>
      </w:r>
    </w:p>
    <w:p>
      <w:pPr>
        <w:sectPr>
          <w:pgSz w:w="16837" w:h="11905" w:orient="landscape"/>
          <w:pgMar w:top="1440" w:right="1440" w:bottom="1440" w:left="1440" w:header="708" w:footer="708" w:gutter="0"/>
          <w:pgNumType/>
          <w:docGrid w:linePitch="360"/>
        </w:sectPr>
      </w:pPr>
    </w:p>
    <w:p>
      <w:pPr>
        <w:pStyle w:val="Heading3"/>
      </w:pPr>
      <w:r>
        <w:t xml:space="preserve">Needs a human in the editor</w:t>
      </w:r>
    </w:p>
    <w:p>
      <w:pPr>
        <w:pStyle w:val="ListParagraph"/>
        <w:numPr>
          <w:ilvl w:val="0"/>
          <w:numId w:val="2"/>
        </w:numPr>
        <w:spacing w:after="60"/>
      </w:pPr>
      <w:r>
        <w:rPr>
          <w:b/>
          <w:bCs/>
        </w:rPr>
        <w:t xml:space="preserve">Attachment ceiling copy.</w:t>
      </w:r>
      <w:r>
        <w:t xml:space="preserve"> REQ-105 requires a stated reason when a file exceeds the ceiling, but the ceiling itself is unknown — the PRD records it as data nobody has. The failure copy cannot be finalized until somebody measures what the mail provider refuses.</w:t>
      </w:r>
    </w:p>
    <w:p>
      <w:pPr>
        <w:pStyle w:val="ListParagraph"/>
        <w:numPr>
          <w:ilvl w:val="0"/>
          <w:numId w:val="2"/>
        </w:numPr>
        <w:spacing w:after="60"/>
      </w:pPr>
      <w:r>
        <w:rPr>
          <w:b/>
          <w:bCs/>
        </w:rPr>
        <w:t xml:space="preserve">Retention wording.</w:t>
      </w:r>
      <w:r>
        <w:t xml:space="preserve"> REQ-31 requires a retention period stated in the product. The duration is unanswered and may carry a regulatory constraint, so the wording needs a legal sign-off, not a design choice.</w:t>
      </w:r>
    </w:p>
    <w:p>
      <w:pPr>
        <w:pStyle w:val="ListParagraph"/>
        <w:numPr>
          <w:ilvl w:val="0"/>
          <w:numId w:val="2"/>
        </w:numPr>
        <w:spacing w:after="60"/>
      </w:pPr>
      <w:r>
        <w:rPr>
          <w:b/>
          <w:bCs/>
        </w:rPr>
        <w:t xml:space="preserve">Concurrency behaviour at the interface.</w:t>
      </w:r>
      <w:r>
        <w:t xml:space="preserve"> REQ-106 requires runs to queue rather than drop, but how many concurrent runs must be supported is unanswered, so whether a queued run needs its own visible state is undecidable here.</w:t>
      </w:r>
    </w:p>
    <w:p>
      <w:pPr>
        <w:pStyle w:val="ListParagraph"/>
        <w:numPr>
          <w:ilvl w:val="0"/>
          <w:numId w:val="2"/>
        </w:numPr>
        <w:spacing w:after="60"/>
      </w:pPr>
      <w:r>
        <w:rPr>
          <w:b/>
          <w:bCs/>
        </w:rPr>
        <w:t xml:space="preserve">Time zone source.</w:t>
      </w:r>
      <w:r>
        <w:t xml:space="preserve"> REQ-21 and REQ-22 require a declared time zone stated on screen. Whether the list offered is the client account's configured zones, the person's own, or the full IANA set is not stated anywhere in the PRD or annex.</w:t>
      </w:r>
    </w:p>
    <w:p>
      <w:pPr>
        <w:pStyle w:val="ListParagraph"/>
        <w:numPr>
          <w:ilvl w:val="0"/>
          <w:numId w:val="2"/>
        </w:numPr>
        <w:spacing w:after="60"/>
      </w:pPr>
      <w:r>
        <w:rPr>
          <w:b/>
          <w:bCs/>
        </w:rPr>
        <w:t xml:space="preserve">Accessibility bar.</w:t>
      </w:r>
      <w:r>
        <w:t xml:space="preserve"> The annex records accessibility as one of six quality bars never specified, with nothing invented to fill it. Contrast, focus order and keyboard reachability targets need setting before the frames can be checked against them.</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lvl w:ilvl="1" w15:tentative="1">
      <w:start w:val="1"/>
      <w:numFmt w:val="lowerLetter"/>
      <w:lvlText w:val="%2."/>
      <w:lvlJc w:val="left"/>
      <w:pPr>
        <w:ind w:left="7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5409faf6be2e03ca43ec748fe21a22fcd2255b.png"/><Relationship Id="rId8" Type="http://schemas.openxmlformats.org/officeDocument/2006/relationships/image" Target="media/e078e9e719a031500e6d82f8737e5bd00d9498e2.png"/><Relationship Id="rId9" Type="http://schemas.openxmlformats.org/officeDocument/2006/relationships/image" Target="media/b94f6729292aeea6da8849ed646becc78b7273dd.png"/><Relationship Id="rId10" Type="http://schemas.openxmlformats.org/officeDocument/2006/relationships/image" Target="media/635afd13fbd89c6acd5bf4273ae8545973946914.png"/><Relationship Id="rId11" Type="http://schemas.openxmlformats.org/officeDocument/2006/relationships/image" Target="media/0a8d0c14a605d18f9ae15b1c9091ee0b2d152c2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Reporting Module — Design Requirements</dc:title>
  <dc:creator>PRD-to-UI workflow — /prd-design-requirements</dc:creator>
  <dc:description>Phase 1 design requirements derived from PRD-reporting-module-v1</dc:description>
  <cp:lastModifiedBy>Un-named</cp:lastModifiedBy>
  <cp:revision>1</cp:revision>
  <dcterms:created xsi:type="dcterms:W3CDTF">2026-09-10T20:40:24.858Z</dcterms:created>
  <dcterms:modified xsi:type="dcterms:W3CDTF">2026-09-10T20:40:24.860Z</dcterms:modified>
</cp:coreProperties>
</file>

<file path=docProps/custom.xml><?xml version="1.0" encoding="utf-8"?>
<Properties xmlns="http://schemas.openxmlformats.org/officeDocument/2006/custom-properties" xmlns:vt="http://schemas.openxmlformats.org/officeDocument/2006/docPropsVTypes"/>
</file>