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265E9" w14:textId="77777777" w:rsidR="000E1859" w:rsidRDefault="00944539">
      <w:pPr>
        <w:pStyle w:val="Title"/>
      </w:pPr>
      <w:r>
        <w:t>Betting and Belief: Prediction Markets and Attribution of Climate Change</w:t>
      </w:r>
    </w:p>
    <w:p w14:paraId="4CDC5E2E" w14:textId="77777777" w:rsidR="000E1859" w:rsidRDefault="00944539">
      <w:pPr>
        <w:pStyle w:val="Author"/>
      </w:pPr>
      <w:r>
        <w:t>John J. Nay, Martin Van der Linden, Jonathan Gilligan</w:t>
      </w:r>
    </w:p>
    <w:p w14:paraId="3D15EFF1" w14:textId="77777777" w:rsidR="000E1859" w:rsidRDefault="00944539">
      <w:pPr>
        <w:pStyle w:val="Date"/>
      </w:pPr>
      <w:r>
        <w:t>March 23, 2016</w:t>
      </w:r>
    </w:p>
    <w:p w14:paraId="0DA2B33E" w14:textId="77777777" w:rsidR="000E1859" w:rsidRDefault="00944539">
      <w:pPr>
        <w:pStyle w:val="Heading1"/>
      </w:pPr>
      <w:bookmarkStart w:id="0" w:name="abstract"/>
      <w:bookmarkEnd w:id="0"/>
      <w:r>
        <w:t>Abstract</w:t>
      </w:r>
      <w:bookmarkStart w:id="1" w:name="_GoBack"/>
      <w:bookmarkEnd w:id="1"/>
    </w:p>
    <w:p w14:paraId="35C2F7F6" w14:textId="77777777" w:rsidR="000E1859" w:rsidRDefault="00944539">
      <w:pPr>
        <w:pStyle w:val="FirstParagraph"/>
      </w:pPr>
      <w:r>
        <w:t xml:space="preserve">We present a simulation model as a computational test-bed for climate prediction markets. Traders adapt their beliefs about future temperatures based on the monetary performance of their neighboring traders in a social network. We conduct experiments with </w:t>
      </w:r>
      <w:r>
        <w:t xml:space="preserve">the model to determine how a variety of social factors and the temperature data-generating process may affect the extent to which climate prediction markets foster a convergence of market participants' beliefs regarding a true model of the global climate. </w:t>
      </w:r>
      <w:r>
        <w:t>We simulate two alternative climate futures: one where the natural log of CO</w:t>
      </w:r>
      <m:oMath>
        <m:sSub>
          <m:sSubPr>
            <m:ctrlPr>
              <w:rPr>
                <w:rFonts w:ascii="Cambria Math" w:hAnsi="Cambria Math"/>
              </w:rPr>
            </m:ctrlPr>
          </m:sSubPr>
          <m:e/>
          <m:sub>
            <m:r>
              <w:rPr>
                <w:rFonts w:ascii="Cambria Math" w:hAnsi="Cambria Math"/>
              </w:rPr>
              <m:t>2</m:t>
            </m:r>
          </m:sub>
        </m:sSub>
      </m:oMath>
      <w:r>
        <w:t xml:space="preserve"> is the primary driver of global temperature and one where sun spots are the primary driver. These represent the two most plausible competing views. Market participation causes mo</w:t>
      </w:r>
      <w:r>
        <w:t>st traders to converge toward believing the "true" climate model in a relatively small number of years, suggesting that a climate market could be useful. (150 word limit)</w:t>
      </w:r>
    </w:p>
    <w:p w14:paraId="13AF792D" w14:textId="77777777" w:rsidR="000E1859" w:rsidRDefault="00944539">
      <w:pPr>
        <w:pStyle w:val="Heading1"/>
      </w:pPr>
      <w:bookmarkStart w:id="2" w:name="introduction"/>
      <w:bookmarkEnd w:id="2"/>
      <w:r>
        <w:t>Introduction</w:t>
      </w:r>
    </w:p>
    <w:p w14:paraId="4DC880E6" w14:textId="77777777" w:rsidR="000E1859" w:rsidRDefault="00944539">
      <w:pPr>
        <w:pStyle w:val="FirstParagraph"/>
      </w:pPr>
      <w:r>
        <w:t>The climate change debate has become strongly polarized over the past tw</w:t>
      </w:r>
      <w:r>
        <w:t>o decades. Although the scientific consensus on the anthropogenic nature of climate change strongly increased, beliefs about climate change did not evolve much within the public (Vandenbergh, Toner, and Gilligan 2013). In addition, the divide on anthropoge</w:t>
      </w:r>
      <w:r>
        <w:t>nic climate change between liberals and conservatives has grown steadily as the question is becoming increasingly politicized and potentially disconnected from scientific evidence. The costs of misinformed climate policies are high. If climate change is no</w:t>
      </w:r>
      <w:r>
        <w:t>t human-induced but is believed to be so, public resources will be spent on unnecessary efforts. On the other hand, if climate change is human-induced but not recognized as so, the costs of inaction could be devastating. Given that effective climate polici</w:t>
      </w:r>
      <w:r>
        <w:t>es require long-lasting measures to be taken, the importance of an accurate consensus on the issue is manifest.</w:t>
      </w:r>
    </w:p>
    <w:p w14:paraId="2005D152" w14:textId="77777777" w:rsidR="000E1859" w:rsidRDefault="00944539">
      <w:pPr>
        <w:pStyle w:val="BodyText"/>
      </w:pPr>
      <w:r>
        <w:t xml:space="preserve">Attempts to foster such consensus face many social and psychological challenges, some of which could be adressed by creating climate prediction </w:t>
      </w:r>
      <w:r>
        <w:t>markets where participants can "put their money where their mouths are" (Hsu 2011; Vandenbergh, Toner, and Gilligan 2013). The idea of using prediction markets to efficiently aggregate information about uncertain event outcomes has been widely discussed (H</w:t>
      </w:r>
      <w:r>
        <w:t>orn et al. 2014). Prediction markets have interesting theoretical properties (Set and Selten 1998; Hanson 2012), and perform well in terms of prediction accuracy and information aggregation in experiments (Hanson, Oprea, and Porter 2006; Healy et al. 2010)</w:t>
      </w:r>
      <w:r>
        <w:t xml:space="preserve"> simulation models (Klingert and Meyer 2012; Jumadinova and Dasgupta 2011) and the real-world (Wolfers and Zitzewitz 2006; Pathak, Rothschild, and Dudik 2015). Prediction markets have been shown to be effective at identifying which scientific publications </w:t>
      </w:r>
      <w:r>
        <w:t>are likely to be successfully replicated (Dreber et al. 2015).</w:t>
      </w:r>
    </w:p>
    <w:p w14:paraId="1A3C017F" w14:textId="77777777" w:rsidR="000E1859" w:rsidRDefault="00944539">
      <w:pPr>
        <w:pStyle w:val="BodyText"/>
      </w:pPr>
      <w:r>
        <w:t xml:space="preserve">Bloch, Annan and Bowles (2010) have proposed using derivatives markets to reduce the scientific uncertainty in estimating the impact of future climate change. Existing prediction markets (e.g. </w:t>
      </w:r>
      <w:r>
        <w:t>hypermind.com, betfair.com, and predictit.org) focus on near term events such as elections months away, so it is difficult to extrapolate empirical findings to the climate case. Furthermore, we are interested in investigating the unobservable beliefs of tr</w:t>
      </w:r>
      <w:r>
        <w:t>aders. Therefore, we turn to simulation modeling informed by climate and economic theory. We simulate a prediction market where traders exchange securities related to climate outcomes to explore whether, and under what social and climate conditions, predic</w:t>
      </w:r>
      <w:r>
        <w:t>tion markets may be useful for increasing convergence of climate beliefs. Our work can be extended as part of a computational design process for effective climate prediction markets.</w:t>
      </w:r>
    </w:p>
    <w:p w14:paraId="0B121C4A" w14:textId="77777777" w:rsidR="000E1859" w:rsidRDefault="00944539">
      <w:pPr>
        <w:pStyle w:val="Heading1"/>
      </w:pPr>
      <w:bookmarkStart w:id="3" w:name="related-work"/>
      <w:bookmarkEnd w:id="3"/>
      <w:r>
        <w:lastRenderedPageBreak/>
        <w:t>Related Work</w:t>
      </w:r>
    </w:p>
    <w:p w14:paraId="50D3EA5F" w14:textId="77777777" w:rsidR="000E1859" w:rsidRDefault="00944539">
      <w:pPr>
        <w:pStyle w:val="FirstParagraph"/>
      </w:pPr>
      <w:r>
        <w:t>Tseng et al. (2010) create an agent-based model (ABM) of a c</w:t>
      </w:r>
      <w:r>
        <w:t xml:space="preserve">ontinuous double auction market with multiple market strategies, including two variants of the zero-intelligence agent. They compare the behavior of their simulation with data from a prediction market for the outcome of political elections. They find that </w:t>
      </w:r>
      <w:r>
        <w:t>despite their simplicity, zero-intelligence agents capture some salient features of real market data. Klingert and Meyer (2012) reach similar conclusions with respect to experimental data from Hanson, Oprea, and Porter (2006). In their simulation, Klingert</w:t>
      </w:r>
      <w:r>
        <w:t xml:space="preserve"> and Meyer (2012) compare continuous double auctions with logarithmic market scoring rules and find that the latter generally outperform continuous double auctions in terms of prediction accuracy. In some variants of the two last models, agents' strategies</w:t>
      </w:r>
      <w:r>
        <w:t xml:space="preserve"> feature learning, but these are rather basic and unrelated to a formal predictive model.</w:t>
      </w:r>
    </w:p>
    <w:p w14:paraId="6CD30DC9" w14:textId="77777777" w:rsidR="000E1859" w:rsidRDefault="00944539">
      <w:pPr>
        <w:pStyle w:val="BodyText"/>
      </w:pPr>
      <w:r>
        <w:t>Jumadinova and Dasgupta (2011) conducted research similar to ours, as they explicitly include information about uncertain events in their model. Jumadinova and Dasgup</w:t>
      </w:r>
      <w:r>
        <w:t>ta (2011) study a continuous double auction model in which agents update their beliefs about uncertain events based on information on the event. New beliefs are modeled as a weighted sum of the last period's beliefs and market prices. The agents' informati</w:t>
      </w:r>
      <w:r>
        <w:t>on set changes every period. The better the information set, the more likely the agent is to put higher weight on last period's prices when revising their beliefs. Little structure is imposed on the information set and the way it is used to generate the we</w:t>
      </w:r>
      <w:r>
        <w:t>ights in the update function. Therefore, the model does not allow for investigating the convergence of predictive models. Ontañón and Plaza (2009) study the effect of deliberation on a simulated prediction market. They assume that agents use Case-Based Rea</w:t>
      </w:r>
      <w:r>
        <w:t>soning (Aamodt and Plaza 1994) to debate uncertain outcomes with their neighbors in a social network. Although the model could in theory be used to assess convergence of predictive models by looking at the arguments agents adopt after the deliberation, thi</w:t>
      </w:r>
      <w:r>
        <w:t>s is not done by the authors. Also, the way beliefs are formed and revised through argumentation is too abstract for studying climate prediction markets, where beliefs should be based on statistical time series models.</w:t>
      </w:r>
    </w:p>
    <w:p w14:paraId="77C4B899" w14:textId="77777777" w:rsidR="000E1859" w:rsidRDefault="00944539">
      <w:pPr>
        <w:pStyle w:val="BodyText"/>
      </w:pPr>
      <w:r>
        <w:t>To the best of our knowledge, the ide</w:t>
      </w:r>
      <w:r>
        <w:t xml:space="preserve">a that prediction markets can generate consensus </w:t>
      </w:r>
      <w:r>
        <w:rPr>
          <w:i/>
        </w:rPr>
        <w:t>on the factors</w:t>
      </w:r>
      <w:r>
        <w:t xml:space="preserve"> affecting uncertain events has never been quantitatively explored. ABMs of prediction markets have been studied (Klingert and Meyer 2012; Tseng et al. 2010; Jumadinova and Dasgupta 2011), some</w:t>
      </w:r>
      <w:r>
        <w:t xml:space="preserve"> of which feature communication between agents. In these models, however, beliefs about the uncertain outcomes are constructed in rather abstract ways. In particular, beliefs are not based on structural models from which agents could derive causal implicat</w:t>
      </w:r>
      <w:r>
        <w:t>ions, and therefore these models are not suitable for investigating the convergence of the underlying explanatory models agents employ for prediction.</w:t>
      </w:r>
    </w:p>
    <w:p w14:paraId="50EACB07" w14:textId="77777777" w:rsidR="000E1859" w:rsidRDefault="00944539">
      <w:pPr>
        <w:pStyle w:val="BodyText"/>
      </w:pPr>
      <w:r>
        <w:t>From a public policy perspective, changing the explanatory models of market participants is one of the mo</w:t>
      </w:r>
      <w:r>
        <w:t>st important roles that prediction markets might play. This is perhaps the most important social benefit of prediction markets given the comparable predictive power of statistical supervised learning models, which can provide information at a much lower co</w:t>
      </w:r>
      <w:r>
        <w:t xml:space="preserve">st than creating and maintaining a market (Goel et al. 2010). Effective climate policy not only requires an accurate consensus on future climate </w:t>
      </w:r>
      <w:r>
        <w:rPr>
          <w:i/>
        </w:rPr>
        <w:t>outcomes</w:t>
      </w:r>
      <w:r>
        <w:t xml:space="preserve">. It also requires an accurate consensus on the causal </w:t>
      </w:r>
      <w:r>
        <w:rPr>
          <w:i/>
        </w:rPr>
        <w:t>mechanisms</w:t>
      </w:r>
      <w:r>
        <w:t xml:space="preserve"> influencing such outcomes. If people </w:t>
      </w:r>
      <w:r>
        <w:t>agree that temperature will rise, but some believe it will be due to greenhouse gases, while others believe that it will be caused by increased solar activity, inconsistent and ineffective policies may be implemented.</w:t>
      </w:r>
    </w:p>
    <w:p w14:paraId="5A7BB8B6" w14:textId="77777777" w:rsidR="000E1859" w:rsidRDefault="00944539">
      <w:pPr>
        <w:pStyle w:val="Heading1"/>
      </w:pPr>
      <w:bookmarkStart w:id="4" w:name="model-design"/>
      <w:bookmarkEnd w:id="4"/>
      <w:r>
        <w:t>Model Design</w:t>
      </w:r>
    </w:p>
    <w:p w14:paraId="576A10E8" w14:textId="77777777" w:rsidR="000E1859" w:rsidRDefault="00944539">
      <w:pPr>
        <w:pStyle w:val="FirstParagraph"/>
      </w:pPr>
      <w:r>
        <w:t>Traders bet on global tem</w:t>
      </w:r>
      <w:r>
        <w:t>perature anomalies six years in the future. During the six-year period, traders buy and sell futures. Every year, traders update their models and forecast of future temperatures based on newly available data. At the end of each six-year period, winners col</w:t>
      </w:r>
      <w:r>
        <w:t>lect gains and traders revise beliefs about climate models, based on their ideology and the beliefs of top earners in their social network. In this section, we describe the models used to generate future temperature data, agents beliefs about those models,</w:t>
      </w:r>
      <w:r>
        <w:t xml:space="preserve"> the market procedures, and the social network connecting agents. We conclude with details on model dynamics and an overview of the model parameters we experimentally vary.</w:t>
      </w:r>
    </w:p>
    <w:p w14:paraId="1B17789D" w14:textId="77777777" w:rsidR="000E1859" w:rsidRDefault="00944539">
      <w:pPr>
        <w:pStyle w:val="Heading2"/>
      </w:pPr>
      <w:bookmarkStart w:id="5" w:name="temperature-models"/>
      <w:bookmarkEnd w:id="5"/>
      <w:r>
        <w:lastRenderedPageBreak/>
        <w:t>Temperature Models</w:t>
      </w:r>
    </w:p>
    <w:p w14:paraId="6E7ADAD3" w14:textId="77777777" w:rsidR="000E1859" w:rsidRDefault="00944539">
      <w:pPr>
        <w:pStyle w:val="FirstParagraph"/>
      </w:pPr>
      <w:r>
        <w:t>For climate time-series, we use the annual anomaly of global mea</w:t>
      </w:r>
      <w:r>
        <w:t>n temperature. For years from 1880--2014 we use the GISTEMP global mean land-sea annual temperature anomalies (GISTEMP Team 2016; Hansen et al. 2010) and for years from 2015 onward, we project future climates under two alternative theories: In both theorie</w:t>
      </w:r>
      <w:r>
        <w:t>s, changes in global temperature are proportional to changes in a deterministic forcing plus a stochastic noise term. For simplicity, we choose two alternative expressions for the deterministic climate forcing: one, which corresponds to conventional climat</w:t>
      </w:r>
      <w:r>
        <w:t>e science, takes the natural logarithm of the atmospheric carbon dioxide concentration in parts per million (Archer 2012, 37), and the other, which corresponds to an alternative theory advocated by many who doubt or reject conventional climate science, tak</w:t>
      </w:r>
      <w:r>
        <w:t>es the total solar irradiance (the brightness of sunlight, in Watts per square meter, at the top of the atmosphere) averaged over the 11-year sunspot cycle (Soon 2005). Most scientific models of the earth's climate include many forcings, including carbon d</w:t>
      </w:r>
      <w:r>
        <w:t xml:space="preserve">ioxide, other greenhouse gases, aerosols, total solar irradiance, and more. In these models, the changing $\ce{CO2}$ concentration is, by a large margin, the strongest forcing (IPCC 2013, 14), so for simplicity we take this as the model. Choosing only one </w:t>
      </w:r>
      <w:r>
        <w:t>forcing term for each of the competing models simplifies comparison because each has the same number of adjustable parameters.</w:t>
      </w:r>
    </w:p>
    <w:p w14:paraId="7A29CEE7" w14:textId="77777777" w:rsidR="000E1859" w:rsidRDefault="00944539">
      <w:pPr>
        <w:pStyle w:val="BodyText"/>
      </w:pPr>
      <w:r>
        <w:t xml:space="preserve">For $\ce{CO2}$ we used historical emissions through 2005, harmonized with RCP 8.5 representative concentration pathway from 2005 </w:t>
      </w:r>
      <w:r>
        <w:t xml:space="preserve">onward (Kolp and Riahi 2009; Riahi et al. 2011) and for TSI we used the harmonized historical values, with a projection through 2100 from Velasco-Herrera </w:t>
      </w:r>
      <w:r>
        <w:rPr>
          <w:i/>
        </w:rPr>
        <w:t>et al.</w:t>
      </w:r>
      <w:r>
        <w:t xml:space="preserve"> (2015), which seems to be the best TSI model.</w:t>
      </w:r>
    </w:p>
    <w:p w14:paraId="30F376AB" w14:textId="77777777" w:rsidR="000E1859" w:rsidRDefault="00944539">
      <w:pPr>
        <w:pStyle w:val="BodyText"/>
      </w:pPr>
      <w:r>
        <w:t>Warming coefficients for each model were determin</w:t>
      </w:r>
      <w:r>
        <w:t xml:space="preserve">ed by linear regression of historical temperatures from 1880--2014 against the historical values for each model's forcing term. The noise model was determined by fitting an </w:t>
      </w:r>
      <m:oMath>
        <m:r>
          <m:rPr>
            <m:sty m:val="p"/>
          </m:rPr>
          <w:rPr>
            <w:rFonts w:ascii="Cambria Math" w:hAnsi="Cambria Math"/>
          </w:rPr>
          <m:t>ARMA</m:t>
        </m:r>
        <m:r>
          <w:rPr>
            <w:rFonts w:ascii="Cambria Math" w:hAnsi="Cambria Math"/>
          </w:rPr>
          <m:t>(</m:t>
        </m:r>
        <m:r>
          <w:rPr>
            <w:rFonts w:ascii="Cambria Math" w:hAnsi="Cambria Math"/>
          </w:rPr>
          <m:t>p</m:t>
        </m:r>
        <m:r>
          <w:rPr>
            <w:rFonts w:ascii="Cambria Math" w:hAnsi="Cambria Math"/>
          </w:rPr>
          <m:t>,</m:t>
        </m:r>
        <m:r>
          <w:rPr>
            <w:rFonts w:ascii="Cambria Math" w:hAnsi="Cambria Math"/>
          </w:rPr>
          <m:t>q</m:t>
        </m:r>
        <m:r>
          <w:rPr>
            <w:rFonts w:ascii="Cambria Math" w:hAnsi="Cambria Math"/>
          </w:rPr>
          <m:t>)</m:t>
        </m:r>
      </m:oMath>
      <w:r>
        <w:t xml:space="preserve"> model to the residuals from the regression for all combinations of </w:t>
      </w:r>
      <m:oMath>
        <m:r>
          <w:rPr>
            <w:rFonts w:ascii="Cambria Math" w:hAnsi="Cambria Math"/>
          </w:rPr>
          <m:t>p</m:t>
        </m:r>
        <m:r>
          <w:rPr>
            <w:rFonts w:ascii="Cambria Math" w:hAnsi="Cambria Math"/>
          </w:rPr>
          <m:t>,</m:t>
        </m:r>
        <m:r>
          <w:rPr>
            <w:rFonts w:ascii="Cambria Math" w:hAnsi="Cambria Math"/>
          </w:rPr>
          <m:t>q</m:t>
        </m:r>
        <m:r>
          <w:rPr>
            <w:rFonts w:ascii="Cambria Math" w:hAnsi="Cambria Math"/>
          </w:rPr>
          <m:t>∈[0,1,2]</m:t>
        </m:r>
      </m:oMath>
      <w:r>
        <w:t xml:space="preserve"> and using the Watanabe-Akaike Information Criterion to select the optimal model (Vehtari, Gelman, and Gabry 2015). The optimal model in both cases was AR(1).</w:t>
      </w:r>
    </w:p>
    <w:p w14:paraId="071C569D" w14:textId="77777777" w:rsidR="000E1859" w:rsidRDefault="00944539">
      <w:pPr>
        <w:pStyle w:val="BodyText"/>
      </w:pPr>
      <w:r>
        <w:t>Future climates were generated by multiplying the warming coefficients for each model fo</w:t>
      </w:r>
      <w:r>
        <w:t>r warming coefficients adding stochastic AR(1) noise to deterministic warming using parameters fit to the historical data (1880--2014). One realization of future climates for both the $\ln(\ce{CO2})$ and TSI models is shown in Fig. 1.</w:t>
      </w:r>
    </w:p>
    <w:p w14:paraId="65338C5D" w14:textId="77777777" w:rsidR="000E1859" w:rsidRDefault="00944539">
      <w:pPr>
        <w:pStyle w:val="Compact"/>
      </w:pPr>
      <w:r>
        <w:rPr>
          <w:noProof/>
        </w:rPr>
        <w:lastRenderedPageBreak/>
        <w:drawing>
          <wp:inline distT="0" distB="0" distL="0" distR="0" wp14:anchorId="7F14E39B" wp14:editId="5F6CB7E1">
            <wp:extent cx="48768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climateplot-1.png"/>
                    <pic:cNvPicPr>
                      <a:picLocks noChangeAspect="1" noChangeArrowheads="1"/>
                    </pic:cNvPicPr>
                  </pic:nvPicPr>
                  <pic:blipFill>
                    <a:blip r:embed="rId7"/>
                    <a:stretch>
                      <a:fillRect/>
                    </a:stretch>
                  </pic:blipFill>
                  <pic:spPr bwMode="auto">
                    <a:xfrm>
                      <a:off x="0" y="0"/>
                      <a:ext cx="4876800" cy="3657600"/>
                    </a:xfrm>
                    <a:prstGeom prst="rect">
                      <a:avLst/>
                    </a:prstGeom>
                    <a:noFill/>
                    <a:ln w="9525">
                      <a:noFill/>
                      <a:headEnd/>
                      <a:tailEnd/>
                    </a:ln>
                  </pic:spPr>
                </pic:pic>
              </a:graphicData>
            </a:graphic>
          </wp:inline>
        </w:drawing>
      </w:r>
    </w:p>
    <w:p w14:paraId="059CC8FF" w14:textId="77777777" w:rsidR="000E1859" w:rsidRDefault="00944539">
      <w:pPr>
        <w:pStyle w:val="Compact"/>
      </w:pPr>
      <w:r>
        <w:rPr>
          <w:b/>
        </w:rPr>
        <w:t>Fig. 1.</w:t>
      </w:r>
      <w:r>
        <w:t xml:space="preserve"> Historical </w:t>
      </w:r>
      <w:r>
        <w:t>measurements of temperature and temperature futures in two alternate realities.</w:t>
      </w:r>
    </w:p>
    <w:p w14:paraId="6AD77FC1" w14:textId="77777777" w:rsidR="000E1859" w:rsidRDefault="00944539">
      <w:pPr>
        <w:pStyle w:val="Heading2"/>
      </w:pPr>
      <w:bookmarkStart w:id="6" w:name="climate-beliefs"/>
      <w:bookmarkEnd w:id="6"/>
      <w:r>
        <w:t>Climate Beliefs</w:t>
      </w:r>
    </w:p>
    <w:p w14:paraId="684CF3E4" w14:textId="77777777" w:rsidR="000E1859" w:rsidRDefault="00944539">
      <w:pPr>
        <w:pStyle w:val="FirstParagraph"/>
      </w:pPr>
      <w:r>
        <w:t>Traders use one of the two models (temperature depends on CO</w:t>
      </w:r>
      <m:oMath>
        <m:sSub>
          <m:sSubPr>
            <m:ctrlPr>
              <w:rPr>
                <w:rFonts w:ascii="Cambria Math" w:hAnsi="Cambria Math"/>
              </w:rPr>
            </m:ctrlPr>
          </m:sSubPr>
          <m:e/>
          <m:sub>
            <m:r>
              <w:rPr>
                <w:rFonts w:ascii="Cambria Math" w:hAnsi="Cambria Math"/>
              </w:rPr>
              <m:t>2</m:t>
            </m:r>
          </m:sub>
        </m:sSub>
      </m:oMath>
      <w:r>
        <w:t xml:space="preserve"> or TSI) to forecast future temperature. These models are interpreted as the trader's beliefs about</w:t>
      </w:r>
      <w:r>
        <w:t xml:space="preserve"> the true climate process, the driving factor of long-term global temperatures. They represent pervasive positions on climate change in the public debate. In order to approximatively match the current configuration of beliefs in climate change in the Unite</w:t>
      </w:r>
      <w:r>
        <w:t>d States, the CO</w:t>
      </w:r>
      <m:oMath>
        <m:sSub>
          <m:sSubPr>
            <m:ctrlPr>
              <w:rPr>
                <w:rFonts w:ascii="Cambria Math" w:hAnsi="Cambria Math"/>
              </w:rPr>
            </m:ctrlPr>
          </m:sSubPr>
          <m:e/>
          <m:sub>
            <m:r>
              <w:rPr>
                <w:rFonts w:ascii="Cambria Math" w:hAnsi="Cambria Math"/>
              </w:rPr>
              <m:t>2</m:t>
            </m:r>
          </m:sub>
        </m:sSub>
      </m:oMath>
      <w:r>
        <w:t xml:space="preserve"> model is randomly assigned to half of the traders, while the TSI model is assigned to the other half of the traders.</w:t>
      </w:r>
    </w:p>
    <w:p w14:paraId="6B355781" w14:textId="77777777" w:rsidR="000E1859" w:rsidRDefault="00944539">
      <w:pPr>
        <w:pStyle w:val="BodyText"/>
      </w:pPr>
      <w:r>
        <w:t>Thus, both when the true data generating process is CO</w:t>
      </w:r>
      <m:oMath>
        <m:sSub>
          <m:sSubPr>
            <m:ctrlPr>
              <w:rPr>
                <w:rFonts w:ascii="Cambria Math" w:hAnsi="Cambria Math"/>
              </w:rPr>
            </m:ctrlPr>
          </m:sSubPr>
          <m:e/>
          <m:sub>
            <m:r>
              <w:rPr>
                <w:rFonts w:ascii="Cambria Math" w:hAnsi="Cambria Math"/>
              </w:rPr>
              <m:t>2</m:t>
            </m:r>
          </m:sub>
        </m:sSub>
      </m:oMath>
      <w:r>
        <w:t xml:space="preserve"> and TSI, approximately half of the traders use the true data-gene</w:t>
      </w:r>
      <w:r>
        <w:t xml:space="preserve">rating model to make predictions. Traders using the true model do not necessarily make perfectly accurate predictions however. Although these traders believe in the correct </w:t>
      </w:r>
      <w:r>
        <w:rPr>
          <w:i/>
        </w:rPr>
        <w:t>functional form</w:t>
      </w:r>
      <w:r>
        <w:t xml:space="preserve"> of the model, they still need to calibrate their model based on lim</w:t>
      </w:r>
      <w:r>
        <w:t>ited noisy data. Therefore, the values these traders assign to the parameters of the model will typically be different from the exact parameters in the data-generating process.</w:t>
      </w:r>
    </w:p>
    <w:p w14:paraId="786ADC5B" w14:textId="77777777" w:rsidR="000E1859" w:rsidRDefault="00944539">
      <w:pPr>
        <w:pStyle w:val="BodyText"/>
      </w:pPr>
      <w:r>
        <w:t>Jonathan, can you describe the model estimation process here?</w:t>
      </w:r>
    </w:p>
    <w:p w14:paraId="36948FDC" w14:textId="77777777" w:rsidR="000E1859" w:rsidRDefault="00944539">
      <w:pPr>
        <w:pStyle w:val="Heading2"/>
      </w:pPr>
      <w:bookmarkStart w:id="7" w:name="traders-and-market"/>
      <w:bookmarkEnd w:id="7"/>
      <w:r>
        <w:t>Traders and Market</w:t>
      </w:r>
    </w:p>
    <w:p w14:paraId="7C5FCE0C" w14:textId="77777777" w:rsidR="000E1859" w:rsidRDefault="00944539">
      <w:pPr>
        <w:pStyle w:val="FirstParagraph"/>
      </w:pPr>
      <w:r>
        <w:t>Traders are initially endowed with a single experimental currency unit (ECU). Traders use their model to forecast the distribution of future temperature and determine their reservation price for different securities. Each security pays 1</w:t>
      </w:r>
      <w:r>
        <w:t xml:space="preserve"> ECU at the end of the trading sequence if the temperature at the end of the sequence falls into a certain range. Traders are risk-neutral expected utility maximizers. Therefore, their reservation price for a security is simply their assessment of the prob</w:t>
      </w:r>
      <w:r>
        <w:t>ability that the temperature will fall in the range covered by the security at the end of the sequence.</w:t>
      </w:r>
    </w:p>
    <w:p w14:paraId="0270AE7B" w14:textId="77777777" w:rsidR="000E1859" w:rsidRDefault="00944539">
      <w:pPr>
        <w:pStyle w:val="BodyText"/>
      </w:pPr>
      <w:r>
        <w:lastRenderedPageBreak/>
        <w:t>Based on their reservation price, agents behave as "zero-intelligence" traders (Gode and Sunder 1993). They attempt to sell securities at a random price</w:t>
      </w:r>
      <w:r>
        <w:t xml:space="preserve"> above their reservation, and to buy securities at a random price below their reservation. These trading strategies are simple but provide accurate approximations of behavior in prediction markets (Klingert and Meyer 2012), and in financial markets more br</w:t>
      </w:r>
      <w:r>
        <w:t>oadly.</w:t>
      </w:r>
    </w:p>
    <w:p w14:paraId="37E24B92" w14:textId="77777777" w:rsidR="000E1859" w:rsidRDefault="00944539">
      <w:pPr>
        <w:pStyle w:val="BodyText"/>
      </w:pPr>
      <w:r>
        <w:t>Based on traders' sell and buy orders, traders exchange securities following a continuous-double auctions (CDA) procedure (see Model Dynamics below for more details). CDAs or some close variants are common procedures to match buy and sell orders. CD</w:t>
      </w:r>
      <w:r>
        <w:t>A are notably used on large stock markets (Tseng et al. 2010).</w:t>
      </w:r>
    </w:p>
    <w:p w14:paraId="7F7A044B" w14:textId="77777777" w:rsidR="000E1859" w:rsidRDefault="00944539">
      <w:pPr>
        <w:pStyle w:val="Heading2"/>
      </w:pPr>
      <w:bookmarkStart w:id="8" w:name="social-network"/>
      <w:bookmarkEnd w:id="8"/>
      <w:r>
        <w:t>Social Network</w:t>
      </w:r>
    </w:p>
    <w:p w14:paraId="0703A371" w14:textId="77777777" w:rsidR="000E1859" w:rsidRDefault="00944539">
      <w:pPr>
        <w:pStyle w:val="FirstParagraph"/>
      </w:pPr>
      <w:r>
        <w:t xml:space="preserve">Traders are part of a social network where each agent forms two links at random, and then forms links randomly, ensuring that each agent is connected to at least two other agents. Every time securities are realized, each trader looks at the performance of </w:t>
      </w:r>
      <w:r>
        <w:t>her richest neighbor in the network. Traders start with the same initial amount of ECU and differences in ECU can only come from market interactions. Therefore, if some trader is poorer than her richest neighbor, the trader interprets it as a signal that h</w:t>
      </w:r>
      <w:r>
        <w:t>er richest neighbor may have a better model of the climate. Then, the trader considers adopting the model of her richest neighbor. For each trader, the willingness to revise her belief is determined by how ideologically loaded her belief is, which is a par</w:t>
      </w:r>
      <w:r>
        <w:t>ameter we vary in our experiments.</w:t>
      </w:r>
    </w:p>
    <w:p w14:paraId="31A1D2A2" w14:textId="77777777" w:rsidR="000E1859" w:rsidRDefault="00944539">
      <w:pPr>
        <w:pStyle w:val="BodyText"/>
      </w:pPr>
      <w:r>
        <w:rPr>
          <w:noProof/>
        </w:rPr>
        <w:drawing>
          <wp:inline distT="0" distB="0" distL="0" distR="0" wp14:anchorId="68D71544" wp14:editId="1E57CC70">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utput/network.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14:paraId="281A6D9D" w14:textId="77777777" w:rsidR="000E1859" w:rsidRDefault="00944539">
      <w:pPr>
        <w:pStyle w:val="BodyText"/>
      </w:pPr>
      <w:r>
        <w:t>An example of a snapshot of a social network is depicted in Figure X. We assume that the initial network is segregated: traders who initially believe in CO</w:t>
      </w:r>
      <m:oMath>
        <m:sSub>
          <m:sSubPr>
            <m:ctrlPr>
              <w:rPr>
                <w:rFonts w:ascii="Cambria Math" w:hAnsi="Cambria Math"/>
              </w:rPr>
            </m:ctrlPr>
          </m:sSubPr>
          <m:e/>
          <m:sub>
            <m:r>
              <w:rPr>
                <w:rFonts w:ascii="Cambria Math" w:hAnsi="Cambria Math"/>
              </w:rPr>
              <m:t>2</m:t>
            </m:r>
          </m:sub>
        </m:sSub>
      </m:oMath>
      <w:r>
        <w:t xml:space="preserve"> forcing (resp. TSI) are more likely to be linked with other tr</w:t>
      </w:r>
      <w:r>
        <w:t>aders who also believe in CO</w:t>
      </w:r>
      <m:oMath>
        <m:sSub>
          <m:sSubPr>
            <m:ctrlPr>
              <w:rPr>
                <w:rFonts w:ascii="Cambria Math" w:hAnsi="Cambria Math"/>
              </w:rPr>
            </m:ctrlPr>
          </m:sSubPr>
          <m:e/>
          <m:sub>
            <m:r>
              <w:rPr>
                <w:rFonts w:ascii="Cambria Math" w:hAnsi="Cambria Math"/>
              </w:rPr>
              <m:t>2</m:t>
            </m:r>
          </m:sub>
        </m:sSub>
      </m:oMath>
      <w:r>
        <w:t xml:space="preserve"> (resp. TSI). This reflects reality where cultural and social groups are highly correlated with climate change beliefs. Although traders can change their approximate model over time, the connections between traders do not chang</w:t>
      </w:r>
      <w:r>
        <w:t>e as the market unfolds, i.e the edges are fixed.</w:t>
      </w:r>
    </w:p>
    <w:p w14:paraId="18EBF4EE" w14:textId="77777777" w:rsidR="000E1859" w:rsidRDefault="00944539">
      <w:pPr>
        <w:pStyle w:val="Heading2"/>
      </w:pPr>
      <w:bookmarkStart w:id="9" w:name="model-dynamics"/>
      <w:bookmarkEnd w:id="9"/>
      <w:r>
        <w:t>Model Dynamics</w:t>
      </w:r>
    </w:p>
    <w:p w14:paraId="2F202095" w14:textId="77777777" w:rsidR="000E1859" w:rsidRDefault="00944539">
      <w:pPr>
        <w:pStyle w:val="FirstParagraph"/>
      </w:pPr>
      <w:r>
        <w:t xml:space="preserve">The time periods </w:t>
      </w:r>
      <m:oMath>
        <m:r>
          <w:rPr>
            <w:rFonts w:ascii="Cambria Math" w:hAnsi="Cambria Math"/>
          </w:rPr>
          <m:t>t</m:t>
        </m:r>
      </m:oMath>
      <w:r>
        <w:t xml:space="preserve"> are grouped into trading </w:t>
      </w:r>
      <w:r>
        <w:rPr>
          <w:i/>
        </w:rPr>
        <w:t>sequences</w:t>
      </w:r>
      <w:r>
        <w:t>. In a given sequence, the potential payments associated with traded securities are all based on the temperature at the end of the sequen</w:t>
      </w:r>
      <w:r>
        <w:t xml:space="preserve">ce. For instance, the third trading sequence might start in period </w:t>
      </w:r>
      <m:oMath>
        <m:r>
          <w:rPr>
            <w:rFonts w:ascii="Cambria Math" w:hAnsi="Cambria Math"/>
          </w:rPr>
          <m:t>t</m:t>
        </m:r>
        <m:r>
          <w:rPr>
            <w:rFonts w:ascii="Cambria Math" w:hAnsi="Cambria Math"/>
          </w:rPr>
          <m:t>=1964</m:t>
        </m:r>
      </m:oMath>
      <w:r>
        <w:t xml:space="preserve"> and end in period </w:t>
      </w:r>
      <m:oMath>
        <m:r>
          <w:rPr>
            <w:rFonts w:ascii="Cambria Math" w:hAnsi="Cambria Math"/>
          </w:rPr>
          <m:t>t</m:t>
        </m:r>
        <m:r>
          <w:rPr>
            <w:rFonts w:ascii="Cambria Math" w:hAnsi="Cambria Math"/>
          </w:rPr>
          <m:t>=1970</m:t>
        </m:r>
      </m:oMath>
      <w:r>
        <w:t xml:space="preserve">. In this case, a security traded in the third sequence pays 1 ECU if the temperature at </w:t>
      </w:r>
      <m:oMath>
        <m:r>
          <w:rPr>
            <w:rFonts w:ascii="Cambria Math" w:hAnsi="Cambria Math"/>
          </w:rPr>
          <m:t>t</m:t>
        </m:r>
        <m:r>
          <w:rPr>
            <w:rFonts w:ascii="Cambria Math" w:hAnsi="Cambria Math"/>
          </w:rPr>
          <m:t>=1970</m:t>
        </m:r>
      </m:oMath>
      <w:r>
        <w:t xml:space="preserve"> falls into the range of temperatures covered by the securit</w:t>
      </w:r>
      <w:r>
        <w:t>y.</w:t>
      </w:r>
    </w:p>
    <w:p w14:paraId="7E8ED0F6" w14:textId="77777777" w:rsidR="000E1859" w:rsidRDefault="00944539">
      <w:pPr>
        <w:pStyle w:val="BodyText"/>
      </w:pPr>
      <w:r>
        <w:t xml:space="preserve">At each time </w:t>
      </w:r>
      <m:oMath>
        <m:r>
          <w:rPr>
            <w:rFonts w:ascii="Cambria Math" w:hAnsi="Cambria Math"/>
          </w:rPr>
          <m:t>t</m:t>
        </m:r>
      </m:oMath>
      <w:r>
        <w:t xml:space="preserve">, traders are assumed to know the past value of the temperature </w:t>
      </w:r>
      <m:oMath>
        <m:sSub>
          <m:sSubPr>
            <m:ctrlPr>
              <w:rPr>
                <w:rFonts w:ascii="Cambria Math" w:hAnsi="Cambria Math"/>
              </w:rPr>
            </m:ctrlPr>
          </m:sSubPr>
          <m:e>
            <m:r>
              <w:rPr>
                <w:rFonts w:ascii="Cambria Math" w:hAnsi="Cambria Math"/>
              </w:rPr>
              <m:t>T</m:t>
            </m:r>
          </m:e>
          <m:sub>
            <m:r>
              <w:rPr>
                <w:rFonts w:ascii="Cambria Math" w:hAnsi="Cambria Math"/>
              </w:rPr>
              <m:t>0:</m:t>
            </m:r>
            <m:r>
              <w:rPr>
                <w:rFonts w:ascii="Cambria Math" w:hAnsi="Cambria Math"/>
              </w:rPr>
              <m:t>t</m:t>
            </m:r>
          </m:sub>
        </m:sSub>
      </m:oMath>
      <w:r>
        <w:t xml:space="preserve">, carbon dioxide </w:t>
      </w:r>
      <m:oMath>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0:</m:t>
            </m:r>
            <m:r>
              <w:rPr>
                <w:rFonts w:ascii="Cambria Math" w:hAnsi="Cambria Math"/>
              </w:rPr>
              <m:t>t</m:t>
            </m:r>
          </m:sub>
        </m:sSub>
      </m:oMath>
      <w:r>
        <w:t xml:space="preserve">, and total solar irradiance </w:t>
      </w:r>
      <m:oMath>
        <m:r>
          <w:rPr>
            <w:rFonts w:ascii="Cambria Math" w:hAnsi="Cambria Math"/>
          </w:rPr>
          <m:t>TS</m:t>
        </m:r>
        <m:sSub>
          <m:sSubPr>
            <m:ctrlPr>
              <w:rPr>
                <w:rFonts w:ascii="Cambria Math" w:hAnsi="Cambria Math"/>
              </w:rPr>
            </m:ctrlPr>
          </m:sSubPr>
          <m:e>
            <m:r>
              <w:rPr>
                <w:rFonts w:ascii="Cambria Math" w:hAnsi="Cambria Math"/>
              </w:rPr>
              <m:t>I</m:t>
            </m:r>
          </m:e>
          <m:sub>
            <m:r>
              <w:rPr>
                <w:rFonts w:ascii="Cambria Math" w:hAnsi="Cambria Math"/>
              </w:rPr>
              <m:t>0:</m:t>
            </m:r>
            <m:r>
              <w:rPr>
                <w:rFonts w:ascii="Cambria Math" w:hAnsi="Cambria Math"/>
              </w:rPr>
              <m:t>t</m:t>
            </m:r>
          </m:sub>
        </m:sSub>
      </m:oMath>
      <w:r>
        <w:t xml:space="preserve">. In a sequence finishing at time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traders also have common knowledge of </w:t>
      </w:r>
      <m:oMath>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and </w:t>
      </w:r>
      <m:oMath>
        <m:r>
          <w:rPr>
            <w:rFonts w:ascii="Cambria Math" w:hAnsi="Cambria Math"/>
          </w:rPr>
          <m:t>TS</m:t>
        </m:r>
        <m:sSub>
          <m:sSubPr>
            <m:ctrlPr>
              <w:rPr>
                <w:rFonts w:ascii="Cambria Math" w:hAnsi="Cambria Math"/>
              </w:rPr>
            </m:ctrlPr>
          </m:sSubPr>
          <m:e>
            <m:r>
              <w:rPr>
                <w:rFonts w:ascii="Cambria Math" w:hAnsi="Cambria Math"/>
              </w:rPr>
              <m:t>I</m:t>
            </m:r>
          </m:e>
          <m:sub>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the future values of carbon dioxide and total solar irradiance up to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However, at any </w:t>
      </w:r>
      <m:oMath>
        <m:r>
          <w:rPr>
            <w:rFonts w:ascii="Cambria Math" w:hAnsi="Cambria Math"/>
          </w:rPr>
          <m:t>t</m:t>
        </m:r>
      </m:oMath>
      <w:r>
        <w:t xml:space="preserve">, traders do not know the value of any future temperatures. In particular, in a given sequence, traders do not know the value of </w:t>
      </w:r>
      <m:oMath>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t</m:t>
                </m:r>
              </m:e>
              <m:sup>
                <m:r>
                  <w:rPr>
                    <w:rFonts w:ascii="Cambria Math" w:hAnsi="Cambria Math"/>
                  </w:rPr>
                  <m:t>*</m:t>
                </m:r>
              </m:sup>
            </m:sSup>
          </m:sub>
        </m:sSub>
      </m:oMath>
      <w:r>
        <w:t>. Traders can only predict</w:t>
      </w:r>
      <w:r>
        <w:t xml:space="preserve"> </w:t>
      </w:r>
      <m:oMath>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using their approximate model and their knowledge of </w:t>
      </w:r>
      <m:oMath>
        <m:sSub>
          <m:sSubPr>
            <m:ctrlPr>
              <w:rPr>
                <w:rFonts w:ascii="Cambria Math" w:hAnsi="Cambria Math"/>
              </w:rPr>
            </m:ctrlPr>
          </m:sSubPr>
          <m:e>
            <m:r>
              <w:rPr>
                <w:rFonts w:ascii="Cambria Math" w:hAnsi="Cambria Math"/>
              </w:rPr>
              <m:t>T</m:t>
            </m:r>
          </m:e>
          <m:sub>
            <m:r>
              <w:rPr>
                <w:rFonts w:ascii="Cambria Math" w:hAnsi="Cambria Math"/>
              </w:rPr>
              <m:t>0:</m:t>
            </m:r>
            <m:r>
              <w:rPr>
                <w:rFonts w:ascii="Cambria Math" w:hAnsi="Cambria Math"/>
              </w:rPr>
              <m:t>t</m:t>
            </m:r>
          </m:sub>
        </m:sSub>
      </m:oMath>
      <w:r>
        <w:t xml:space="preserve">, </w:t>
      </w:r>
      <m:oMath>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and </w:t>
      </w:r>
      <m:oMath>
        <m:r>
          <w:rPr>
            <w:rFonts w:ascii="Cambria Math" w:hAnsi="Cambria Math"/>
          </w:rPr>
          <m:t>TS</m:t>
        </m:r>
        <m:sSub>
          <m:sSubPr>
            <m:ctrlPr>
              <w:rPr>
                <w:rFonts w:ascii="Cambria Math" w:hAnsi="Cambria Math"/>
              </w:rPr>
            </m:ctrlPr>
          </m:sSubPr>
          <m:e>
            <m:r>
              <w:rPr>
                <w:rFonts w:ascii="Cambria Math" w:hAnsi="Cambria Math"/>
              </w:rPr>
              <m:t>I</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Notice that because </w:t>
      </w:r>
      <m:oMath>
        <m:sSub>
          <m:sSubPr>
            <m:ctrlPr>
              <w:rPr>
                <w:rFonts w:ascii="Cambria Math" w:hAnsi="Cambria Math"/>
              </w:rPr>
            </m:ctrlPr>
          </m:sSubPr>
          <m:e>
            <m:r>
              <w:rPr>
                <w:rFonts w:ascii="Cambria Math" w:hAnsi="Cambria Math"/>
              </w:rPr>
              <m:t>T</m:t>
            </m:r>
          </m:e>
          <m:sub>
            <m:r>
              <w:rPr>
                <w:rFonts w:ascii="Cambria Math" w:hAnsi="Cambria Math"/>
              </w:rPr>
              <m:t>0:</m:t>
            </m:r>
            <m:r>
              <w:rPr>
                <w:rFonts w:ascii="Cambria Math" w:hAnsi="Cambria Math"/>
              </w:rPr>
              <m:t>t</m:t>
            </m:r>
          </m:sub>
        </m:sSub>
      </m:oMath>
      <w:r>
        <w:t xml:space="preserve">, </w:t>
      </w:r>
      <m:oMath>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and </w:t>
      </w:r>
      <m:oMath>
        <m:r>
          <w:rPr>
            <w:rFonts w:ascii="Cambria Math" w:hAnsi="Cambria Math"/>
          </w:rPr>
          <m:t>TS</m:t>
        </m:r>
        <m:sSub>
          <m:sSubPr>
            <m:ctrlPr>
              <w:rPr>
                <w:rFonts w:ascii="Cambria Math" w:hAnsi="Cambria Math"/>
              </w:rPr>
            </m:ctrlPr>
          </m:sSubPr>
          <m:e>
            <m:r>
              <w:rPr>
                <w:rFonts w:ascii="Cambria Math" w:hAnsi="Cambria Math"/>
              </w:rPr>
              <m:t>I</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are common knowledge, in each period </w:t>
      </w:r>
      <m:oMath>
        <m:r>
          <w:rPr>
            <w:rFonts w:ascii="Cambria Math" w:hAnsi="Cambria Math"/>
          </w:rPr>
          <m:t>t</m:t>
        </m:r>
      </m:oMath>
      <w:r>
        <w:t xml:space="preserve">, any two trader with the same approximate model </w:t>
      </w:r>
      <m:oMath>
        <m:r>
          <w:rPr>
            <w:rFonts w:ascii="Cambria Math" w:hAnsi="Cambria Math"/>
          </w:rPr>
          <m:t>m</m:t>
        </m:r>
      </m:oMath>
      <w:r>
        <w:t xml:space="preserve"> forms the sa</w:t>
      </w:r>
      <w:r>
        <w:t xml:space="preserve">me stochastic beliefs about future temperatures </w:t>
      </w:r>
      <m:oMath>
        <m:sSub>
          <m:sSubPr>
            <m:ctrlPr>
              <w:rPr>
                <w:rFonts w:ascii="Cambria Math" w:hAnsi="Cambria Math"/>
              </w:rPr>
            </m:ctrlPr>
          </m:sSubPr>
          <m:e>
            <m:r>
              <w:rPr>
                <w:rFonts w:ascii="Cambria Math" w:hAnsi="Cambria Math"/>
              </w:rPr>
              <m:t>F</m:t>
            </m:r>
          </m:e>
          <m:sub>
            <m:r>
              <w:rPr>
                <w:rFonts w:ascii="Cambria Math" w:hAnsi="Cambria Math"/>
              </w:rPr>
              <m:t>tm</m:t>
            </m:r>
          </m:sub>
        </m:sSub>
        <m:r>
          <w:rPr>
            <w:rFonts w:ascii="Cambria Math" w:hAnsi="Cambria Math"/>
          </w:rPr>
          <m:t>(</m:t>
        </m:r>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t</m:t>
                </m:r>
              </m:e>
              <m:sup>
                <m:r>
                  <w:rPr>
                    <w:rFonts w:ascii="Cambria Math" w:hAnsi="Cambria Math"/>
                  </w:rPr>
                  <m:t>*</m:t>
                </m:r>
              </m:sup>
            </m:sSup>
          </m:sub>
        </m:sSub>
        <m:r>
          <w:rPr>
            <w:rFonts w:ascii="Cambria Math" w:hAnsi="Cambria Math"/>
          </w:rPr>
          <m:t> </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0:</m:t>
            </m:r>
            <m:r>
              <w:rPr>
                <w:rFonts w:ascii="Cambria Math" w:hAnsi="Cambria Math"/>
              </w:rPr>
              <m:t>t</m:t>
            </m:r>
          </m:sub>
        </m:sSub>
        <m:r>
          <w:rPr>
            <w:rFonts w:ascii="Cambria Math" w:hAnsi="Cambria Math"/>
          </w:rPr>
          <m:t>,</m:t>
        </m:r>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r>
          <w:rPr>
            <w:rFonts w:ascii="Cambria Math" w:hAnsi="Cambria Math"/>
          </w:rPr>
          <m:t>,</m:t>
        </m:r>
        <m:r>
          <w:rPr>
            <w:rFonts w:ascii="Cambria Math" w:hAnsi="Cambria Math"/>
          </w:rPr>
          <m:t>TS</m:t>
        </m:r>
        <m:sSub>
          <m:sSubPr>
            <m:ctrlPr>
              <w:rPr>
                <w:rFonts w:ascii="Cambria Math" w:hAnsi="Cambria Math"/>
              </w:rPr>
            </m:ctrlPr>
          </m:sSubPr>
          <m:e>
            <m:r>
              <w:rPr>
                <w:rFonts w:ascii="Cambria Math" w:hAnsi="Cambria Math"/>
              </w:rPr>
              <m:t>I</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r>
          <w:rPr>
            <w:rFonts w:ascii="Cambria Math" w:hAnsi="Cambria Math"/>
          </w:rPr>
          <m:t>)</m:t>
        </m:r>
      </m:oMath>
      <w:r>
        <w:t>.</w:t>
      </w:r>
    </w:p>
    <w:p w14:paraId="47F36F98" w14:textId="77777777" w:rsidR="000E1859" w:rsidRDefault="00944539">
      <w:pPr>
        <w:pStyle w:val="BodyText"/>
      </w:pPr>
      <w:r>
        <w:t xml:space="preserve">At each time </w:t>
      </w:r>
      <m:oMath>
        <m:r>
          <w:rPr>
            <w:rFonts w:ascii="Cambria Math" w:hAnsi="Cambria Math"/>
          </w:rPr>
          <m:t>t</m:t>
        </m:r>
      </m:oMath>
      <w:r>
        <w:t>, traders:</w:t>
      </w:r>
    </w:p>
    <w:p w14:paraId="610CE85E" w14:textId="77777777" w:rsidR="000E1859" w:rsidRDefault="00944539">
      <w:pPr>
        <w:pStyle w:val="Compact"/>
        <w:numPr>
          <w:ilvl w:val="0"/>
          <w:numId w:val="3"/>
        </w:numPr>
      </w:pPr>
      <w:r>
        <w:lastRenderedPageBreak/>
        <w:t xml:space="preserve">recalibrate their approximate model based on the new set of temperature data available at </w:t>
      </w:r>
      <m:oMath>
        <m:r>
          <w:rPr>
            <w:rFonts w:ascii="Cambria Math" w:hAnsi="Cambria Math"/>
          </w:rPr>
          <m:t>t</m:t>
        </m:r>
      </m:oMath>
      <w:r>
        <w:t>,</w:t>
      </w:r>
    </w:p>
    <w:p w14:paraId="473B494C" w14:textId="77777777" w:rsidR="000E1859" w:rsidRDefault="00944539">
      <w:pPr>
        <w:pStyle w:val="Compact"/>
        <w:numPr>
          <w:ilvl w:val="0"/>
          <w:numId w:val="3"/>
        </w:numPr>
      </w:pPr>
      <w:r>
        <w:t>compute their stochastic beliefs about fu</w:t>
      </w:r>
      <w:r>
        <w:t xml:space="preserve">ture temperatures </w:t>
      </w:r>
      <m:oMath>
        <m:sSub>
          <m:sSubPr>
            <m:ctrlPr>
              <w:rPr>
                <w:rFonts w:ascii="Cambria Math" w:hAnsi="Cambria Math"/>
              </w:rPr>
            </m:ctrlPr>
          </m:sSubPr>
          <m:e>
            <m:r>
              <w:rPr>
                <w:rFonts w:ascii="Cambria Math" w:hAnsi="Cambria Math"/>
              </w:rPr>
              <m:t>F</m:t>
            </m:r>
          </m:e>
          <m:sub>
            <m:r>
              <w:rPr>
                <w:rFonts w:ascii="Cambria Math" w:hAnsi="Cambria Math"/>
              </w:rPr>
              <m:t>tm</m:t>
            </m:r>
          </m:sub>
        </m:sSub>
        <m:r>
          <w:rPr>
            <w:rFonts w:ascii="Cambria Math" w:hAnsi="Cambria Math"/>
          </w:rPr>
          <m:t>(</m:t>
        </m:r>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t</m:t>
                </m:r>
              </m:e>
              <m:sup>
                <m:r>
                  <w:rPr>
                    <w:rFonts w:ascii="Cambria Math" w:hAnsi="Cambria Math"/>
                  </w:rPr>
                  <m:t>*</m:t>
                </m:r>
              </m:sup>
            </m:sSup>
          </m:sub>
        </m:sSub>
        <m:r>
          <w:rPr>
            <w:rFonts w:ascii="Cambria Math" w:hAnsi="Cambria Math"/>
          </w:rPr>
          <m:t> </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0:</m:t>
            </m:r>
            <m:r>
              <w:rPr>
                <w:rFonts w:ascii="Cambria Math" w:hAnsi="Cambria Math"/>
              </w:rPr>
              <m:t>t</m:t>
            </m:r>
          </m:sub>
        </m:sSub>
        <m:r>
          <w:rPr>
            <w:rFonts w:ascii="Cambria Math" w:hAnsi="Cambria Math"/>
          </w:rPr>
          <m:t>,</m:t>
        </m:r>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r>
          <w:rPr>
            <w:rFonts w:ascii="Cambria Math" w:hAnsi="Cambria Math"/>
          </w:rPr>
          <m:t>,</m:t>
        </m:r>
        <m:r>
          <w:rPr>
            <w:rFonts w:ascii="Cambria Math" w:hAnsi="Cambria Math"/>
          </w:rPr>
          <m:t>TS</m:t>
        </m:r>
        <m:sSub>
          <m:sSubPr>
            <m:ctrlPr>
              <w:rPr>
                <w:rFonts w:ascii="Cambria Math" w:hAnsi="Cambria Math"/>
              </w:rPr>
            </m:ctrlPr>
          </m:sSubPr>
          <m:e>
            <m:r>
              <w:rPr>
                <w:rFonts w:ascii="Cambria Math" w:hAnsi="Cambria Math"/>
              </w:rPr>
              <m:t>I</m:t>
            </m:r>
          </m:e>
          <m:sub>
            <m:r>
              <w:rPr>
                <w:rFonts w:ascii="Cambria Math" w:hAnsi="Cambria Math"/>
              </w:rPr>
              <m:t>0:</m:t>
            </m:r>
            <m:sSup>
              <m:sSupPr>
                <m:ctrlPr>
                  <w:rPr>
                    <w:rFonts w:ascii="Cambria Math" w:hAnsi="Cambria Math"/>
                  </w:rPr>
                </m:ctrlPr>
              </m:sSupPr>
              <m:e>
                <m:r>
                  <w:rPr>
                    <w:rFonts w:ascii="Cambria Math" w:hAnsi="Cambria Math"/>
                  </w:rPr>
                  <m:t>t</m:t>
                </m:r>
              </m:e>
              <m:sup>
                <m:r>
                  <w:rPr>
                    <w:rFonts w:ascii="Cambria Math" w:hAnsi="Cambria Math"/>
                  </w:rPr>
                  <m:t>*</m:t>
                </m:r>
              </m:sup>
            </m:sSup>
          </m:sub>
        </m:sSub>
        <m:r>
          <w:rPr>
            <w:rFonts w:ascii="Cambria Math" w:hAnsi="Cambria Math"/>
          </w:rPr>
          <m:t>)</m:t>
        </m:r>
      </m:oMath>
      <w:r>
        <w:t xml:space="preserve"> and use it to determine the expected value they attach to each security, and</w:t>
      </w:r>
    </w:p>
    <w:p w14:paraId="4877B8B5" w14:textId="77777777" w:rsidR="000E1859" w:rsidRDefault="00944539">
      <w:pPr>
        <w:pStyle w:val="Compact"/>
        <w:numPr>
          <w:ilvl w:val="0"/>
          <w:numId w:val="3"/>
        </w:numPr>
      </w:pPr>
      <w:r>
        <w:t>trade on the CDA market as follows:</w:t>
      </w:r>
    </w:p>
    <w:p w14:paraId="33F5D843" w14:textId="77777777" w:rsidR="000E1859" w:rsidRDefault="00944539">
      <w:pPr>
        <w:pStyle w:val="Compact"/>
        <w:numPr>
          <w:ilvl w:val="1"/>
          <w:numId w:val="4"/>
        </w:numPr>
      </w:pPr>
      <w:r>
        <w:t xml:space="preserve">Every trader </w:t>
      </w:r>
      <m:oMath>
        <m:r>
          <w:rPr>
            <w:rFonts w:ascii="Cambria Math" w:hAnsi="Cambria Math"/>
          </w:rPr>
          <m:t>i</m:t>
        </m:r>
      </m:oMath>
      <w:r>
        <w:t xml:space="preserve"> choses at random a security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oMath>
      <w:r>
        <w:t xml:space="preserve"> she will try to buy.</w:t>
      </w:r>
    </w:p>
    <w:p w14:paraId="79765A61" w14:textId="77777777" w:rsidR="000E1859" w:rsidRDefault="00944539">
      <w:pPr>
        <w:pStyle w:val="Compact"/>
        <w:numPr>
          <w:ilvl w:val="1"/>
          <w:numId w:val="4"/>
        </w:numPr>
      </w:pPr>
      <w:r>
        <w:t>Every t</w:t>
      </w:r>
      <w:r>
        <w:t xml:space="preserve">rader </w:t>
      </w:r>
      <m:oMath>
        <m:r>
          <w:rPr>
            <w:rFonts w:ascii="Cambria Math" w:hAnsi="Cambria Math"/>
          </w:rPr>
          <m:t>i</m:t>
        </m:r>
      </m:oMath>
      <w:r>
        <w:t xml:space="preserve"> also chooses at random a security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m:t>
            </m:r>
          </m:sup>
        </m:sSubSup>
      </m:oMath>
      <w:r>
        <w:t xml:space="preserve"> she will try to sell among the securities she owns a positive amount of (if any).</w:t>
      </w:r>
    </w:p>
    <w:p w14:paraId="4C76257C" w14:textId="77777777" w:rsidR="000E1859" w:rsidRDefault="00944539">
      <w:pPr>
        <w:numPr>
          <w:ilvl w:val="1"/>
          <w:numId w:val="4"/>
        </w:numPr>
      </w:pPr>
      <w:r>
        <w:t xml:space="preserve">Traders then decide of their selling price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and buying price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B</m:t>
            </m:r>
          </m:sup>
        </m:sSubSup>
      </m:oMath>
      <w:r>
        <w:t xml:space="preserve">. To do so, traders first compute their expected values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r>
          <w:rPr>
            <w:rFonts w:ascii="Cambria Math" w:hAnsi="Cambria Math"/>
          </w:rPr>
          <m:t>)</m:t>
        </m:r>
      </m:oMath>
      <w:r>
        <w:t xml:space="preserve"> and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m:t>
            </m:r>
          </m:sup>
        </m:sSubSup>
        <m:r>
          <w:rPr>
            <w:rFonts w:ascii="Cambria Math" w:hAnsi="Cambria Math"/>
          </w:rPr>
          <m:t>)</m:t>
        </m:r>
      </m:oMath>
      <w:r>
        <w:t xml:space="preserve"> for securities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oMath>
      <w:r>
        <w:t xml:space="preserve"> and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m:t>
            </m:r>
          </m:sup>
        </m:sSubSup>
      </m:oMath>
      <w:r>
        <w:t xml:space="preserve">. Then traders set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at random above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m:t>
            </m:r>
          </m:sup>
        </m:sSubSup>
        <m:r>
          <w:rPr>
            <w:rFonts w:ascii="Cambria Math" w:hAnsi="Cambria Math"/>
          </w:rPr>
          <m:t>)</m:t>
        </m:r>
      </m:oMath>
      <w:r>
        <w:t xml:space="preserve"> and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B</m:t>
            </m:r>
          </m:sup>
        </m:sSubSup>
      </m:oMath>
      <w:r>
        <w:t xml:space="preserve"> at random below </w:t>
      </w:r>
      <m:oMath>
        <m: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r>
          <w:rPr>
            <w:rFonts w:ascii="Cambria Math" w:hAnsi="Cambria Math"/>
          </w:rPr>
          <m:t>)</m:t>
        </m:r>
      </m:oMath>
      <w:r>
        <w:t xml:space="preserve"> (see Model Parameters below for more details).</w:t>
      </w:r>
    </w:p>
    <w:p w14:paraId="6B88F5C3" w14:textId="77777777" w:rsidR="000E1859" w:rsidRDefault="00944539">
      <w:pPr>
        <w:pStyle w:val="Compact"/>
        <w:numPr>
          <w:ilvl w:val="1"/>
          <w:numId w:val="4"/>
        </w:numPr>
      </w:pPr>
      <w:r>
        <w:t>Trad</w:t>
      </w:r>
      <w:r>
        <w:t xml:space="preserve">ers go to the market one at the time, in an order drawn randomly for each </w:t>
      </w:r>
      <m:oMath>
        <m:r>
          <w:rPr>
            <w:rFonts w:ascii="Cambria Math" w:hAnsi="Cambria Math"/>
          </w:rPr>
          <m:t>t</m:t>
        </m:r>
      </m:oMath>
      <w:r>
        <w:t>.</w:t>
      </w:r>
    </w:p>
    <w:p w14:paraId="00493361" w14:textId="77777777" w:rsidR="000E1859" w:rsidRDefault="00944539">
      <w:pPr>
        <w:pStyle w:val="Compact"/>
        <w:numPr>
          <w:ilvl w:val="1"/>
          <w:numId w:val="4"/>
        </w:numPr>
      </w:pPr>
      <w:r>
        <w:t xml:space="preserve">When trader </w:t>
      </w:r>
      <m:oMath>
        <m:r>
          <w:rPr>
            <w:rFonts w:ascii="Cambria Math" w:hAnsi="Cambria Math"/>
          </w:rPr>
          <m:t>i</m:t>
        </m:r>
      </m:oMath>
      <w:r>
        <w:t xml:space="preserve"> comes to the market, she places limit orders in the order book. These orders specify that </w:t>
      </w:r>
      <m:oMath>
        <m:r>
          <w:rPr>
            <w:rFonts w:ascii="Cambria Math" w:hAnsi="Cambria Math"/>
          </w:rPr>
          <m:t>i</m:t>
        </m:r>
      </m:oMath>
      <w:r>
        <w:t xml:space="preserve"> is willing to buy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oMath>
      <w:r>
        <w:t xml:space="preserve"> at any price below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B</m:t>
            </m:r>
          </m:sup>
        </m:sSubSup>
      </m:oMath>
      <w:r>
        <w:t xml:space="preserve">, and to sell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m:t>
            </m:r>
          </m:sup>
        </m:sSubSup>
      </m:oMath>
      <w:r>
        <w:t xml:space="preserve"> at any price above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w:t>
      </w:r>
    </w:p>
    <w:p w14:paraId="1344B555" w14:textId="77777777" w:rsidR="000E1859" w:rsidRDefault="00944539">
      <w:pPr>
        <w:pStyle w:val="Compact"/>
        <w:numPr>
          <w:ilvl w:val="1"/>
          <w:numId w:val="4"/>
        </w:numPr>
      </w:pPr>
      <w:r>
        <w:t xml:space="preserve">The market maker then tries to match </w:t>
      </w:r>
      <m:oMath>
        <m:r>
          <w:rPr>
            <w:rFonts w:ascii="Cambria Math" w:hAnsi="Cambria Math"/>
          </w:rPr>
          <m:t>i</m:t>
        </m:r>
      </m:oMath>
      <w:r>
        <w:t xml:space="preserve">'s orders with some order which was put in the book before </w:t>
      </w:r>
      <m:oMath>
        <m:r>
          <w:rPr>
            <w:rFonts w:ascii="Cambria Math" w:hAnsi="Cambria Math"/>
          </w:rPr>
          <m:t>i</m:t>
        </m:r>
      </m:oMath>
      <w:r>
        <w:t xml:space="preserve"> came to the market.</w:t>
      </w:r>
    </w:p>
    <w:p w14:paraId="4DED2DFC" w14:textId="77777777" w:rsidR="000E1859" w:rsidRDefault="00944539">
      <w:pPr>
        <w:pStyle w:val="Compact"/>
        <w:numPr>
          <w:ilvl w:val="1"/>
          <w:numId w:val="4"/>
        </w:numPr>
      </w:pPr>
      <w:r>
        <w:t xml:space="preserve">If there are outstanding sell offers for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oMath>
      <w:r>
        <w:t xml:space="preserve"> at a price below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B</m:t>
            </m:r>
          </m:sup>
        </m:sSubSup>
      </m:oMath>
      <w:r>
        <w:t xml:space="preserve">, a trade is concluded. Trader </w:t>
      </w:r>
      <m:oMath>
        <m:r>
          <w:rPr>
            <w:rFonts w:ascii="Cambria Math" w:hAnsi="Cambria Math"/>
          </w:rPr>
          <m:t>i</m:t>
        </m:r>
      </m:oMath>
      <w:r>
        <w:t xml:space="preserve"> bu</w:t>
      </w:r>
      <w:r>
        <w:t xml:space="preserve">ys one unit of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B</m:t>
            </m:r>
          </m:sup>
        </m:sSubSup>
      </m:oMath>
      <w:r>
        <w:t xml:space="preserve"> from the sellers who sells at the lowest price below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B</m:t>
            </m:r>
          </m:sup>
        </m:sSubSup>
      </m:oMath>
      <w:r>
        <w:t>, and the sell and buy offers are removed from the order book.</w:t>
      </w:r>
    </w:p>
    <w:p w14:paraId="1F09F5EC" w14:textId="77777777" w:rsidR="000E1859" w:rsidRDefault="00944539">
      <w:pPr>
        <w:pStyle w:val="Compact"/>
        <w:numPr>
          <w:ilvl w:val="1"/>
          <w:numId w:val="4"/>
        </w:numPr>
      </w:pPr>
      <w:r>
        <w:t xml:space="preserve">If there are outstanding buy offers for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m:t>
            </m:r>
          </m:sup>
        </m:sSubSup>
      </m:oMath>
      <w:r>
        <w:t xml:space="preserve"> at price above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a trade is concluded. Trader </w:t>
      </w:r>
      <m:oMath>
        <m:r>
          <w:rPr>
            <w:rFonts w:ascii="Cambria Math" w:hAnsi="Cambria Math"/>
          </w:rPr>
          <m:t>i</m:t>
        </m:r>
      </m:oMath>
      <w:r>
        <w:t xml:space="preserve"> sells one </w:t>
      </w:r>
      <w:r>
        <w:t xml:space="preserve">unit to the buyer who buys at the highest price above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and the sell and buy offers are removed from the order book.</w:t>
      </w:r>
    </w:p>
    <w:p w14:paraId="5C2C0E76" w14:textId="77777777" w:rsidR="000E1859" w:rsidRDefault="00944539">
      <w:pPr>
        <w:numPr>
          <w:ilvl w:val="1"/>
          <w:numId w:val="4"/>
        </w:numPr>
      </w:pPr>
      <w:r>
        <w:t xml:space="preserve">Whenever all traders have come to the market, any remaining outstanding offer is removed from the order book, and the trading period </w:t>
      </w:r>
      <w:r>
        <w:t>is concluded.</w:t>
      </w:r>
    </w:p>
    <w:p w14:paraId="2133B9C2" w14:textId="77777777" w:rsidR="000E1859" w:rsidRDefault="00944539">
      <w:pPr>
        <w:pStyle w:val="FirstParagraph"/>
      </w:pPr>
      <w:r>
        <w:t xml:space="preserve">At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when the sequence ends, there is only one security </w:t>
      </w:r>
      <m:oMath>
        <m:sSup>
          <m:sSupPr>
            <m:ctrlPr>
              <w:rPr>
                <w:rFonts w:ascii="Cambria Math" w:hAnsi="Cambria Math"/>
              </w:rPr>
            </m:ctrlPr>
          </m:sSupPr>
          <m:e>
            <m:r>
              <w:rPr>
                <w:rFonts w:ascii="Cambria Math" w:hAnsi="Cambria Math"/>
              </w:rPr>
              <m:t>s</m:t>
            </m:r>
          </m:e>
          <m:sup>
            <m:r>
              <w:rPr>
                <w:rFonts w:ascii="Cambria Math" w:hAnsi="Cambria Math"/>
              </w:rPr>
              <m:t>*</m:t>
            </m:r>
          </m:sup>
        </m:sSup>
      </m:oMath>
      <w:r>
        <w:t xml:space="preserve"> associated with a range of temperatures including the actual temperature </w:t>
      </w:r>
      <m:oMath>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t</m:t>
                </m:r>
              </m:e>
              <m:sup>
                <m:r>
                  <w:rPr>
                    <w:rFonts w:ascii="Cambria Math" w:hAnsi="Cambria Math"/>
                  </w:rPr>
                  <m:t>*</m:t>
                </m:r>
              </m:sup>
            </m:sSup>
          </m:sub>
        </m:sSub>
      </m:oMath>
      <w:r>
        <w:t xml:space="preserve">. At </w:t>
      </w:r>
      <m:oMath>
        <m:sSup>
          <m:sSupPr>
            <m:ctrlPr>
              <w:rPr>
                <w:rFonts w:ascii="Cambria Math" w:hAnsi="Cambria Math"/>
              </w:rPr>
            </m:ctrlPr>
          </m:sSupPr>
          <m:e>
            <m:r>
              <w:rPr>
                <w:rFonts w:ascii="Cambria Math" w:hAnsi="Cambria Math"/>
              </w:rPr>
              <m:t>t</m:t>
            </m:r>
          </m:e>
          <m:sup>
            <m:r>
              <w:rPr>
                <w:rFonts w:ascii="Cambria Math" w:hAnsi="Cambria Math"/>
              </w:rPr>
              <m:t>*</m:t>
            </m:r>
          </m:sup>
        </m:sSup>
      </m:oMath>
      <w:r>
        <w:t>, traders:</w:t>
      </w:r>
    </w:p>
    <w:p w14:paraId="586A08BD" w14:textId="77777777" w:rsidR="000E1859" w:rsidRDefault="00944539">
      <w:pPr>
        <w:pStyle w:val="Compact"/>
        <w:numPr>
          <w:ilvl w:val="0"/>
          <w:numId w:val="5"/>
        </w:numPr>
      </w:pPr>
      <w:r>
        <w:t xml:space="preserve">receive 1 ECU per unit of </w:t>
      </w:r>
      <m:oMath>
        <m:sSup>
          <m:sSupPr>
            <m:ctrlPr>
              <w:rPr>
                <w:rFonts w:ascii="Cambria Math" w:hAnsi="Cambria Math"/>
              </w:rPr>
            </m:ctrlPr>
          </m:sSupPr>
          <m:e>
            <m:r>
              <w:rPr>
                <w:rFonts w:ascii="Cambria Math" w:hAnsi="Cambria Math"/>
              </w:rPr>
              <m:t>s</m:t>
            </m:r>
          </m:e>
          <m:sup>
            <m:r>
              <w:rPr>
                <w:rFonts w:ascii="Cambria Math" w:hAnsi="Cambria Math"/>
              </w:rPr>
              <m:t>*</m:t>
            </m:r>
          </m:sup>
        </m:sSup>
      </m:oMath>
      <w:r>
        <w:t xml:space="preserve"> they own, and</w:t>
      </w:r>
    </w:p>
    <w:p w14:paraId="76DE1C83" w14:textId="77777777" w:rsidR="000E1859" w:rsidRDefault="00944539">
      <w:pPr>
        <w:pStyle w:val="Compact"/>
        <w:numPr>
          <w:ilvl w:val="0"/>
          <w:numId w:val="5"/>
        </w:numPr>
      </w:pPr>
      <w:r>
        <w:t>consider adapting their neighbors'</w:t>
      </w:r>
      <w:r>
        <w:t xml:space="preserve"> approximate model as described in Social Network.</w:t>
      </w:r>
    </w:p>
    <w:p w14:paraId="41F8D656" w14:textId="77777777" w:rsidR="000E1859" w:rsidRDefault="00944539">
      <w:pPr>
        <w:pStyle w:val="Heading2"/>
      </w:pPr>
      <w:bookmarkStart w:id="10" w:name="model-parameters"/>
      <w:bookmarkEnd w:id="10"/>
      <w:r>
        <w:t>Model Parameters</w:t>
      </w:r>
    </w:p>
    <w:p w14:paraId="024367C1" w14:textId="77777777" w:rsidR="000E1859" w:rsidRDefault="00944539">
      <w:pPr>
        <w:pStyle w:val="FirstParagraph"/>
      </w:pPr>
      <w:r>
        <w:t>The model depends on the following parameters, which we vary in simulation experiments to determine their effects on the convergence of beliefs. We group the parameters into climate, netwo</w:t>
      </w:r>
      <w:r>
        <w:t>rk and individual behavioral factors.</w:t>
      </w:r>
    </w:p>
    <w:p w14:paraId="6EF007AA" w14:textId="77777777" w:rsidR="000E1859" w:rsidRDefault="00944539">
      <w:pPr>
        <w:pStyle w:val="Compact"/>
        <w:numPr>
          <w:ilvl w:val="0"/>
          <w:numId w:val="6"/>
        </w:numPr>
      </w:pPr>
      <w:r>
        <w:t>Climate parameters:</w:t>
      </w:r>
    </w:p>
    <w:p w14:paraId="0962F994" w14:textId="77777777" w:rsidR="000E1859" w:rsidRDefault="00944539">
      <w:pPr>
        <w:pStyle w:val="Compact"/>
        <w:numPr>
          <w:ilvl w:val="1"/>
          <w:numId w:val="7"/>
        </w:numPr>
      </w:pPr>
      <w:r>
        <w:rPr>
          <w:b/>
        </w:rPr>
        <w:t>true.model</w:t>
      </w:r>
      <w:r>
        <w:t>: temperature data-generating process, CO</w:t>
      </w:r>
      <m:oMath>
        <m:sSub>
          <m:sSubPr>
            <m:ctrlPr>
              <w:rPr>
                <w:rFonts w:ascii="Cambria Math" w:hAnsi="Cambria Math"/>
              </w:rPr>
            </m:ctrlPr>
          </m:sSubPr>
          <m:e/>
          <m:sub>
            <m:r>
              <w:rPr>
                <w:rFonts w:ascii="Cambria Math" w:hAnsi="Cambria Math"/>
              </w:rPr>
              <m:t>2</m:t>
            </m:r>
          </m:sub>
        </m:sSub>
      </m:oMath>
      <w:r>
        <w:t xml:space="preserve"> or TSI.</w:t>
      </w:r>
    </w:p>
    <w:p w14:paraId="350D4DB3" w14:textId="77777777" w:rsidR="000E1859" w:rsidRDefault="00944539">
      <w:pPr>
        <w:pStyle w:val="Compact"/>
        <w:numPr>
          <w:ilvl w:val="0"/>
          <w:numId w:val="6"/>
        </w:numPr>
      </w:pPr>
      <w:r>
        <w:t>Network parameters:</w:t>
      </w:r>
    </w:p>
    <w:p w14:paraId="5A6AA8F0" w14:textId="77777777" w:rsidR="000E1859" w:rsidRDefault="00944539">
      <w:pPr>
        <w:pStyle w:val="Compact"/>
        <w:numPr>
          <w:ilvl w:val="1"/>
          <w:numId w:val="8"/>
        </w:numPr>
      </w:pPr>
      <w:r>
        <w:rPr>
          <w:b/>
        </w:rPr>
        <w:t>n.traders</w:t>
      </w:r>
      <w:r>
        <w:t>: the number of traders.</w:t>
      </w:r>
    </w:p>
    <w:p w14:paraId="48DFE205" w14:textId="77777777" w:rsidR="000E1859" w:rsidRDefault="00944539">
      <w:pPr>
        <w:pStyle w:val="Compact"/>
        <w:numPr>
          <w:ilvl w:val="1"/>
          <w:numId w:val="8"/>
        </w:numPr>
      </w:pPr>
      <w:r>
        <w:rPr>
          <w:b/>
        </w:rPr>
        <w:t>n.edg</w:t>
      </w:r>
      <w:r>
        <w:t>: the number of edges in the social network.</w:t>
      </w:r>
    </w:p>
    <w:p w14:paraId="4FEEA3B2" w14:textId="77777777" w:rsidR="000E1859" w:rsidRDefault="00944539">
      <w:pPr>
        <w:pStyle w:val="Compact"/>
        <w:numPr>
          <w:ilvl w:val="1"/>
          <w:numId w:val="8"/>
        </w:numPr>
      </w:pPr>
      <w:r>
        <w:rPr>
          <w:b/>
        </w:rPr>
        <w:t>seg</w:t>
      </w:r>
      <w:r>
        <w:t xml:space="preserve">: the initial degree of homophily in the network. The higher </w:t>
      </w:r>
      <w:r>
        <w:rPr>
          <w:b/>
        </w:rPr>
        <w:t>seg</w:t>
      </w:r>
      <w:r>
        <w:t>, the higher the initial homophily.</w:t>
      </w:r>
    </w:p>
    <w:p w14:paraId="110AC141" w14:textId="77777777" w:rsidR="000E1859" w:rsidRDefault="00944539">
      <w:pPr>
        <w:pStyle w:val="Compact"/>
        <w:numPr>
          <w:ilvl w:val="0"/>
          <w:numId w:val="6"/>
        </w:numPr>
      </w:pPr>
      <w:r>
        <w:t>Behavioral parameters:</w:t>
      </w:r>
    </w:p>
    <w:p w14:paraId="64A48911" w14:textId="77777777" w:rsidR="000E1859" w:rsidRDefault="00944539">
      <w:pPr>
        <w:numPr>
          <w:ilvl w:val="1"/>
          <w:numId w:val="9"/>
        </w:numPr>
      </w:pPr>
      <w:r>
        <w:rPr>
          <w:b/>
        </w:rPr>
        <w:t>risk.tak</w:t>
      </w:r>
      <w:r>
        <w:t xml:space="preserve"> : determines the distribution of risk-taking behavior. For each trader </w:t>
      </w:r>
      <m:oMath>
        <m:r>
          <w:rPr>
            <w:rFonts w:ascii="Cambria Math" w:hAnsi="Cambria Math"/>
          </w:rPr>
          <m:t>i</m:t>
        </m:r>
      </m:oMath>
      <w:r>
        <w:t xml:space="preserve">, the level of </w:t>
      </w:r>
      <m:oMath>
        <m:sSub>
          <m:sSubPr>
            <m:ctrlPr>
              <w:rPr>
                <w:rFonts w:ascii="Cambria Math" w:hAnsi="Cambria Math"/>
              </w:rPr>
            </m:ctrlPr>
          </m:sSubPr>
          <m:e/>
          <m:sub>
            <m:r>
              <w:rPr>
                <w:rFonts w:ascii="Cambria Math" w:hAnsi="Cambria Math"/>
              </w:rPr>
              <m:t>i</m:t>
            </m:r>
          </m:sub>
        </m:sSub>
      </m:oMath>
      <w:r>
        <w:t xml:space="preserve"> is drawn uniformly at random from</w:t>
      </w:r>
      <w:r>
        <w:t xml:space="preserve"> </w:t>
      </w:r>
      <m:oMath>
        <m:r>
          <w:rPr>
            <w:rFonts w:ascii="Cambria Math" w:hAnsi="Cambria Math"/>
          </w:rPr>
          <m:t>[0,</m:t>
        </m:r>
      </m:oMath>
      <w:r>
        <w:t xml:space="preserve"> </w:t>
      </w:r>
      <m:oMath>
        <m:r>
          <w:rPr>
            <w:rFonts w:ascii="Cambria Math" w:hAnsi="Cambria Math"/>
          </w:rPr>
          <m:t>]</m:t>
        </m:r>
      </m:oMath>
      <w:r>
        <w:t xml:space="preserve">. The higher </w:t>
      </w:r>
      <m:oMath>
        <m:sSub>
          <m:sSubPr>
            <m:ctrlPr>
              <w:rPr>
                <w:rFonts w:ascii="Cambria Math" w:hAnsi="Cambria Math"/>
              </w:rPr>
            </m:ctrlPr>
          </m:sSubPr>
          <m:e/>
          <m:sub>
            <m:r>
              <w:rPr>
                <w:rFonts w:ascii="Cambria Math" w:hAnsi="Cambria Math"/>
              </w:rPr>
              <m:t>i</m:t>
            </m:r>
          </m:sub>
        </m:sSub>
      </m:oMath>
      <w:r>
        <w:t xml:space="preserve">, the higher (resp. lower) the price </w:t>
      </w:r>
      <m:oMath>
        <m:r>
          <w:rPr>
            <w:rFonts w:ascii="Cambria Math" w:hAnsi="Cambria Math"/>
          </w:rPr>
          <m:t>i</m:t>
        </m:r>
      </m:oMath>
      <w:r>
        <w:t xml:space="preserve"> will set for the securities </w:t>
      </w:r>
      <m:oMath>
        <m:r>
          <w:rPr>
            <w:rFonts w:ascii="Cambria Math" w:hAnsi="Cambria Math"/>
          </w:rPr>
          <m:t>i</m:t>
        </m:r>
      </m:oMath>
      <w:r>
        <w:t xml:space="preserve"> tries to sell (resp. buy). Formally, let </w:t>
      </w:r>
      <m:oMath>
        <m:sSub>
          <m:sSubPr>
            <m:ctrlPr>
              <w:rPr>
                <w:rFonts w:ascii="Cambria Math" w:hAnsi="Cambria Math"/>
              </w:rPr>
            </m:ctrlPr>
          </m:sSubPr>
          <m:e>
            <m:r>
              <m:rPr>
                <m:scr m:val="monospace"/>
                <m:sty m:val="p"/>
              </m:rPr>
              <w:rPr>
                <w:rFonts w:ascii="Cambria Math" w:hAnsi="Cambria Math"/>
              </w:rPr>
              <m:t>reserv</m:t>
            </m:r>
          </m:e>
          <m:sub>
            <m:r>
              <w:rPr>
                <w:rFonts w:ascii="Cambria Math" w:hAnsi="Cambria Math"/>
              </w:rPr>
              <m:t>it</m:t>
            </m:r>
          </m:sub>
        </m:sSub>
      </m:oMath>
      <w:r>
        <w:t xml:space="preserve"> be the reservation price of trader </w:t>
      </w:r>
      <m:oMath>
        <m:r>
          <w:rPr>
            <w:rFonts w:ascii="Cambria Math" w:hAnsi="Cambria Math"/>
          </w:rPr>
          <m:t>i</m:t>
        </m:r>
      </m:oMath>
      <w:r>
        <w:t xml:space="preserve"> at time </w:t>
      </w:r>
      <m:oMath>
        <m:r>
          <w:rPr>
            <w:rFonts w:ascii="Cambria Math" w:hAnsi="Cambria Math"/>
          </w:rPr>
          <m:t>t</m:t>
        </m:r>
      </m:oMath>
      <w:r>
        <w:t xml:space="preserve"> for some security </w:t>
      </w:r>
      <m:oMath>
        <m:r>
          <w:rPr>
            <w:rFonts w:ascii="Cambria Math" w:hAnsi="Cambria Math"/>
          </w:rPr>
          <m:t>s</m:t>
        </m:r>
      </m:oMath>
      <w:r>
        <w:t xml:space="preserve">. Then trader </w:t>
      </w:r>
      <m:oMath>
        <m:r>
          <w:rPr>
            <w:rFonts w:ascii="Cambria Math" w:hAnsi="Cambria Math"/>
          </w:rPr>
          <m:t>i</m:t>
        </m:r>
      </m:oMath>
      <w:r>
        <w:t xml:space="preserve"> picks her buying (re</w:t>
      </w:r>
      <w:r>
        <w:t xml:space="preserve">sp. selling) price for </w:t>
      </w:r>
      <m:oMath>
        <m:r>
          <w:rPr>
            <w:rFonts w:ascii="Cambria Math" w:hAnsi="Cambria Math"/>
          </w:rPr>
          <m:t>s</m:t>
        </m:r>
      </m:oMath>
      <w:r>
        <w:t xml:space="preserve"> uniformly at random in the interval $[\texttt{reserv}_{it}, \allowbreak </w:t>
      </w:r>
      <w:r>
        <w:lastRenderedPageBreak/>
        <w:t>\texttt{reserv}_{it} * (1 - \texttt{risk.tak}_i)]$ (resp. $[\texttt{reserv}_{it}, \allowbreak \texttt{reserv}_{it} * (1 + \texttt{risk.tak}_i)]$).</w:t>
      </w:r>
    </w:p>
    <w:p w14:paraId="172B42B2" w14:textId="77777777" w:rsidR="000E1859" w:rsidRDefault="00944539">
      <w:pPr>
        <w:numPr>
          <w:ilvl w:val="1"/>
          <w:numId w:val="9"/>
        </w:numPr>
      </w:pPr>
      <w:r>
        <w:rPr>
          <w:b/>
        </w:rPr>
        <w:t>ideo</w:t>
      </w:r>
      <w:r>
        <w:t xml:space="preserve"> : dete</w:t>
      </w:r>
      <w:r>
        <w:t xml:space="preserve">rmines the degree of "ideology" of traders. For each trader </w:t>
      </w:r>
      <m:oMath>
        <m:r>
          <w:rPr>
            <w:rFonts w:ascii="Cambria Math" w:hAnsi="Cambria Math"/>
          </w:rPr>
          <m:t>i</m:t>
        </m:r>
      </m:oMath>
      <w:r>
        <w:t xml:space="preserve">, the level of </w:t>
      </w:r>
      <m:oMath>
        <m:sSub>
          <m:sSubPr>
            <m:ctrlPr>
              <w:rPr>
                <w:rFonts w:ascii="Cambria Math" w:hAnsi="Cambria Math"/>
              </w:rPr>
            </m:ctrlPr>
          </m:sSubPr>
          <m:e/>
          <m:sub>
            <m:r>
              <w:rPr>
                <w:rFonts w:ascii="Cambria Math" w:hAnsi="Cambria Math"/>
              </w:rPr>
              <m:t>i</m:t>
            </m:r>
          </m:sub>
        </m:sSub>
      </m:oMath>
      <w:r>
        <w:t xml:space="preserve"> is drawn uniformly at random from </w:t>
      </w:r>
      <m:oMath>
        <m:r>
          <w:rPr>
            <w:rFonts w:ascii="Cambria Math" w:hAnsi="Cambria Math"/>
          </w:rPr>
          <m:t>[0,</m:t>
        </m:r>
      </m:oMath>
      <w:r>
        <w:t xml:space="preserve"> </w:t>
      </w:r>
      <m:oMath>
        <m:r>
          <w:rPr>
            <w:rFonts w:ascii="Cambria Math" w:hAnsi="Cambria Math"/>
          </w:rPr>
          <m:t>]</m:t>
        </m:r>
      </m:oMath>
      <w:r>
        <w:t xml:space="preserve">. If ideo is high, traders will not revise their approximate models easily, even when faced with evidence that their richest neighbor is </w:t>
      </w:r>
      <w:r>
        <w:t xml:space="preserve">doing better than them. Formally, for each trader </w:t>
      </w:r>
      <m:oMath>
        <m:r>
          <w:rPr>
            <w:rFonts w:ascii="Cambria Math" w:hAnsi="Cambria Math"/>
          </w:rPr>
          <m:t>i</m:t>
        </m:r>
      </m:oMath>
      <w:r>
        <w:t xml:space="preserve"> and each sequence, a parameter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drawn from </w:t>
      </w:r>
      <m:oMath>
        <m:r>
          <w:rPr>
            <w:rFonts w:ascii="Cambria Math" w:hAnsi="Cambria Math"/>
          </w:rPr>
          <m:t>[0,</m:t>
        </m:r>
        <m:sSub>
          <m:sSubPr>
            <m:ctrlPr>
              <w:rPr>
                <w:rFonts w:ascii="Cambria Math" w:hAnsi="Cambria Math"/>
              </w:rPr>
            </m:ctrlPr>
          </m:sSubPr>
          <m:e>
            <m:r>
              <m:rPr>
                <m:scr m:val="monospace"/>
                <m:sty m:val="p"/>
              </m:rPr>
              <w:rPr>
                <w:rFonts w:ascii="Cambria Math" w:hAnsi="Cambria Math"/>
              </w:rPr>
              <m:t>ideo</m:t>
            </m:r>
          </m:e>
          <m:sub>
            <m:r>
              <w:rPr>
                <w:rFonts w:ascii="Cambria Math" w:hAnsi="Cambria Math"/>
              </w:rPr>
              <m:t>i</m:t>
            </m:r>
          </m:sub>
        </m:sSub>
        <m:r>
          <w:rPr>
            <w:rFonts w:ascii="Cambria Math" w:hAnsi="Cambria Math"/>
          </w:rPr>
          <m:t>]</m:t>
        </m:r>
      </m:oMath>
      <w:r>
        <w:t xml:space="preserve">. The value of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probability that </w:t>
      </w:r>
      <m:oMath>
        <m:r>
          <w:rPr>
            <w:rFonts w:ascii="Cambria Math" w:hAnsi="Cambria Math"/>
          </w:rPr>
          <m:t>i</m:t>
        </m:r>
      </m:oMath>
      <w:r>
        <w:t xml:space="preserve"> adopts the approximate model of her richest neighbor if that neighbor is doing better than </w:t>
      </w:r>
      <m:oMath>
        <m:r>
          <w:rPr>
            <w:rFonts w:ascii="Cambria Math" w:hAnsi="Cambria Math"/>
          </w:rPr>
          <m:t>i</m:t>
        </m:r>
      </m:oMath>
      <w:r>
        <w:t xml:space="preserve"> at the end of the sequence (in monetary terms).</w:t>
      </w:r>
    </w:p>
    <w:p w14:paraId="71AA6141" w14:textId="77777777" w:rsidR="000E1859" w:rsidRDefault="00944539">
      <w:pPr>
        <w:pStyle w:val="Heading1"/>
      </w:pPr>
      <w:bookmarkStart w:id="11" w:name="results"/>
      <w:bookmarkEnd w:id="11"/>
      <w:r>
        <w:t>Results</w:t>
      </w:r>
    </w:p>
    <w:p w14:paraId="3061FC77" w14:textId="77777777" w:rsidR="000E1859" w:rsidRDefault="00944539">
      <w:pPr>
        <w:pStyle w:val="Heading2"/>
      </w:pPr>
      <w:bookmarkStart w:id="12" w:name="historical-data"/>
      <w:bookmarkEnd w:id="12"/>
      <w:r>
        <w:t>Historical Data</w:t>
      </w:r>
    </w:p>
    <w:p w14:paraId="3A1F32D4" w14:textId="77777777" w:rsidR="000E1859" w:rsidRDefault="00944539">
      <w:pPr>
        <w:pStyle w:val="FirstParagraph"/>
      </w:pPr>
      <w:r>
        <w:t>As a validation that the market is operating correctly, we run the market with actual temperatures 1880 to 2015 and market betting from 1931 to 2014. Before 1980 there is no statisti</w:t>
      </w:r>
      <w:r>
        <w:t>cally significant warming trend so we would not expect the market to change beliefs before then. As a global warming signal begins to show up in 1980s, traders begin to converge toward the log(CO</w:t>
      </w:r>
      <m:oMath>
        <m:sSub>
          <m:sSubPr>
            <m:ctrlPr>
              <w:rPr>
                <w:rFonts w:ascii="Cambria Math" w:hAnsi="Cambria Math"/>
              </w:rPr>
            </m:ctrlPr>
          </m:sSubPr>
          <m:e/>
          <m:sub>
            <m:r>
              <w:rPr>
                <w:rFonts w:ascii="Cambria Math" w:hAnsi="Cambria Math"/>
              </w:rPr>
              <m:t>2</m:t>
            </m:r>
          </m:sub>
        </m:sSub>
      </m:oMath>
      <w:r>
        <w:t>) model (Fig. 2).</w:t>
      </w:r>
    </w:p>
    <w:p w14:paraId="59EDC16F" w14:textId="77777777" w:rsidR="000E1859" w:rsidRDefault="00944539">
      <w:pPr>
        <w:pStyle w:val="Heading2"/>
      </w:pPr>
      <w:bookmarkStart w:id="13" w:name="future-scenarios"/>
      <w:bookmarkEnd w:id="13"/>
      <w:r>
        <w:t>Future Scenarios</w:t>
      </w:r>
    </w:p>
    <w:p w14:paraId="1122B809" w14:textId="77777777" w:rsidR="000E1859" w:rsidRDefault="00944539">
      <w:pPr>
        <w:pStyle w:val="FirstParagraph"/>
      </w:pPr>
      <w:r>
        <w:t>Our primary focus is on s</w:t>
      </w:r>
      <w:r>
        <w:t xml:space="preserve">imulating the market in future scenarios. This is more relevant for policy design and more interesting theoretically due to the increasing divergence of global temperature values under the two future scenarios. The sensitivity analysis is based on a Latin </w:t>
      </w:r>
      <w:r>
        <w:t>Hypercube Sampling of parameter sets from the following distributions (Beachkofski and Grandhi 2002; Carnell 2012).</w:t>
      </w:r>
    </w:p>
    <w:p w14:paraId="7BFAFCA5" w14:textId="77777777" w:rsidR="000E1859" w:rsidRDefault="00944539">
      <w:pPr>
        <w:pStyle w:val="Compact"/>
        <w:numPr>
          <w:ilvl w:val="0"/>
          <w:numId w:val="10"/>
        </w:numPr>
      </w:pPr>
      <w:r>
        <w:t xml:space="preserve">ideo </w:t>
      </w:r>
      <m:oMath>
        <m:r>
          <w:rPr>
            <w:rFonts w:ascii="Cambria Math" w:hAnsi="Cambria Math"/>
          </w:rPr>
          <m:t>∼</m:t>
        </m:r>
        <m:r>
          <w:rPr>
            <w:rFonts w:ascii="Cambria Math" w:hAnsi="Cambria Math"/>
          </w:rPr>
          <m:t>Unif</m:t>
        </m:r>
        <m:r>
          <w:rPr>
            <w:rFonts w:ascii="Cambria Math" w:hAnsi="Cambria Math"/>
          </w:rPr>
          <m:t>(0,1)</m:t>
        </m:r>
      </m:oMath>
    </w:p>
    <w:p w14:paraId="66BB3BCD" w14:textId="77777777" w:rsidR="000E1859" w:rsidRDefault="00944539">
      <w:pPr>
        <w:pStyle w:val="Compact"/>
        <w:numPr>
          <w:ilvl w:val="0"/>
          <w:numId w:val="10"/>
        </w:numPr>
      </w:pPr>
      <w:r>
        <w:t xml:space="preserve">market.complet </w:t>
      </w:r>
      <m:oMath>
        <m:r>
          <w:rPr>
            <w:rFonts w:ascii="Cambria Math" w:hAnsi="Cambria Math"/>
          </w:rPr>
          <m:t>∼</m:t>
        </m:r>
        <m:r>
          <w:rPr>
            <w:rFonts w:ascii="Cambria Math" w:hAnsi="Cambria Math"/>
          </w:rPr>
          <m:t>Unif</m:t>
        </m:r>
        <m:r>
          <w:rPr>
            <w:rFonts w:ascii="Cambria Math" w:hAnsi="Cambria Math"/>
          </w:rPr>
          <m:t>(0,1000)</m:t>
        </m:r>
      </m:oMath>
      <w:r>
        <w:t xml:space="preserve"> (mapped into integer)</w:t>
      </w:r>
    </w:p>
    <w:p w14:paraId="37F21D09" w14:textId="77777777" w:rsidR="000E1859" w:rsidRDefault="00944539">
      <w:pPr>
        <w:pStyle w:val="Compact"/>
        <w:numPr>
          <w:ilvl w:val="0"/>
          <w:numId w:val="10"/>
        </w:numPr>
      </w:pPr>
      <w:r>
        <w:t xml:space="preserve">n.edge </w:t>
      </w:r>
      <m:oMath>
        <m:r>
          <w:rPr>
            <w:rFonts w:ascii="Cambria Math" w:hAnsi="Cambria Math"/>
          </w:rPr>
          <m:t>∼</m:t>
        </m:r>
        <m:r>
          <w:rPr>
            <w:rFonts w:ascii="Cambria Math" w:hAnsi="Cambria Math"/>
          </w:rPr>
          <m:t>Unif</m:t>
        </m:r>
        <m:r>
          <w:rPr>
            <w:rFonts w:ascii="Cambria Math" w:hAnsi="Cambria Math"/>
          </w:rPr>
          <m:t>(100,200)</m:t>
        </m:r>
      </m:oMath>
      <w:r>
        <w:t xml:space="preserve"> (mapped into integer)</w:t>
      </w:r>
    </w:p>
    <w:p w14:paraId="5E50BBE2" w14:textId="77777777" w:rsidR="000E1859" w:rsidRDefault="00944539">
      <w:pPr>
        <w:pStyle w:val="Compact"/>
        <w:numPr>
          <w:ilvl w:val="0"/>
          <w:numId w:val="10"/>
        </w:numPr>
      </w:pPr>
      <w:r>
        <w:t xml:space="preserve">n.traders </w:t>
      </w:r>
      <m:oMath>
        <m:r>
          <w:rPr>
            <w:rFonts w:ascii="Cambria Math" w:hAnsi="Cambria Math"/>
          </w:rPr>
          <m:t>∼</m:t>
        </m:r>
        <m:r>
          <w:rPr>
            <w:rFonts w:ascii="Cambria Math" w:hAnsi="Cambria Math"/>
          </w:rPr>
          <m:t>Uni</m:t>
        </m:r>
        <m:r>
          <w:rPr>
            <w:rFonts w:ascii="Cambria Math" w:hAnsi="Cambria Math"/>
          </w:rPr>
          <m:t>f</m:t>
        </m:r>
        <m:r>
          <w:rPr>
            <w:rFonts w:ascii="Cambria Math" w:hAnsi="Cambria Math"/>
          </w:rPr>
          <m:t>(50,250)</m:t>
        </m:r>
      </m:oMath>
      <w:r>
        <w:t xml:space="preserve"> (mapped into integer)</w:t>
      </w:r>
    </w:p>
    <w:p w14:paraId="5A44B03B" w14:textId="77777777" w:rsidR="000E1859" w:rsidRDefault="00944539">
      <w:pPr>
        <w:pStyle w:val="Compact"/>
        <w:numPr>
          <w:ilvl w:val="0"/>
          <w:numId w:val="10"/>
        </w:numPr>
      </w:pPr>
      <w:r>
        <w:t xml:space="preserve">risk.tak </w:t>
      </w:r>
      <m:oMath>
        <m:r>
          <w:rPr>
            <w:rFonts w:ascii="Cambria Math" w:hAnsi="Cambria Math"/>
          </w:rPr>
          <m:t>∼</m:t>
        </m:r>
        <m:r>
          <w:rPr>
            <w:rFonts w:ascii="Cambria Math" w:hAnsi="Cambria Math"/>
          </w:rPr>
          <m:t>Unif</m:t>
        </m:r>
        <m:r>
          <w:rPr>
            <w:rFonts w:ascii="Cambria Math" w:hAnsi="Cambria Math"/>
          </w:rPr>
          <m:t>(0,1)</m:t>
        </m:r>
      </m:oMath>
    </w:p>
    <w:p w14:paraId="1829AD30" w14:textId="77777777" w:rsidR="000E1859" w:rsidRDefault="00944539">
      <w:pPr>
        <w:pStyle w:val="Compact"/>
        <w:numPr>
          <w:ilvl w:val="0"/>
          <w:numId w:val="10"/>
        </w:numPr>
      </w:pPr>
      <w:r>
        <w:t xml:space="preserve">seg </w:t>
      </w:r>
      <m:oMath>
        <m:r>
          <w:rPr>
            <w:rFonts w:ascii="Cambria Math" w:hAnsi="Cambria Math"/>
          </w:rPr>
          <m:t>∼</m:t>
        </m:r>
        <m:r>
          <w:rPr>
            <w:rFonts w:ascii="Cambria Math" w:hAnsi="Cambria Math"/>
          </w:rPr>
          <m:t>Unif</m:t>
        </m:r>
        <m:r>
          <w:rPr>
            <w:rFonts w:ascii="Cambria Math" w:hAnsi="Cambria Math"/>
          </w:rPr>
          <m:t>(0,1)</m:t>
        </m:r>
      </m:oMath>
    </w:p>
    <w:p w14:paraId="11E5D78B" w14:textId="77777777" w:rsidR="000E1859" w:rsidRDefault="00944539">
      <w:pPr>
        <w:pStyle w:val="Compact"/>
        <w:numPr>
          <w:ilvl w:val="0"/>
          <w:numId w:val="10"/>
        </w:numPr>
      </w:pPr>
      <w:r>
        <w:t xml:space="preserve">true.model </w:t>
      </w:r>
      <m:oMath>
        <m:r>
          <w:rPr>
            <w:rFonts w:ascii="Cambria Math" w:hAnsi="Cambria Math"/>
          </w:rPr>
          <m:t>∼</m:t>
        </m:r>
        <m:r>
          <w:rPr>
            <w:rFonts w:ascii="Cambria Math" w:hAnsi="Cambria Math"/>
          </w:rPr>
          <m:t>Binom</m:t>
        </m:r>
        <m:r>
          <w:rPr>
            <w:rFonts w:ascii="Cambria Math" w:hAnsi="Cambria Math"/>
          </w:rPr>
          <m:t>(0.5)</m:t>
        </m:r>
      </m:oMath>
    </w:p>
    <w:p w14:paraId="398A9F73" w14:textId="77777777" w:rsidR="000E1859" w:rsidRDefault="00944539">
      <w:pPr>
        <w:pStyle w:val="FirstParagraph"/>
      </w:pPr>
      <w:r>
        <w:t>We use the model to simulate 10,000 outcomes based on the input paramter sets and then conduct a partial rank correlation coefficient analysis on the re</w:t>
      </w:r>
      <w:r>
        <w:t xml:space="preserve">lationship between the input matrix, </w:t>
      </w:r>
      <m:oMath>
        <m:r>
          <w:rPr>
            <w:rFonts w:ascii="Cambria Math" w:hAnsi="Cambria Math"/>
          </w:rPr>
          <m:t>X</m:t>
        </m:r>
      </m:oMath>
      <w:r>
        <w:t xml:space="preserve">, and the resulting simulated outcome vector of belief convergence scores, </w:t>
      </w:r>
      <m:oMath>
        <m:r>
          <w:rPr>
            <w:rFonts w:ascii="Cambria Math" w:hAnsi="Cambria Math"/>
          </w:rPr>
          <m:t>y</m:t>
        </m:r>
      </m:oMath>
      <w:r>
        <w:t xml:space="preserve"> (Marino et al. 2008; Pujol et al. 2014; Saltelli, Chan, and Scott 2009). Partial correlation computes the linear relationship between the p</w:t>
      </w:r>
      <w:r>
        <w:t xml:space="preserve">art of the variation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y</m:t>
        </m:r>
      </m:oMath>
      <w:r>
        <w:t xml:space="preserve"> that are linearly independent of other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w:t>
      </w:r>
      <m:oMath>
        <m:r>
          <w:rPr>
            <w:rFonts w:ascii="Cambria Math" w:hAnsi="Cambria Math"/>
          </w:rPr>
          <m:t>j</m:t>
        </m:r>
        <m:r>
          <w:rPr>
            <w:rFonts w:ascii="Cambria Math" w:hAnsi="Cambria Math"/>
          </w:rPr>
          <m:t>≠</m:t>
        </m:r>
        <m:r>
          <w:rPr>
            <w:rFonts w:ascii="Cambria Math" w:hAnsi="Cambria Math"/>
          </w:rPr>
          <m:t>i</m:t>
        </m:r>
      </m:oMath>
      <w:r>
        <w:t xml:space="preserve">). The only difference with the partial correlation and the partial rank correlation that we use here is that the outcome variable </w:t>
      </w:r>
      <m:oMath>
        <m:r>
          <w:rPr>
            <w:rFonts w:ascii="Cambria Math" w:hAnsi="Cambria Math"/>
          </w:rPr>
          <m:t>y</m:t>
        </m:r>
      </m:oMath>
      <w:r>
        <w:t xml:space="preserve"> is first ranked-transformed in order</w:t>
      </w:r>
      <w:r>
        <w:t xml:space="preserve"> to allow us capture potentially non-linear relationships. That is every value, </w:t>
      </w:r>
      <m:oMath>
        <m:sSub>
          <m:sSubPr>
            <m:ctrlPr>
              <w:rPr>
                <w:rFonts w:ascii="Cambria Math" w:hAnsi="Cambria Math"/>
              </w:rPr>
            </m:ctrlPr>
          </m:sSubPr>
          <m:e>
            <m:r>
              <w:rPr>
                <w:rFonts w:ascii="Cambria Math" w:hAnsi="Cambria Math"/>
              </w:rPr>
              <m:t>y</m:t>
            </m:r>
          </m:e>
          <m:sub>
            <m:r>
              <w:rPr>
                <w:rFonts w:ascii="Cambria Math" w:hAnsi="Cambria Math"/>
              </w:rPr>
              <m:t>s</m:t>
            </m:r>
          </m:sub>
        </m:sSub>
      </m:oMath>
      <w:r>
        <w:t xml:space="preserve">, in the data set is replace by a number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 </m:t>
        </m:r>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&gt;</m:t>
        </m:r>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r</m:t>
            </m:r>
          </m:sub>
        </m:sSub>
      </m:oMath>
      <w:r>
        <w:t xml:space="preserve"> are the other observed values of </w:t>
      </w:r>
      <m:oMath>
        <m:r>
          <w:rPr>
            <w:rFonts w:ascii="Cambria Math" w:hAnsi="Cambria Math"/>
          </w:rPr>
          <m:t>y</m:t>
        </m:r>
      </m:oMath>
      <w:r>
        <w:t xml:space="preserve"> in the data set.</w:t>
      </w:r>
    </w:p>
    <w:p w14:paraId="1613E236" w14:textId="77777777" w:rsidR="000E1859" w:rsidRDefault="00944539">
      <w:pPr>
        <w:pStyle w:val="BodyText"/>
      </w:pPr>
      <w:r>
        <w:t>Our sensitivity analysis, Fig. 3, shows that ideology, risk tolerance, the number of traders, the number of edges per trader, the segmentation of the social network, and the true model all statistically significantly affect convergence. Segmented social ne</w:t>
      </w:r>
      <w:r>
        <w:t>tworks can create an "echo-chamber" effect. Market participation causes traders to converge toward believing the "true" climate model; however, when the true model is CO</w:t>
      </w:r>
      <m:oMath>
        <m:sSub>
          <m:sSubPr>
            <m:ctrlPr>
              <w:rPr>
                <w:rFonts w:ascii="Cambria Math" w:hAnsi="Cambria Math"/>
              </w:rPr>
            </m:ctrlPr>
          </m:sSubPr>
          <m:e/>
          <m:sub>
            <m:r>
              <w:rPr>
                <w:rFonts w:ascii="Cambria Math" w:hAnsi="Cambria Math"/>
              </w:rPr>
              <m:t>2</m:t>
            </m:r>
          </m:sub>
        </m:sSub>
      </m:oMath>
      <w:r>
        <w:t>-driven there is more convergence due to less noise in the relationship between predic</w:t>
      </w:r>
      <w:r>
        <w:t>tor variable (log of CO</w:t>
      </w:r>
      <m:oMath>
        <m:sSub>
          <m:sSubPr>
            <m:ctrlPr>
              <w:rPr>
                <w:rFonts w:ascii="Cambria Math" w:hAnsi="Cambria Math"/>
              </w:rPr>
            </m:ctrlPr>
          </m:sSubPr>
          <m:e/>
          <m:sub>
            <m:r>
              <w:rPr>
                <w:rFonts w:ascii="Cambria Math" w:hAnsi="Cambria Math"/>
              </w:rPr>
              <m:t>2</m:t>
            </m:r>
          </m:sub>
        </m:sSub>
      </m:oMath>
      <w:r>
        <w:t xml:space="preserve"> versus TSI) and temperature.</w:t>
      </w:r>
    </w:p>
    <w:p w14:paraId="13D9E685" w14:textId="77777777" w:rsidR="000E1859" w:rsidRDefault="00944539">
      <w:pPr>
        <w:pStyle w:val="Compact"/>
      </w:pPr>
      <w:r>
        <w:rPr>
          <w:noProof/>
        </w:rPr>
        <w:lastRenderedPageBreak/>
        <w:drawing>
          <wp:inline distT="0" distB="0" distL="0" distR="0" wp14:anchorId="294AAC65" wp14:editId="30C47203">
            <wp:extent cx="36576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sa-1.png"/>
                    <pic:cNvPicPr>
                      <a:picLocks noChangeAspect="1" noChangeArrowheads="1"/>
                    </pic:cNvPicPr>
                  </pic:nvPicPr>
                  <pic:blipFill>
                    <a:blip r:embed="rId9"/>
                    <a:stretch>
                      <a:fillRect/>
                    </a:stretch>
                  </pic:blipFill>
                  <pic:spPr bwMode="auto">
                    <a:xfrm>
                      <a:off x="0" y="0"/>
                      <a:ext cx="3657600" cy="4267200"/>
                    </a:xfrm>
                    <a:prstGeom prst="rect">
                      <a:avLst/>
                    </a:prstGeom>
                    <a:noFill/>
                    <a:ln w="9525">
                      <a:noFill/>
                      <a:headEnd/>
                      <a:tailEnd/>
                    </a:ln>
                  </pic:spPr>
                </pic:pic>
              </a:graphicData>
            </a:graphic>
          </wp:inline>
        </w:drawing>
      </w:r>
    </w:p>
    <w:p w14:paraId="296D38EF" w14:textId="77777777" w:rsidR="000E1859" w:rsidRDefault="00944539">
      <w:pPr>
        <w:pStyle w:val="Compact"/>
      </w:pPr>
      <w:r>
        <w:rPr>
          <w:b/>
        </w:rPr>
        <w:t>Fig. 3.</w:t>
      </w:r>
      <w:r>
        <w:t xml:space="preserve"> Estimated effects of model parameters on convergence of beliefs in future scenario.</w:t>
      </w:r>
    </w:p>
    <w:p w14:paraId="5E2E00A3" w14:textId="77777777" w:rsidR="000E1859" w:rsidRDefault="00944539">
      <w:pPr>
        <w:pStyle w:val="BodyText"/>
      </w:pPr>
      <w:r>
        <w:t>The sensitivity analysis averages over time and thus masks time trends. We randomly drew from the above dist</w:t>
      </w:r>
      <w:r>
        <w:t>ributions for ideology, risk tolerance, and the number of traders, and conducted an experiment crossing 95% and 5% percentile values for the number of edges per trader and the segmentation of the social network and both values for the true model. We then c</w:t>
      </w:r>
      <w:r>
        <w:t>ollected the time series of convergence across these eight designs for visualization of the distributions of convergence over time (Fig. 2). Under most parameterizations, within 15-20 years, the median percent of traders believing in the true model is over</w:t>
      </w:r>
      <w:r>
        <w:t xml:space="preserve"> 75%.</w:t>
      </w:r>
    </w:p>
    <w:p w14:paraId="25DB68EC" w14:textId="77777777" w:rsidR="000E1859" w:rsidRDefault="00944539">
      <w:pPr>
        <w:pStyle w:val="Compact"/>
      </w:pPr>
      <w:r>
        <w:rPr>
          <w:noProof/>
        </w:rPr>
        <w:lastRenderedPageBreak/>
        <w:drawing>
          <wp:inline distT="0" distB="0" distL="0" distR="0" wp14:anchorId="7B56B653" wp14:editId="489D9B2B">
            <wp:extent cx="5334000" cy="431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time-1.png"/>
                    <pic:cNvPicPr>
                      <a:picLocks noChangeAspect="1" noChangeArrowheads="1"/>
                    </pic:cNvPicPr>
                  </pic:nvPicPr>
                  <pic:blipFill>
                    <a:blip r:embed="rId10"/>
                    <a:stretch>
                      <a:fillRect/>
                    </a:stretch>
                  </pic:blipFill>
                  <pic:spPr bwMode="auto">
                    <a:xfrm>
                      <a:off x="0" y="0"/>
                      <a:ext cx="5334000" cy="4318000"/>
                    </a:xfrm>
                    <a:prstGeom prst="rect">
                      <a:avLst/>
                    </a:prstGeom>
                    <a:noFill/>
                    <a:ln w="9525">
                      <a:noFill/>
                      <a:headEnd/>
                      <a:tailEnd/>
                    </a:ln>
                  </pic:spPr>
                </pic:pic>
              </a:graphicData>
            </a:graphic>
          </wp:inline>
        </w:drawing>
      </w:r>
    </w:p>
    <w:p w14:paraId="6D54FB4D" w14:textId="77777777" w:rsidR="000E1859" w:rsidRDefault="00944539">
      <w:pPr>
        <w:pStyle w:val="Compact"/>
      </w:pPr>
      <w:r>
        <w:rPr>
          <w:b/>
        </w:rPr>
        <w:t>Fig. 2.</w:t>
      </w:r>
      <w:r>
        <w:t xml:space="preserve"> Convergence over trading sequences.</w:t>
      </w:r>
    </w:p>
    <w:p w14:paraId="7039A371" w14:textId="77777777" w:rsidR="000E1859" w:rsidRDefault="00944539">
      <w:pPr>
        <w:pStyle w:val="Heading1"/>
      </w:pPr>
      <w:bookmarkStart w:id="14" w:name="discussion"/>
      <w:bookmarkEnd w:id="14"/>
      <w:r>
        <w:t>Discussion</w:t>
      </w:r>
    </w:p>
    <w:p w14:paraId="6E402A99" w14:textId="77777777" w:rsidR="000E1859" w:rsidRDefault="00944539">
      <w:pPr>
        <w:pStyle w:val="FirstParagraph"/>
      </w:pPr>
      <w:r>
        <w:t>We simulate two alternative climate futures: one where the natural log of CO</w:t>
      </w:r>
      <m:oMath>
        <m:sSub>
          <m:sSubPr>
            <m:ctrlPr>
              <w:rPr>
                <w:rFonts w:ascii="Cambria Math" w:hAnsi="Cambria Math"/>
              </w:rPr>
            </m:ctrlPr>
          </m:sSubPr>
          <m:e/>
          <m:sub>
            <m:r>
              <w:rPr>
                <w:rFonts w:ascii="Cambria Math" w:hAnsi="Cambria Math"/>
              </w:rPr>
              <m:t>2</m:t>
            </m:r>
          </m:sub>
        </m:sSub>
      </m:oMath>
      <w:r>
        <w:t xml:space="preserve"> is the primary driver of global temperature and one where sun spots are the primary driver. These represent the two</w:t>
      </w:r>
      <w:r>
        <w:t xml:space="preserve"> most plausible competing views in the public discourse and our analysis is agnostic about which is "true". Market participation causes traders to converge toward believing the "true" climate model under a variety of model parameterizations in a relatively</w:t>
      </w:r>
      <w:r>
        <w:t xml:space="preserve"> small number of years, suggesting that a climate prediction market could be useful regardless of which climate change beliefs ultimately turn out to be the best model of temperature change.</w:t>
      </w:r>
    </w:p>
    <w:p w14:paraId="2EAF15DC" w14:textId="77777777" w:rsidR="000E1859" w:rsidRDefault="00944539">
      <w:pPr>
        <w:pStyle w:val="BodyText"/>
      </w:pPr>
      <w:r>
        <w:t xml:space="preserve">All code for the model is available at </w:t>
      </w:r>
      <w:hyperlink r:id="rId11">
        <w:r>
          <w:rPr>
            <w:rStyle w:val="Hyperlink"/>
          </w:rPr>
          <w:t>johnjnay.com/predictMarket</w:t>
        </w:r>
      </w:hyperlink>
      <w:r>
        <w:t>. This project is a computational test-bed for public policy design: our code can be extended to test the effects that trading strategies, cognitive models, future climate scenarios, and market designs h</w:t>
      </w:r>
      <w:r>
        <w:t>ave on the evolution of trader beliefs.</w:t>
      </w:r>
    </w:p>
    <w:p w14:paraId="0DE67084" w14:textId="77777777" w:rsidR="000E1859" w:rsidRDefault="00944539">
      <w:pPr>
        <w:pStyle w:val="Heading1"/>
      </w:pPr>
      <w:bookmarkStart w:id="15" w:name="acknowledgements"/>
      <w:bookmarkEnd w:id="15"/>
      <w:r>
        <w:t>Acknowledgements</w:t>
      </w:r>
    </w:p>
    <w:p w14:paraId="5C773864" w14:textId="77777777" w:rsidR="000E1859" w:rsidRDefault="00944539">
      <w:pPr>
        <w:pStyle w:val="FirstParagraph"/>
      </w:pPr>
      <w:r>
        <w:t>We would like to thank Yevgeniy Vorobeychik for feedback on this project.</w:t>
      </w:r>
    </w:p>
    <w:p w14:paraId="64BB3642" w14:textId="77777777" w:rsidR="000E1859" w:rsidRDefault="00944539">
      <w:pPr>
        <w:pStyle w:val="Heading1"/>
      </w:pPr>
      <w:bookmarkStart w:id="16" w:name="references"/>
      <w:bookmarkEnd w:id="16"/>
      <w:r>
        <w:t>References</w:t>
      </w:r>
    </w:p>
    <w:p w14:paraId="7D1D6B53" w14:textId="77777777" w:rsidR="000E1859" w:rsidRDefault="00944539">
      <w:pPr>
        <w:pStyle w:val="Bibliography"/>
      </w:pPr>
      <w:r>
        <w:t>Aamodt, Agnar, and Enric Plaza. 1994. “Case-Based Reasoning: Foundational Issues, Methodological Variations, and S</w:t>
      </w:r>
      <w:r>
        <w:t xml:space="preserve">ystem Approaches.” </w:t>
      </w:r>
      <w:r>
        <w:rPr>
          <w:i/>
        </w:rPr>
        <w:t>AI Communications</w:t>
      </w:r>
      <w:r>
        <w:t xml:space="preserve"> 7 (1): 39–59. doi:</w:t>
      </w:r>
      <w:hyperlink r:id="rId12">
        <w:r>
          <w:rPr>
            <w:rStyle w:val="Hyperlink"/>
          </w:rPr>
          <w:t>10.3233/AIC-1994-7104</w:t>
        </w:r>
      </w:hyperlink>
      <w:r>
        <w:t>.</w:t>
      </w:r>
    </w:p>
    <w:p w14:paraId="6CAB37D3" w14:textId="77777777" w:rsidR="000E1859" w:rsidRDefault="00944539">
      <w:pPr>
        <w:pStyle w:val="Bibliography"/>
      </w:pPr>
      <w:r>
        <w:t xml:space="preserve">Archer, David. 2012. </w:t>
      </w:r>
      <w:r>
        <w:rPr>
          <w:i/>
        </w:rPr>
        <w:t>Global Warming: Understanding the Forecast</w:t>
      </w:r>
      <w:r>
        <w:t>. 2nd ed. Wiley.</w:t>
      </w:r>
    </w:p>
    <w:p w14:paraId="7F899069" w14:textId="77777777" w:rsidR="000E1859" w:rsidRDefault="00944539">
      <w:pPr>
        <w:pStyle w:val="Bibliography"/>
      </w:pPr>
      <w:r>
        <w:lastRenderedPageBreak/>
        <w:t xml:space="preserve">Beachkofski, Brian, and Ramana Grandhi. 2002. “Improved Distributed Hypercube Sampling.” In </w:t>
      </w:r>
      <w:r>
        <w:rPr>
          <w:i/>
        </w:rPr>
        <w:t>43rd AIAA/ASME/ASCE/AHS/ASC Structures, Structural Dynamics, and Materials Conference</w:t>
      </w:r>
      <w:r>
        <w:t xml:space="preserve">. American Institute of Aeronautics; Astronautics. </w:t>
      </w:r>
      <w:hyperlink r:id="rId13">
        <w:r>
          <w:rPr>
            <w:rStyle w:val="Hyperlink"/>
          </w:rPr>
          <w:t>http://arc.aiaa.org/doi/abs/10.2514/6.2002-1274</w:t>
        </w:r>
      </w:hyperlink>
      <w:r>
        <w:t>.</w:t>
      </w:r>
    </w:p>
    <w:p w14:paraId="5B760899" w14:textId="77777777" w:rsidR="000E1859" w:rsidRDefault="00944539">
      <w:pPr>
        <w:pStyle w:val="Bibliography"/>
      </w:pPr>
      <w:r>
        <w:t xml:space="preserve">Bloch, Daniel, James Annan, and Justin Bowles. 2010. “Cracking the Climate Change Conundrum with Derivatives.” </w:t>
      </w:r>
      <w:r>
        <w:rPr>
          <w:i/>
        </w:rPr>
        <w:t>Wilmott Journal</w:t>
      </w:r>
      <w:r>
        <w:t xml:space="preserve"> 2 (5): 271–87. doi:</w:t>
      </w:r>
      <w:hyperlink r:id="rId14">
        <w:r>
          <w:rPr>
            <w:rStyle w:val="Hyperlink"/>
          </w:rPr>
          <w:t>10.1002/wilj.41</w:t>
        </w:r>
      </w:hyperlink>
      <w:r>
        <w:t>.</w:t>
      </w:r>
    </w:p>
    <w:p w14:paraId="5A34CA8B" w14:textId="77777777" w:rsidR="000E1859" w:rsidRDefault="00944539">
      <w:pPr>
        <w:pStyle w:val="Bibliography"/>
      </w:pPr>
      <w:r>
        <w:t xml:space="preserve">Carnell, Rob. 2012. “Lhs Latin Hypercube Samples.” </w:t>
      </w:r>
      <w:hyperlink r:id="rId15">
        <w:r>
          <w:rPr>
            <w:rStyle w:val="Hyperlink"/>
          </w:rPr>
          <w:t>http://cran.r-project.org/web/packages/lhs/index.html</w:t>
        </w:r>
      </w:hyperlink>
      <w:r>
        <w:t>.</w:t>
      </w:r>
    </w:p>
    <w:p w14:paraId="364B2517" w14:textId="77777777" w:rsidR="000E1859" w:rsidRDefault="00944539">
      <w:pPr>
        <w:pStyle w:val="Bibliography"/>
      </w:pPr>
      <w:r>
        <w:t xml:space="preserve">Dreber, Anna, Thomas Pfeiffer, </w:t>
      </w:r>
      <w:r>
        <w:t xml:space="preserve">Johan Almenberg, Siri Isaksson, Brad Wilson, Yiling Chen, Brian A. Nosek, and Magnus Johannesson. 2015. “Using Prediction Markets to Estimate the Reproducibility of Scientific Research.” </w:t>
      </w:r>
      <w:r>
        <w:rPr>
          <w:i/>
        </w:rPr>
        <w:t>Proceedings of the National Academy of Sciences</w:t>
      </w:r>
      <w:r>
        <w:t xml:space="preserve"> 112: 15343–7. doi:</w:t>
      </w:r>
      <w:hyperlink r:id="rId16">
        <w:r>
          <w:rPr>
            <w:rStyle w:val="Hyperlink"/>
          </w:rPr>
          <w:t>10.1073/pnas.1516179112</w:t>
        </w:r>
      </w:hyperlink>
      <w:r>
        <w:t>.</w:t>
      </w:r>
    </w:p>
    <w:p w14:paraId="7BDAC116" w14:textId="77777777" w:rsidR="000E1859" w:rsidRDefault="00944539">
      <w:pPr>
        <w:pStyle w:val="Bibliography"/>
      </w:pPr>
      <w:r>
        <w:t>GISTEMP Team. 2016. “GISS Surface Temperature Analysis (GISTEMP).” NASA Goddard Institute for Space Studies.</w:t>
      </w:r>
    </w:p>
    <w:p w14:paraId="122E721D" w14:textId="77777777" w:rsidR="000E1859" w:rsidRDefault="00944539">
      <w:pPr>
        <w:pStyle w:val="Bibliography"/>
      </w:pPr>
      <w:r>
        <w:t>Gode, Dhananjay K., and Shyam Sunder. 1993. “Allocative Efficiency</w:t>
      </w:r>
      <w:r>
        <w:t xml:space="preserve"> of Markets with Zero-Intelligence Traders: Market as a Partial Substitute for Individual Rationality.” </w:t>
      </w:r>
      <w:r>
        <w:rPr>
          <w:i/>
        </w:rPr>
        <w:t>Journal of Political Economy</w:t>
      </w:r>
      <w:r>
        <w:t xml:space="preserve"> 101 (1): 119–37. </w:t>
      </w:r>
      <w:hyperlink r:id="rId17">
        <w:r>
          <w:rPr>
            <w:rStyle w:val="Hyperlink"/>
          </w:rPr>
          <w:t>http://www.jstor.org/stable/2138676</w:t>
        </w:r>
      </w:hyperlink>
      <w:r>
        <w:t>.</w:t>
      </w:r>
    </w:p>
    <w:p w14:paraId="1ADC8599" w14:textId="77777777" w:rsidR="000E1859" w:rsidRDefault="00944539">
      <w:pPr>
        <w:pStyle w:val="Bibliography"/>
      </w:pPr>
      <w:r>
        <w:t xml:space="preserve">Goel, Sharad, </w:t>
      </w:r>
      <w:r>
        <w:t xml:space="preserve">Daniel M. Reeves, Duncan J. Watts, and David M. Pennock. 2010. “Prediction Without Markets.” In </w:t>
      </w:r>
      <w:r>
        <w:rPr>
          <w:i/>
        </w:rPr>
        <w:t>Proceedings of the 11th ACM Conference on Electronic Commerce</w:t>
      </w:r>
      <w:r>
        <w:t>, 357–66. EC ’10. New York, NY, USA: ACM. doi:</w:t>
      </w:r>
      <w:hyperlink r:id="rId18">
        <w:r>
          <w:rPr>
            <w:rStyle w:val="Hyperlink"/>
          </w:rPr>
          <w:t>10.1145/1807342.1807400</w:t>
        </w:r>
      </w:hyperlink>
      <w:r>
        <w:t>.</w:t>
      </w:r>
    </w:p>
    <w:p w14:paraId="18FE07DD" w14:textId="77777777" w:rsidR="000E1859" w:rsidRDefault="00944539">
      <w:pPr>
        <w:pStyle w:val="Bibliography"/>
      </w:pPr>
      <w:r>
        <w:t xml:space="preserve">Hansen, J., R. Ruedy, M. Sato, and K. Lo. 2010. “Global Surface Temperature Change.” </w:t>
      </w:r>
      <w:r>
        <w:rPr>
          <w:i/>
        </w:rPr>
        <w:t>Rev. Geophys.</w:t>
      </w:r>
      <w:r>
        <w:t xml:space="preserve"> 48: RG4004. doi:</w:t>
      </w:r>
      <w:hyperlink r:id="rId19">
        <w:r>
          <w:rPr>
            <w:rStyle w:val="Hyperlink"/>
          </w:rPr>
          <w:t>10.1029/2010RG000345</w:t>
        </w:r>
      </w:hyperlink>
      <w:r>
        <w:t>.</w:t>
      </w:r>
    </w:p>
    <w:p w14:paraId="6480757C" w14:textId="77777777" w:rsidR="000E1859" w:rsidRDefault="00944539">
      <w:pPr>
        <w:pStyle w:val="Bibliography"/>
      </w:pPr>
      <w:r>
        <w:t>Hanson, Robin. 2012. “Logarithmi</w:t>
      </w:r>
      <w:r>
        <w:t xml:space="preserve">c Market Scoring Rules for Modular Combinatorial Information Aggregation.” </w:t>
      </w:r>
      <w:r>
        <w:rPr>
          <w:i/>
        </w:rPr>
        <w:t>The Journal of Prediction Markets</w:t>
      </w:r>
      <w:r>
        <w:t xml:space="preserve">, 3–15. </w:t>
      </w:r>
      <w:hyperlink r:id="rId20">
        <w:r>
          <w:rPr>
            <w:rStyle w:val="Hyperlink"/>
          </w:rPr>
          <w:t>http://www.ubplj.org/index.php/jpm/article/view/417</w:t>
        </w:r>
      </w:hyperlink>
      <w:r>
        <w:t>.</w:t>
      </w:r>
    </w:p>
    <w:p w14:paraId="2F280BD6" w14:textId="77777777" w:rsidR="000E1859" w:rsidRDefault="00944539">
      <w:pPr>
        <w:pStyle w:val="Bibliography"/>
      </w:pPr>
      <w:r>
        <w:t>Hanson, Robin, R</w:t>
      </w:r>
      <w:r>
        <w:t xml:space="preserve">yan Oprea, and David Porter. 2006. “Information Aggregation and Manipulation in an Experimental Market.” </w:t>
      </w:r>
      <w:r>
        <w:rPr>
          <w:i/>
        </w:rPr>
        <w:t>Journal of Economic Behavior &amp; Organization</w:t>
      </w:r>
      <w:r>
        <w:t xml:space="preserve"> 60 (4): 449–59. doi:</w:t>
      </w:r>
      <w:hyperlink r:id="rId21">
        <w:r>
          <w:rPr>
            <w:rStyle w:val="Hyperlink"/>
          </w:rPr>
          <w:t>10.1016/j.jebo.2004.09.01</w:t>
        </w:r>
        <w:r>
          <w:rPr>
            <w:rStyle w:val="Hyperlink"/>
          </w:rPr>
          <w:t>1</w:t>
        </w:r>
      </w:hyperlink>
      <w:r>
        <w:t>.</w:t>
      </w:r>
    </w:p>
    <w:p w14:paraId="2E5AD8E6" w14:textId="77777777" w:rsidR="000E1859" w:rsidRDefault="00944539">
      <w:pPr>
        <w:pStyle w:val="Bibliography"/>
      </w:pPr>
      <w:r>
        <w:t xml:space="preserve">Healy, Paul J., Sera Linardi, J. Richard Lowery, and John O. Ledyard. 2010. “Prediction Markets: Alternative Mechanisms for Complex Environments with Few Traders.” </w:t>
      </w:r>
      <w:r>
        <w:rPr>
          <w:i/>
        </w:rPr>
        <w:t>Management Science</w:t>
      </w:r>
      <w:r>
        <w:t xml:space="preserve"> 56 (11): 1977–96. doi:</w:t>
      </w:r>
      <w:hyperlink r:id="rId22">
        <w:r>
          <w:rPr>
            <w:rStyle w:val="Hyperlink"/>
          </w:rPr>
          <w:t>10.1287/mnsc.1100.1226</w:t>
        </w:r>
      </w:hyperlink>
      <w:r>
        <w:t>.</w:t>
      </w:r>
    </w:p>
    <w:p w14:paraId="6E3FC652" w14:textId="77777777" w:rsidR="000E1859" w:rsidRDefault="00944539">
      <w:pPr>
        <w:pStyle w:val="Bibliography"/>
      </w:pPr>
      <w:r>
        <w:t xml:space="preserve">Horn, Christian Franz, Bjoern Sven Ivens, Michael Ohneberg, and Alexander Brem. 2014. “Prediction Markets a Literature Review 2014.” </w:t>
      </w:r>
      <w:r>
        <w:rPr>
          <w:i/>
        </w:rPr>
        <w:t>The Journal of Prediction Markets</w:t>
      </w:r>
      <w:r>
        <w:t xml:space="preserve"> 8 (2): 89–126. </w:t>
      </w:r>
      <w:hyperlink r:id="rId23">
        <w:r>
          <w:rPr>
            <w:rStyle w:val="Hyperlink"/>
          </w:rPr>
          <w:t>http://ubplj.org/index.php/jpm/article/view/889</w:t>
        </w:r>
      </w:hyperlink>
      <w:r>
        <w:t>.</w:t>
      </w:r>
    </w:p>
    <w:p w14:paraId="1FA81EAB" w14:textId="77777777" w:rsidR="000E1859" w:rsidRDefault="00944539">
      <w:pPr>
        <w:pStyle w:val="Bibliography"/>
      </w:pPr>
      <w:r>
        <w:t xml:space="preserve">Hsu, Shi-Ling. 2011. “Prediction Market for Climate Outcomes, a.” </w:t>
      </w:r>
      <w:r>
        <w:rPr>
          <w:i/>
        </w:rPr>
        <w:t>University of Colorado Law Review</w:t>
      </w:r>
      <w:r>
        <w:t xml:space="preserve"> 83: 179. </w:t>
      </w:r>
      <w:hyperlink r:id="rId24">
        <w:r>
          <w:rPr>
            <w:rStyle w:val="Hyperlink"/>
          </w:rPr>
          <w:t>http://heinonline.org/HOL/Page?handle=hein.journals/ucollr83\&amp;id=181\&amp;div=\&amp;collection=journals</w:t>
        </w:r>
      </w:hyperlink>
      <w:r>
        <w:t>.</w:t>
      </w:r>
    </w:p>
    <w:p w14:paraId="0FAD48BC" w14:textId="77777777" w:rsidR="000E1859" w:rsidRDefault="00944539">
      <w:pPr>
        <w:pStyle w:val="Bibliography"/>
      </w:pPr>
      <w:r>
        <w:t xml:space="preserve">IPCC. 2013. </w:t>
      </w:r>
      <w:r>
        <w:rPr>
          <w:i/>
        </w:rPr>
        <w:t>Climate Change 2013: The Physical Science Basis</w:t>
      </w:r>
      <w:r>
        <w:t>. Edited by T.F</w:t>
      </w:r>
      <w:r>
        <w:t>. Stocker, D. Qin, G.-K. Plattner, M. Tignor, S.K. Allen, J. Boschung, A. Nauels, Y. Xia, Bex V., and P.M. Midgley. Cambridge University Press.</w:t>
      </w:r>
    </w:p>
    <w:p w14:paraId="05CC1A22" w14:textId="77777777" w:rsidR="000E1859" w:rsidRDefault="00944539">
      <w:pPr>
        <w:pStyle w:val="Bibliography"/>
      </w:pPr>
      <w:r>
        <w:t xml:space="preserve">Jumadinova, Janyl, and Prithviraj Dasgupta. 2011. “A Multi-Agent System for Analyzing the Effect of Information on Prediction Markets.” </w:t>
      </w:r>
      <w:r>
        <w:rPr>
          <w:i/>
        </w:rPr>
        <w:t>International Journal of Intelligent Systems</w:t>
      </w:r>
      <w:r>
        <w:t xml:space="preserve"> 26 (5): 383–409. doi:</w:t>
      </w:r>
      <w:hyperlink r:id="rId25">
        <w:r>
          <w:rPr>
            <w:rStyle w:val="Hyperlink"/>
          </w:rPr>
          <w:t>1</w:t>
        </w:r>
        <w:r>
          <w:rPr>
            <w:rStyle w:val="Hyperlink"/>
          </w:rPr>
          <w:t>0.1002/int.20471</w:t>
        </w:r>
      </w:hyperlink>
      <w:r>
        <w:t>.</w:t>
      </w:r>
    </w:p>
    <w:p w14:paraId="021348EC" w14:textId="77777777" w:rsidR="000E1859" w:rsidRDefault="00944539">
      <w:pPr>
        <w:pStyle w:val="Bibliography"/>
      </w:pPr>
      <w:r>
        <w:t xml:space="preserve">Klingert, Frank MA, and Matthias Meyer. 2012. “Comparing Prediction Market Mechanisms Using an Experiment-Based Multi-Agent Simulation.” In </w:t>
      </w:r>
      <w:r>
        <w:rPr>
          <w:i/>
        </w:rPr>
        <w:t>ECMS</w:t>
      </w:r>
      <w:r>
        <w:t xml:space="preserve">, 654–61. </w:t>
      </w:r>
      <w:hyperlink r:id="rId26">
        <w:r>
          <w:rPr>
            <w:rStyle w:val="Hyperlink"/>
          </w:rPr>
          <w:t>http://www.scs-europe.net/conf/ecms2012/ecms2012\%20accepted\%20papers/sdcb_ECMS_0063.pdf</w:t>
        </w:r>
      </w:hyperlink>
      <w:r>
        <w:t>.</w:t>
      </w:r>
    </w:p>
    <w:p w14:paraId="38E12C8C" w14:textId="77777777" w:rsidR="000E1859" w:rsidRDefault="00944539">
      <w:pPr>
        <w:pStyle w:val="Bibliography"/>
      </w:pPr>
      <w:r>
        <w:t xml:space="preserve">Kolp, Peter, and Keywan Riahi. 2009. “RCP Database.” </w:t>
      </w:r>
      <w:hyperlink r:id="rId27">
        <w:r>
          <w:rPr>
            <w:rStyle w:val="Hyperlink"/>
          </w:rPr>
          <w:t>http://www.iiasa.ac.at/w</w:t>
        </w:r>
        <w:r>
          <w:rPr>
            <w:rStyle w:val="Hyperlink"/>
          </w:rPr>
          <w:t>eb-apps/tnt/RcpDb</w:t>
        </w:r>
      </w:hyperlink>
      <w:r>
        <w:t>.</w:t>
      </w:r>
    </w:p>
    <w:p w14:paraId="3176D426" w14:textId="77777777" w:rsidR="000E1859" w:rsidRDefault="00944539">
      <w:pPr>
        <w:pStyle w:val="Bibliography"/>
      </w:pPr>
      <w:r>
        <w:t xml:space="preserve">Marino, Simeone, Ian B. Hogue, Christian J. Ray, and Denise E. Kirschner. 2008. “A Methodology for Performing Global Uncertainty and Sensitivity Analysis in Systems Biology.” </w:t>
      </w:r>
      <w:r>
        <w:rPr>
          <w:i/>
        </w:rPr>
        <w:t>Journal of Theoretical Biology</w:t>
      </w:r>
      <w:r>
        <w:t xml:space="preserve"> 254 (1): 178–96. doi:</w:t>
      </w:r>
      <w:hyperlink r:id="rId28">
        <w:r>
          <w:rPr>
            <w:rStyle w:val="Hyperlink"/>
          </w:rPr>
          <w:t>10.1016/j.jtbi.2008.04.011</w:t>
        </w:r>
      </w:hyperlink>
      <w:r>
        <w:t>.</w:t>
      </w:r>
    </w:p>
    <w:p w14:paraId="36B585C1" w14:textId="77777777" w:rsidR="000E1859" w:rsidRDefault="00944539">
      <w:pPr>
        <w:pStyle w:val="Bibliography"/>
      </w:pPr>
      <w:r>
        <w:t xml:space="preserve">Ontañón, Santi, and Enric Plaza. 2009. “Argumentation-Based Information Exchange in Prediction Markets.” In </w:t>
      </w:r>
      <w:r>
        <w:rPr>
          <w:i/>
        </w:rPr>
        <w:t>Argumentation in Multi-Agent Systems</w:t>
      </w:r>
      <w:r>
        <w:t>, edited by Iyad Rahwan and Pavl</w:t>
      </w:r>
      <w:r>
        <w:t xml:space="preserve">os Moraitis, 181–96. </w:t>
      </w:r>
      <w:r>
        <w:lastRenderedPageBreak/>
        <w:t xml:space="preserve">Lecture Notes in Computer Science 5384. Springer Berlin Heidelberg. </w:t>
      </w:r>
      <w:hyperlink r:id="rId29">
        <w:r>
          <w:rPr>
            <w:rStyle w:val="Hyperlink"/>
          </w:rPr>
          <w:t>http://link.springer.com/chapter/10.1007/978-3-642-00207-6_11</w:t>
        </w:r>
      </w:hyperlink>
      <w:r>
        <w:t>.</w:t>
      </w:r>
    </w:p>
    <w:p w14:paraId="6CD90FAF" w14:textId="77777777" w:rsidR="000E1859" w:rsidRDefault="00944539">
      <w:pPr>
        <w:pStyle w:val="Bibliography"/>
      </w:pPr>
      <w:r>
        <w:t>Pathak, Deepak, David R</w:t>
      </w:r>
      <w:r>
        <w:t xml:space="preserve">othschild, and Miroslav Dudik. 2015. “A Comparison of Forecasting Methods: Fundamentals, Polling, Prediction Markets, and Experts.” </w:t>
      </w:r>
      <w:r>
        <w:rPr>
          <w:i/>
        </w:rPr>
        <w:t>The Journal of Prediction Markets</w:t>
      </w:r>
      <w:r>
        <w:t xml:space="preserve"> 9 (2): 1–31. doi:</w:t>
      </w:r>
      <w:hyperlink r:id="rId30">
        <w:r>
          <w:rPr>
            <w:rStyle w:val="Hyperlink"/>
          </w:rPr>
          <w:t>10.5750/jpm.v9i2</w:t>
        </w:r>
        <w:r>
          <w:rPr>
            <w:rStyle w:val="Hyperlink"/>
          </w:rPr>
          <w:t>.1048</w:t>
        </w:r>
      </w:hyperlink>
      <w:r>
        <w:t>.</w:t>
      </w:r>
    </w:p>
    <w:p w14:paraId="5E3B8CDB" w14:textId="77777777" w:rsidR="000E1859" w:rsidRDefault="00944539">
      <w:pPr>
        <w:pStyle w:val="Bibliography"/>
      </w:pPr>
      <w:r>
        <w:t xml:space="preserve">Pujol, Gilles, Bertrand Iooss, Alexandre Janon with contributions from Paul Lemaitre, Laurent Gilquin, Loic Le Gratiet, Taieb Touati, Bernardo Ramos, and Jana Fruth and Sebastien Da Veiga. 2014. “Sensitivity: Sensitivity Analysis.” </w:t>
      </w:r>
      <w:hyperlink r:id="rId31">
        <w:r>
          <w:rPr>
            <w:rStyle w:val="Hyperlink"/>
          </w:rPr>
          <w:t>http://cran.r-project.org/web/packages/sensitivity/index.html</w:t>
        </w:r>
      </w:hyperlink>
      <w:r>
        <w:t>.</w:t>
      </w:r>
    </w:p>
    <w:p w14:paraId="2D979722" w14:textId="77777777" w:rsidR="000E1859" w:rsidRDefault="00944539">
      <w:pPr>
        <w:pStyle w:val="Bibliography"/>
      </w:pPr>
      <w:r>
        <w:t>Riahi, Keywan, Shilpa Rao, Volker Krey, Cheolhung Cho, Vadim Chirkov, Guenther Fischer, Georg Kindermann, Nebojsa Nakicenovic, an</w:t>
      </w:r>
      <w:r>
        <w:t xml:space="preserve">d Peter Rafaj. 2011. “RCP 8.5—A Scenario of Comparatively High Greenhouse Gas Emissions.” </w:t>
      </w:r>
      <w:r>
        <w:rPr>
          <w:i/>
        </w:rPr>
        <w:t>Climatic Change</w:t>
      </w:r>
      <w:r>
        <w:t xml:space="preserve"> 109 (1): 33–57. doi:</w:t>
      </w:r>
      <w:hyperlink r:id="rId32">
        <w:r>
          <w:rPr>
            <w:rStyle w:val="Hyperlink"/>
          </w:rPr>
          <w:t>10.1007/s10584-011-0149-y</w:t>
        </w:r>
      </w:hyperlink>
      <w:r>
        <w:t>.</w:t>
      </w:r>
    </w:p>
    <w:p w14:paraId="2B8DCA92" w14:textId="77777777" w:rsidR="000E1859" w:rsidRDefault="00944539">
      <w:pPr>
        <w:pStyle w:val="Bibliography"/>
      </w:pPr>
      <w:r>
        <w:t>Saltelli, A., K. Chan, and E. M. Scott. 20</w:t>
      </w:r>
      <w:r>
        <w:t xml:space="preserve">09. </w:t>
      </w:r>
      <w:r>
        <w:rPr>
          <w:i/>
        </w:rPr>
        <w:t>Sensitivity Analysis</w:t>
      </w:r>
      <w:r>
        <w:t>. 1 edition. Chichester: Wiley.</w:t>
      </w:r>
    </w:p>
    <w:p w14:paraId="79A106FF" w14:textId="77777777" w:rsidR="000E1859" w:rsidRDefault="00944539">
      <w:pPr>
        <w:pStyle w:val="Bibliography"/>
      </w:pPr>
      <w:r>
        <w:t xml:space="preserve">Set, Reinhard, and Reinhard Selten. 1998. “Axiomatic Characterization of the Quadratic Scoring Rule.” </w:t>
      </w:r>
      <w:r>
        <w:rPr>
          <w:i/>
        </w:rPr>
        <w:t>Experimental Economics</w:t>
      </w:r>
      <w:r>
        <w:t xml:space="preserve"> 1 (1): 43–62. doi:</w:t>
      </w:r>
      <w:hyperlink r:id="rId33">
        <w:r>
          <w:rPr>
            <w:rStyle w:val="Hyperlink"/>
          </w:rPr>
          <w:t>10.1007/BF01426214</w:t>
        </w:r>
      </w:hyperlink>
      <w:r>
        <w:t>.</w:t>
      </w:r>
    </w:p>
    <w:p w14:paraId="31965B2D" w14:textId="77777777" w:rsidR="000E1859" w:rsidRDefault="00944539">
      <w:pPr>
        <w:pStyle w:val="Bibliography"/>
      </w:pPr>
      <w:r>
        <w:t xml:space="preserve">Soon, Willie W.-H. 2005. “Variable Solar Irradiance as a Plausible Agent for Multidecadal Variations in the Arctic-Wide Surface Air Temperature Record of the Past 130 Years.” </w:t>
      </w:r>
      <w:r>
        <w:rPr>
          <w:i/>
        </w:rPr>
        <w:t>Geophysical Research Letters</w:t>
      </w:r>
      <w:r>
        <w:t xml:space="preserve"> 32 (16): L16712. doi:</w:t>
      </w:r>
      <w:hyperlink r:id="rId34">
        <w:r>
          <w:rPr>
            <w:rStyle w:val="Hyperlink"/>
          </w:rPr>
          <w:t>10.1029/2005GL023429</w:t>
        </w:r>
      </w:hyperlink>
      <w:r>
        <w:t>.</w:t>
      </w:r>
    </w:p>
    <w:p w14:paraId="70348E9C" w14:textId="77777777" w:rsidR="000E1859" w:rsidRDefault="00944539">
      <w:pPr>
        <w:pStyle w:val="Bibliography"/>
      </w:pPr>
      <w:r>
        <w:t xml:space="preserve">Tseng, Jie-Jun, Chih-Hao Lin, Chih-Ting Lin, Sun-Chong Wang, and Sai-Ping Li. 2010. “Statistical Properties of Agent-Based Models in Markets with Continuous Double Auction Mechanism.” </w:t>
      </w:r>
      <w:r>
        <w:rPr>
          <w:i/>
        </w:rPr>
        <w:t>Physi</w:t>
      </w:r>
      <w:r>
        <w:rPr>
          <w:i/>
        </w:rPr>
        <w:t>ca A: Statistical Mechanics and Its Applications</w:t>
      </w:r>
      <w:r>
        <w:t xml:space="preserve"> 389 (8): 1699–1707. doi:</w:t>
      </w:r>
      <w:hyperlink r:id="rId35">
        <w:r>
          <w:rPr>
            <w:rStyle w:val="Hyperlink"/>
          </w:rPr>
          <w:t>10.1016/j.physa.2009.12.034</w:t>
        </w:r>
      </w:hyperlink>
      <w:r>
        <w:t>.</w:t>
      </w:r>
    </w:p>
    <w:p w14:paraId="2B4FD888" w14:textId="77777777" w:rsidR="000E1859" w:rsidRDefault="00944539">
      <w:pPr>
        <w:pStyle w:val="Bibliography"/>
      </w:pPr>
      <w:r>
        <w:t>Vandenbergh, Michael P., Kaitlin E. Toner, and Jonathan M. Gilligan. 2013. “Energy and Clim</w:t>
      </w:r>
      <w:r>
        <w:t xml:space="preserve">ate Change: A Climate Prediction Market.” SSRN Scholarly Paper ID 2372321. Rochester, NY: Social Science Research Network. </w:t>
      </w:r>
      <w:hyperlink r:id="rId36">
        <w:r>
          <w:rPr>
            <w:rStyle w:val="Hyperlink"/>
          </w:rPr>
          <w:t>http://papers.ssrn.com/abstract=2372321</w:t>
        </w:r>
      </w:hyperlink>
      <w:r>
        <w:t>.</w:t>
      </w:r>
    </w:p>
    <w:p w14:paraId="31329593" w14:textId="77777777" w:rsidR="000E1859" w:rsidRDefault="00944539">
      <w:pPr>
        <w:pStyle w:val="Bibliography"/>
      </w:pPr>
      <w:r>
        <w:t xml:space="preserve">Vehtari, Aki, Andrew Gelman, and </w:t>
      </w:r>
      <w:r>
        <w:t xml:space="preserve">Jonah Gabry. 2015. “Practical Bayesian Model Evaluation Using Leave-One-Out Cross-Validation and WAIC.” </w:t>
      </w:r>
      <w:hyperlink r:id="rId37">
        <w:r>
          <w:rPr>
            <w:rStyle w:val="Hyperlink"/>
          </w:rPr>
          <w:t>http://arxiv.org/abs/1507.04544</w:t>
        </w:r>
      </w:hyperlink>
      <w:r>
        <w:t>.</w:t>
      </w:r>
    </w:p>
    <w:p w14:paraId="7CA0FCC5" w14:textId="77777777" w:rsidR="000E1859" w:rsidRDefault="00944539">
      <w:pPr>
        <w:pStyle w:val="Bibliography"/>
      </w:pPr>
      <w:r>
        <w:t>Velasco Herrera, V. M., B. Mendoza, and G. Velasco Herrera. 2015. “R</w:t>
      </w:r>
      <w:r>
        <w:t xml:space="preserve">econstruction and Prediction of the Total Solar Irradiance: From the Medieval Warm Period to the 21st Century.” </w:t>
      </w:r>
      <w:r>
        <w:rPr>
          <w:i/>
        </w:rPr>
        <w:t>New Astronomy</w:t>
      </w:r>
      <w:r>
        <w:t xml:space="preserve"> 34: 221–33. doi:</w:t>
      </w:r>
      <w:hyperlink r:id="rId38">
        <w:r>
          <w:rPr>
            <w:rStyle w:val="Hyperlink"/>
          </w:rPr>
          <w:t>10.1016/j.newast.2014.07.009</w:t>
        </w:r>
      </w:hyperlink>
      <w:r>
        <w:t>.</w:t>
      </w:r>
    </w:p>
    <w:p w14:paraId="470DFFA3" w14:textId="77777777" w:rsidR="000E1859" w:rsidRDefault="00944539">
      <w:pPr>
        <w:pStyle w:val="Bibliography"/>
      </w:pPr>
      <w:r>
        <w:t>Wolfers, Justin, and</w:t>
      </w:r>
      <w:r>
        <w:t xml:space="preserve"> Eric Zitzewitz. 2006. “Prediction Markets in Theory and Practice.” </w:t>
      </w:r>
      <w:hyperlink r:id="rId39">
        <w:r>
          <w:rPr>
            <w:rStyle w:val="Hyperlink"/>
          </w:rPr>
          <w:t>http://www.nber.org/papers/w12083</w:t>
        </w:r>
      </w:hyperlink>
      <w:r>
        <w:t>.</w:t>
      </w:r>
    </w:p>
    <w:sectPr w:rsidR="000E18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633D4" w14:textId="77777777" w:rsidR="00944539" w:rsidRDefault="00944539">
      <w:r>
        <w:separator/>
      </w:r>
    </w:p>
  </w:endnote>
  <w:endnote w:type="continuationSeparator" w:id="0">
    <w:p w14:paraId="49DB3C94" w14:textId="77777777" w:rsidR="00944539" w:rsidRDefault="0094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EF9AD" w14:textId="77777777" w:rsidR="00944539" w:rsidRDefault="00944539">
      <w:r>
        <w:separator/>
      </w:r>
    </w:p>
  </w:footnote>
  <w:footnote w:type="continuationSeparator" w:id="0">
    <w:p w14:paraId="111B17D2" w14:textId="77777777" w:rsidR="00944539" w:rsidRDefault="009445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9DE92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F052DE"/>
    <w:multiLevelType w:val="multilevel"/>
    <w:tmpl w:val="A75C2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3">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4">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5">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6">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7">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8">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9">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1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1">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2">
    <w:nsid w:val="2738FAB7"/>
    <w:multiLevelType w:val="multilevel"/>
    <w:tmpl w:val="C8E484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9E144FC"/>
    <w:multiLevelType w:val="multilevel"/>
    <w:tmpl w:val="E9F8662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4">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5">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6">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7">
    <w:nsid w:val="6F3B524A"/>
    <w:multiLevelType w:val="multilevel"/>
    <w:tmpl w:val="D8A02B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2"/>
  </w:num>
  <w:num w:numId="7">
    <w:abstractNumId w:val="12"/>
  </w:num>
  <w:num w:numId="8">
    <w:abstractNumId w:val="12"/>
  </w:num>
  <w:num w:numId="9">
    <w:abstractNumId w:val="12"/>
  </w:num>
  <w:num w:numId="10">
    <w:abstractNumId w:val="12"/>
  </w:num>
  <w:num w:numId="11">
    <w:abstractNumId w:val="15"/>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1"/>
  </w:num>
  <w:num w:numId="22">
    <w:abstractNumId w:val="11"/>
  </w:num>
  <w:num w:numId="23">
    <w:abstractNumId w:val="9"/>
  </w:num>
  <w:num w:numId="24">
    <w:abstractNumId w:val="9"/>
  </w:num>
  <w:num w:numId="25">
    <w:abstractNumId w:val="8"/>
  </w:num>
  <w:num w:numId="26">
    <w:abstractNumId w:val="8"/>
  </w:num>
  <w:num w:numId="27">
    <w:abstractNumId w:val="7"/>
  </w:num>
  <w:num w:numId="28">
    <w:abstractNumId w:val="7"/>
  </w:num>
  <w:num w:numId="29">
    <w:abstractNumId w:val="6"/>
  </w:num>
  <w:num w:numId="30">
    <w:abstractNumId w:val="6"/>
  </w:num>
  <w:num w:numId="31">
    <w:abstractNumId w:val="16"/>
  </w:num>
  <w:num w:numId="32">
    <w:abstractNumId w:val="14"/>
  </w:num>
  <w:num w:numId="33">
    <w:abstractNumId w:val="10"/>
  </w:num>
  <w:num w:numId="34">
    <w:abstractNumId w:val="10"/>
  </w:num>
  <w:num w:numId="35">
    <w:abstractNumId w:val="5"/>
  </w:num>
  <w:num w:numId="36">
    <w:abstractNumId w:val="5"/>
  </w:num>
  <w:num w:numId="37">
    <w:abstractNumId w:val="4"/>
  </w:num>
  <w:num w:numId="38">
    <w:abstractNumId w:val="4"/>
  </w:num>
  <w:num w:numId="39">
    <w:abstractNumId w:val="3"/>
  </w:num>
  <w:num w:numId="40">
    <w:abstractNumId w:val="3"/>
  </w:num>
  <w:num w:numId="41">
    <w:abstractNumId w:val="2"/>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1859"/>
    <w:rsid w:val="001C118C"/>
    <w:rsid w:val="004E29B3"/>
    <w:rsid w:val="00590D07"/>
    <w:rsid w:val="006F29A8"/>
    <w:rsid w:val="00784D58"/>
    <w:rsid w:val="008D6863"/>
    <w:rsid w:val="009445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A7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Default Paragraph Font" w:uiPriority="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72"/>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Indent"/>
    <w:qFormat/>
    <w:rsid w:val="006F29A8"/>
    <w:pPr>
      <w:tabs>
        <w:tab w:val="left" w:pos="360"/>
        <w:tab w:val="left" w:pos="720"/>
        <w:tab w:val="left" w:pos="1080"/>
      </w:tabs>
      <w:spacing w:after="0"/>
      <w:jc w:val="both"/>
    </w:pPr>
    <w:rPr>
      <w:rFonts w:ascii="Times New Roman" w:eastAsiaTheme="minorEastAsia" w:hAnsi="Times New Roman" w:cs="Times New Roman"/>
      <w:snapToGrid w:val="0"/>
      <w:sz w:val="22"/>
      <w:szCs w:val="20"/>
    </w:rPr>
  </w:style>
  <w:style w:type="paragraph" w:styleId="Heading1">
    <w:name w:val="heading 1"/>
    <w:basedOn w:val="Normal"/>
    <w:next w:val="Normal"/>
    <w:qFormat/>
    <w:rsid w:val="006F29A8"/>
    <w:pPr>
      <w:keepNext/>
      <w:numPr>
        <w:numId w:val="20"/>
      </w:numPr>
      <w:suppressAutoHyphens/>
      <w:spacing w:before="240" w:after="120"/>
      <w:outlineLvl w:val="0"/>
    </w:pPr>
    <w:rPr>
      <w:b/>
      <w:caps/>
    </w:rPr>
  </w:style>
  <w:style w:type="paragraph" w:styleId="Heading2">
    <w:name w:val="heading 2"/>
    <w:basedOn w:val="Normal"/>
    <w:next w:val="Normal"/>
    <w:qFormat/>
    <w:rsid w:val="006F29A8"/>
    <w:pPr>
      <w:keepNext/>
      <w:numPr>
        <w:ilvl w:val="1"/>
        <w:numId w:val="20"/>
      </w:numPr>
      <w:suppressAutoHyphens/>
      <w:spacing w:before="240" w:after="120"/>
      <w:outlineLvl w:val="1"/>
    </w:pPr>
    <w:rPr>
      <w:b/>
    </w:rPr>
  </w:style>
  <w:style w:type="paragraph" w:styleId="Heading3">
    <w:name w:val="heading 3"/>
    <w:basedOn w:val="Normal"/>
    <w:next w:val="Normal"/>
    <w:qFormat/>
    <w:rsid w:val="006F29A8"/>
    <w:pPr>
      <w:keepNext/>
      <w:numPr>
        <w:ilvl w:val="2"/>
        <w:numId w:val="20"/>
      </w:numPr>
      <w:suppressAutoHyphens/>
      <w:spacing w:before="240" w:after="240"/>
      <w:outlineLvl w:val="2"/>
    </w:pPr>
    <w:rPr>
      <w:b/>
    </w:rPr>
  </w:style>
  <w:style w:type="paragraph" w:styleId="Heading4">
    <w:name w:val="heading 4"/>
    <w:basedOn w:val="Normal"/>
    <w:next w:val="Normal"/>
    <w:qFormat/>
    <w:rsid w:val="006F29A8"/>
    <w:pPr>
      <w:keepNext/>
      <w:numPr>
        <w:ilvl w:val="3"/>
        <w:numId w:val="20"/>
      </w:numPr>
      <w:suppressAutoHyphens/>
      <w:spacing w:before="240" w:after="240"/>
      <w:outlineLvl w:val="3"/>
    </w:pPr>
    <w:rPr>
      <w:b/>
    </w:rPr>
  </w:style>
  <w:style w:type="paragraph" w:styleId="Heading5">
    <w:name w:val="heading 5"/>
    <w:basedOn w:val="Normal"/>
    <w:next w:val="Normal"/>
    <w:qFormat/>
    <w:rsid w:val="006F29A8"/>
    <w:pPr>
      <w:keepNext/>
      <w:numPr>
        <w:ilvl w:val="4"/>
        <w:numId w:val="20"/>
      </w:numPr>
      <w:tabs>
        <w:tab w:val="left" w:pos="864"/>
      </w:tabs>
      <w:suppressAutoHyphens/>
      <w:spacing w:before="240" w:after="240"/>
      <w:outlineLvl w:val="4"/>
    </w:pPr>
    <w:rPr>
      <w:b/>
    </w:rPr>
  </w:style>
  <w:style w:type="paragraph" w:styleId="Heading6">
    <w:name w:val="heading 6"/>
    <w:basedOn w:val="Normal"/>
    <w:next w:val="Normal"/>
    <w:qFormat/>
    <w:rsid w:val="006F29A8"/>
    <w:pPr>
      <w:keepNext/>
      <w:numPr>
        <w:ilvl w:val="5"/>
        <w:numId w:val="20"/>
      </w:numPr>
      <w:tabs>
        <w:tab w:val="left" w:pos="1008"/>
      </w:tabs>
      <w:suppressAutoHyphens/>
      <w:spacing w:before="240" w:after="240"/>
      <w:outlineLvl w:val="5"/>
    </w:pPr>
    <w:rPr>
      <w:b/>
    </w:rPr>
  </w:style>
  <w:style w:type="paragraph" w:styleId="Heading7">
    <w:name w:val="heading 7"/>
    <w:basedOn w:val="Normal"/>
    <w:next w:val="Normal"/>
    <w:link w:val="Heading7Char"/>
    <w:qFormat/>
    <w:rsid w:val="006F29A8"/>
    <w:pPr>
      <w:keepNext/>
      <w:numPr>
        <w:ilvl w:val="6"/>
        <w:numId w:val="20"/>
      </w:numPr>
      <w:tabs>
        <w:tab w:val="left" w:pos="1152"/>
      </w:tabs>
      <w:suppressAutoHyphens/>
      <w:spacing w:before="240" w:after="240"/>
      <w:outlineLvl w:val="6"/>
    </w:pPr>
    <w:rPr>
      <w:b/>
    </w:rPr>
  </w:style>
  <w:style w:type="paragraph" w:styleId="Heading8">
    <w:name w:val="heading 8"/>
    <w:basedOn w:val="Normal"/>
    <w:next w:val="Normal"/>
    <w:link w:val="Heading8Char"/>
    <w:qFormat/>
    <w:rsid w:val="006F29A8"/>
    <w:pPr>
      <w:keepNext/>
      <w:numPr>
        <w:ilvl w:val="7"/>
        <w:numId w:val="20"/>
      </w:numPr>
      <w:tabs>
        <w:tab w:val="left" w:pos="1296"/>
      </w:tabs>
      <w:suppressAutoHyphens/>
      <w:spacing w:before="240" w:after="240"/>
      <w:outlineLvl w:val="7"/>
    </w:pPr>
    <w:rPr>
      <w:b/>
    </w:rPr>
  </w:style>
  <w:style w:type="paragraph" w:styleId="Heading9">
    <w:name w:val="heading 9"/>
    <w:basedOn w:val="Normal"/>
    <w:next w:val="Normal"/>
    <w:link w:val="Heading9Char"/>
    <w:qFormat/>
    <w:rsid w:val="006F29A8"/>
    <w:pPr>
      <w:keepNext/>
      <w:numPr>
        <w:ilvl w:val="8"/>
        <w:numId w:val="20"/>
      </w:numPr>
      <w:tabs>
        <w:tab w:val="left" w:pos="1440"/>
      </w:tabs>
      <w:suppressAutoHyphens/>
      <w:spacing w:before="240" w:after="240"/>
      <w:outlineLvl w:val="8"/>
    </w:pPr>
    <w:rPr>
      <w:b/>
    </w:rPr>
  </w:style>
  <w:style w:type="character" w:default="1" w:styleId="DefaultParagraphFont">
    <w:name w:val="Default Paragraph Font"/>
    <w:uiPriority w:val="1"/>
    <w:semiHidden/>
    <w:unhideWhenUsed/>
    <w:rsid w:val="006F29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9A8"/>
  </w:style>
  <w:style w:type="paragraph" w:styleId="BodyText">
    <w:name w:val="Body Text"/>
    <w:basedOn w:val="Normal"/>
    <w:link w:val="BodyTextChar"/>
    <w:rsid w:val="006F29A8"/>
    <w:pPr>
      <w:spacing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6F29A8"/>
    <w:pPr>
      <w:suppressAutoHyphens/>
      <w:jc w:val="center"/>
    </w:pPr>
    <w:rPr>
      <w:b/>
      <w:caps/>
    </w:rPr>
  </w:style>
  <w:style w:type="paragraph" w:styleId="Subtitle">
    <w:name w:val="Subtitle"/>
    <w:basedOn w:val="Normal"/>
    <w:qFormat/>
    <w:rsid w:val="006F29A8"/>
    <w:pPr>
      <w:spacing w:after="60"/>
      <w:jc w:val="center"/>
      <w:outlineLvl w:val="1"/>
    </w:pPr>
    <w:rPr>
      <w:rFonts w:ascii="Arial" w:hAnsi="Arial" w:cs="Arial"/>
      <w:sz w:val="24"/>
      <w:szCs w:val="24"/>
    </w:rPr>
  </w:style>
  <w:style w:type="paragraph" w:customStyle="1" w:styleId="Author">
    <w:name w:val="Author"/>
    <w:next w:val="BodyText"/>
    <w:qFormat/>
    <w:pPr>
      <w:keepNext/>
      <w:keepLines/>
      <w:jc w:val="center"/>
    </w:pPr>
  </w:style>
  <w:style w:type="paragraph" w:styleId="Date">
    <w:name w:val="Date"/>
    <w:basedOn w:val="Normal"/>
    <w:next w:val="Normal"/>
    <w:rsid w:val="006F29A8"/>
  </w:style>
  <w:style w:type="paragraph" w:customStyle="1" w:styleId="Abstract">
    <w:name w:val="Abstract"/>
    <w:basedOn w:val="AbstractHeading"/>
    <w:link w:val="AbstractChar"/>
    <w:qFormat/>
    <w:rsid w:val="006F29A8"/>
  </w:style>
  <w:style w:type="paragraph" w:styleId="Bibliography">
    <w:name w:val="Bibliography"/>
    <w:basedOn w:val="Normal"/>
    <w:qFormat/>
  </w:style>
  <w:style w:type="paragraph" w:styleId="BlockText">
    <w:name w:val="Block Text"/>
    <w:basedOn w:val="Normal"/>
    <w:rsid w:val="006F29A8"/>
    <w:pPr>
      <w:spacing w:after="120"/>
      <w:ind w:left="1440" w:right="1440"/>
    </w:pPr>
  </w:style>
  <w:style w:type="paragraph" w:styleId="FootnoteText">
    <w:name w:val="footnote text"/>
    <w:basedOn w:val="Normal"/>
    <w:rsid w:val="006F29A8"/>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qFormat/>
    <w:rsid w:val="006F29A8"/>
    <w:pPr>
      <w:spacing w:before="120" w:after="120"/>
    </w:pPr>
    <w:rPr>
      <w:b/>
      <w:bC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Times New Roman" w:eastAsiaTheme="minorEastAsia" w:hAnsi="Times New Roman" w:cs="Times New Roman"/>
      <w:b/>
      <w:bCs/>
      <w:snapToGrid w:val="0"/>
      <w:sz w:val="22"/>
      <w:szCs w:val="20"/>
    </w:rPr>
  </w:style>
  <w:style w:type="character" w:customStyle="1" w:styleId="VerbatimChar">
    <w:name w:val="Verbatim Char"/>
    <w:basedOn w:val="CaptionChar"/>
    <w:link w:val="SourceCode"/>
    <w:rPr>
      <w:rFonts w:ascii="Consolas" w:eastAsiaTheme="minorEastAsia" w:hAnsi="Consolas" w:cs="Times New Roman"/>
      <w:b/>
      <w:bCs/>
      <w:snapToGrid w:val="0"/>
      <w:sz w:val="22"/>
      <w:szCs w:val="20"/>
    </w:rPr>
  </w:style>
  <w:style w:type="character" w:styleId="FootnoteReference">
    <w:name w:val="footnote reference"/>
    <w:basedOn w:val="CaptionChar"/>
    <w:rPr>
      <w:rFonts w:ascii="Times New Roman" w:eastAsiaTheme="minorEastAsia" w:hAnsi="Times New Roman" w:cs="Times New Roman"/>
      <w:b/>
      <w:bCs/>
      <w:snapToGrid w:val="0"/>
      <w:sz w:val="22"/>
      <w:szCs w:val="20"/>
      <w:vertAlign w:val="superscript"/>
    </w:rPr>
  </w:style>
  <w:style w:type="character" w:styleId="Hyperlink">
    <w:name w:val="Hyperlink"/>
    <w:rsid w:val="006F29A8"/>
    <w:rPr>
      <w:color w:val="4F81BD"/>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heme="minorEastAsia" w:hAnsi="Consolas" w:cs="Times New Roman"/>
      <w:b w:val="0"/>
      <w:bCs/>
      <w:snapToGrid w:val="0"/>
      <w:color w:val="204A87"/>
      <w:sz w:val="22"/>
      <w:szCs w:val="20"/>
      <w:shd w:val="clear" w:color="auto" w:fill="F8F8F8"/>
    </w:rPr>
  </w:style>
  <w:style w:type="character" w:customStyle="1" w:styleId="DataTypeTok">
    <w:name w:val="DataTypeTok"/>
    <w:basedOn w:val="VerbatimChar"/>
    <w:rPr>
      <w:rFonts w:ascii="Consolas" w:eastAsiaTheme="minorEastAsia" w:hAnsi="Consolas" w:cs="Times New Roman"/>
      <w:b/>
      <w:bCs/>
      <w:snapToGrid w:val="0"/>
      <w:color w:val="204A87"/>
      <w:sz w:val="22"/>
      <w:szCs w:val="20"/>
      <w:shd w:val="clear" w:color="auto" w:fill="F8F8F8"/>
    </w:rPr>
  </w:style>
  <w:style w:type="character" w:customStyle="1" w:styleId="DecValTok">
    <w:name w:val="DecValTok"/>
    <w:basedOn w:val="VerbatimChar"/>
    <w:rPr>
      <w:rFonts w:ascii="Consolas" w:eastAsiaTheme="minorEastAsia" w:hAnsi="Consolas" w:cs="Times New Roman"/>
      <w:b/>
      <w:bCs/>
      <w:snapToGrid w:val="0"/>
      <w:color w:val="0000CF"/>
      <w:sz w:val="22"/>
      <w:szCs w:val="20"/>
      <w:shd w:val="clear" w:color="auto" w:fill="F8F8F8"/>
    </w:rPr>
  </w:style>
  <w:style w:type="character" w:customStyle="1" w:styleId="BaseNTok">
    <w:name w:val="BaseNTok"/>
    <w:basedOn w:val="VerbatimChar"/>
    <w:rPr>
      <w:rFonts w:ascii="Consolas" w:eastAsiaTheme="minorEastAsia" w:hAnsi="Consolas" w:cs="Times New Roman"/>
      <w:b/>
      <w:bCs/>
      <w:snapToGrid w:val="0"/>
      <w:color w:val="0000CF"/>
      <w:sz w:val="22"/>
      <w:szCs w:val="20"/>
      <w:shd w:val="clear" w:color="auto" w:fill="F8F8F8"/>
    </w:rPr>
  </w:style>
  <w:style w:type="character" w:customStyle="1" w:styleId="FloatTok">
    <w:name w:val="FloatTok"/>
    <w:basedOn w:val="VerbatimChar"/>
    <w:rPr>
      <w:rFonts w:ascii="Consolas" w:eastAsiaTheme="minorEastAsia" w:hAnsi="Consolas" w:cs="Times New Roman"/>
      <w:b/>
      <w:bCs/>
      <w:snapToGrid w:val="0"/>
      <w:color w:val="0000CF"/>
      <w:sz w:val="22"/>
      <w:szCs w:val="20"/>
      <w:shd w:val="clear" w:color="auto" w:fill="F8F8F8"/>
    </w:rPr>
  </w:style>
  <w:style w:type="character" w:customStyle="1" w:styleId="ConstantTok">
    <w:name w:val="ConstantTok"/>
    <w:basedOn w:val="VerbatimChar"/>
    <w:rPr>
      <w:rFonts w:ascii="Consolas" w:eastAsiaTheme="minorEastAsia" w:hAnsi="Consolas" w:cs="Times New Roman"/>
      <w:b/>
      <w:bCs/>
      <w:snapToGrid w:val="0"/>
      <w:color w:val="000000"/>
      <w:sz w:val="22"/>
      <w:szCs w:val="20"/>
      <w:shd w:val="clear" w:color="auto" w:fill="F8F8F8"/>
    </w:rPr>
  </w:style>
  <w:style w:type="character" w:customStyle="1" w:styleId="CharTok">
    <w:name w:val="CharTok"/>
    <w:basedOn w:val="VerbatimChar"/>
    <w:rPr>
      <w:rFonts w:ascii="Consolas" w:eastAsiaTheme="minorEastAsia" w:hAnsi="Consolas" w:cs="Times New Roman"/>
      <w:b/>
      <w:bCs/>
      <w:snapToGrid w:val="0"/>
      <w:color w:val="4E9A06"/>
      <w:sz w:val="22"/>
      <w:szCs w:val="20"/>
      <w:shd w:val="clear" w:color="auto" w:fill="F8F8F8"/>
    </w:rPr>
  </w:style>
  <w:style w:type="character" w:customStyle="1" w:styleId="SpecialCharTok">
    <w:name w:val="SpecialCharTok"/>
    <w:basedOn w:val="VerbatimChar"/>
    <w:rPr>
      <w:rFonts w:ascii="Consolas" w:eastAsiaTheme="minorEastAsia" w:hAnsi="Consolas" w:cs="Times New Roman"/>
      <w:b/>
      <w:bCs/>
      <w:snapToGrid w:val="0"/>
      <w:color w:val="000000"/>
      <w:sz w:val="22"/>
      <w:szCs w:val="20"/>
      <w:shd w:val="clear" w:color="auto" w:fill="F8F8F8"/>
    </w:rPr>
  </w:style>
  <w:style w:type="character" w:customStyle="1" w:styleId="StringTok">
    <w:name w:val="StringTok"/>
    <w:basedOn w:val="VerbatimChar"/>
    <w:rPr>
      <w:rFonts w:ascii="Consolas" w:eastAsiaTheme="minorEastAsia" w:hAnsi="Consolas" w:cs="Times New Roman"/>
      <w:b/>
      <w:bCs/>
      <w:snapToGrid w:val="0"/>
      <w:color w:val="4E9A06"/>
      <w:sz w:val="22"/>
      <w:szCs w:val="20"/>
      <w:shd w:val="clear" w:color="auto" w:fill="F8F8F8"/>
    </w:rPr>
  </w:style>
  <w:style w:type="character" w:customStyle="1" w:styleId="VerbatimStringTok">
    <w:name w:val="VerbatimStringTok"/>
    <w:basedOn w:val="VerbatimChar"/>
    <w:rPr>
      <w:rFonts w:ascii="Consolas" w:eastAsiaTheme="minorEastAsia" w:hAnsi="Consolas" w:cs="Times New Roman"/>
      <w:b/>
      <w:bCs/>
      <w:snapToGrid w:val="0"/>
      <w:color w:val="4E9A06"/>
      <w:sz w:val="22"/>
      <w:szCs w:val="20"/>
      <w:shd w:val="clear" w:color="auto" w:fill="F8F8F8"/>
    </w:rPr>
  </w:style>
  <w:style w:type="character" w:customStyle="1" w:styleId="SpecialStringTok">
    <w:name w:val="SpecialStringTok"/>
    <w:basedOn w:val="VerbatimChar"/>
    <w:rPr>
      <w:rFonts w:ascii="Consolas" w:eastAsiaTheme="minorEastAsia" w:hAnsi="Consolas" w:cs="Times New Roman"/>
      <w:b/>
      <w:bCs/>
      <w:snapToGrid w:val="0"/>
      <w:color w:val="4E9A06"/>
      <w:sz w:val="22"/>
      <w:szCs w:val="20"/>
      <w:shd w:val="clear" w:color="auto" w:fill="F8F8F8"/>
    </w:rPr>
  </w:style>
  <w:style w:type="character" w:customStyle="1" w:styleId="ImportTok">
    <w:name w:val="ImportTok"/>
    <w:basedOn w:val="VerbatimChar"/>
    <w:rPr>
      <w:rFonts w:ascii="Consolas" w:eastAsiaTheme="minorEastAsia" w:hAnsi="Consolas" w:cs="Times New Roman"/>
      <w:b/>
      <w:bCs/>
      <w:snapToGrid w:val="0"/>
      <w:sz w:val="22"/>
      <w:szCs w:val="20"/>
      <w:shd w:val="clear" w:color="auto" w:fill="F8F8F8"/>
    </w:rPr>
  </w:style>
  <w:style w:type="character" w:customStyle="1" w:styleId="CommentTok">
    <w:name w:val="CommentTok"/>
    <w:basedOn w:val="VerbatimChar"/>
    <w:rPr>
      <w:rFonts w:ascii="Consolas" w:eastAsiaTheme="minorEastAsia" w:hAnsi="Consolas" w:cs="Times New Roman"/>
      <w:b/>
      <w:bCs/>
      <w:i/>
      <w:snapToGrid w:val="0"/>
      <w:color w:val="8F5902"/>
      <w:sz w:val="22"/>
      <w:szCs w:val="20"/>
      <w:shd w:val="clear" w:color="auto" w:fill="F8F8F8"/>
    </w:rPr>
  </w:style>
  <w:style w:type="character" w:customStyle="1" w:styleId="DocumentationTok">
    <w:name w:val="DocumentationTok"/>
    <w:basedOn w:val="VerbatimChar"/>
    <w:rPr>
      <w:rFonts w:ascii="Consolas" w:eastAsiaTheme="minorEastAsia" w:hAnsi="Consolas" w:cs="Times New Roman"/>
      <w:b w:val="0"/>
      <w:bCs/>
      <w:i/>
      <w:snapToGrid w:val="0"/>
      <w:color w:val="8F5902"/>
      <w:sz w:val="22"/>
      <w:szCs w:val="20"/>
      <w:shd w:val="clear" w:color="auto" w:fill="F8F8F8"/>
    </w:rPr>
  </w:style>
  <w:style w:type="character" w:customStyle="1" w:styleId="AnnotationTok">
    <w:name w:val="AnnotationTok"/>
    <w:basedOn w:val="VerbatimChar"/>
    <w:rPr>
      <w:rFonts w:ascii="Consolas" w:eastAsiaTheme="minorEastAsia" w:hAnsi="Consolas" w:cs="Times New Roman"/>
      <w:b w:val="0"/>
      <w:bCs/>
      <w:i/>
      <w:snapToGrid w:val="0"/>
      <w:color w:val="8F5902"/>
      <w:sz w:val="22"/>
      <w:szCs w:val="20"/>
      <w:shd w:val="clear" w:color="auto" w:fill="F8F8F8"/>
    </w:rPr>
  </w:style>
  <w:style w:type="character" w:customStyle="1" w:styleId="CommentVarTok">
    <w:name w:val="CommentVarTok"/>
    <w:basedOn w:val="VerbatimChar"/>
    <w:rPr>
      <w:rFonts w:ascii="Consolas" w:eastAsiaTheme="minorEastAsia" w:hAnsi="Consolas" w:cs="Times New Roman"/>
      <w:b w:val="0"/>
      <w:bCs/>
      <w:i/>
      <w:snapToGrid w:val="0"/>
      <w:color w:val="8F5902"/>
      <w:sz w:val="22"/>
      <w:szCs w:val="20"/>
      <w:shd w:val="clear" w:color="auto" w:fill="F8F8F8"/>
    </w:rPr>
  </w:style>
  <w:style w:type="character" w:customStyle="1" w:styleId="OtherTok">
    <w:name w:val="OtherTok"/>
    <w:basedOn w:val="VerbatimChar"/>
    <w:rPr>
      <w:rFonts w:ascii="Consolas" w:eastAsiaTheme="minorEastAsia" w:hAnsi="Consolas" w:cs="Times New Roman"/>
      <w:b/>
      <w:bCs/>
      <w:snapToGrid w:val="0"/>
      <w:color w:val="8F5902"/>
      <w:sz w:val="22"/>
      <w:szCs w:val="20"/>
      <w:shd w:val="clear" w:color="auto" w:fill="F8F8F8"/>
    </w:rPr>
  </w:style>
  <w:style w:type="character" w:customStyle="1" w:styleId="FunctionTok">
    <w:name w:val="FunctionTok"/>
    <w:basedOn w:val="VerbatimChar"/>
    <w:rPr>
      <w:rFonts w:ascii="Consolas" w:eastAsiaTheme="minorEastAsia" w:hAnsi="Consolas" w:cs="Times New Roman"/>
      <w:b/>
      <w:bCs/>
      <w:snapToGrid w:val="0"/>
      <w:color w:val="000000"/>
      <w:sz w:val="22"/>
      <w:szCs w:val="20"/>
      <w:shd w:val="clear" w:color="auto" w:fill="F8F8F8"/>
    </w:rPr>
  </w:style>
  <w:style w:type="character" w:customStyle="1" w:styleId="VariableTok">
    <w:name w:val="VariableTok"/>
    <w:basedOn w:val="VerbatimChar"/>
    <w:rPr>
      <w:rFonts w:ascii="Consolas" w:eastAsiaTheme="minorEastAsia" w:hAnsi="Consolas" w:cs="Times New Roman"/>
      <w:b/>
      <w:bCs/>
      <w:snapToGrid w:val="0"/>
      <w:color w:val="000000"/>
      <w:sz w:val="22"/>
      <w:szCs w:val="20"/>
      <w:shd w:val="clear" w:color="auto" w:fill="F8F8F8"/>
    </w:rPr>
  </w:style>
  <w:style w:type="character" w:customStyle="1" w:styleId="ControlFlowTok">
    <w:name w:val="ControlFlowTok"/>
    <w:basedOn w:val="VerbatimChar"/>
    <w:rPr>
      <w:rFonts w:ascii="Consolas" w:eastAsiaTheme="minorEastAsia" w:hAnsi="Consolas" w:cs="Times New Roman"/>
      <w:b w:val="0"/>
      <w:bCs/>
      <w:snapToGrid w:val="0"/>
      <w:color w:val="204A87"/>
      <w:sz w:val="22"/>
      <w:szCs w:val="20"/>
      <w:shd w:val="clear" w:color="auto" w:fill="F8F8F8"/>
    </w:rPr>
  </w:style>
  <w:style w:type="character" w:customStyle="1" w:styleId="OperatorTok">
    <w:name w:val="OperatorTok"/>
    <w:basedOn w:val="VerbatimChar"/>
    <w:rPr>
      <w:rFonts w:ascii="Consolas" w:eastAsiaTheme="minorEastAsia" w:hAnsi="Consolas" w:cs="Times New Roman"/>
      <w:b w:val="0"/>
      <w:bCs/>
      <w:snapToGrid w:val="0"/>
      <w:color w:val="CE5C00"/>
      <w:sz w:val="22"/>
      <w:szCs w:val="20"/>
      <w:shd w:val="clear" w:color="auto" w:fill="F8F8F8"/>
    </w:rPr>
  </w:style>
  <w:style w:type="character" w:customStyle="1" w:styleId="BuiltInTok">
    <w:name w:val="BuiltInTok"/>
    <w:basedOn w:val="VerbatimChar"/>
    <w:rPr>
      <w:rFonts w:ascii="Consolas" w:eastAsiaTheme="minorEastAsia" w:hAnsi="Consolas" w:cs="Times New Roman"/>
      <w:b/>
      <w:bCs/>
      <w:snapToGrid w:val="0"/>
      <w:sz w:val="22"/>
      <w:szCs w:val="20"/>
      <w:shd w:val="clear" w:color="auto" w:fill="F8F8F8"/>
    </w:rPr>
  </w:style>
  <w:style w:type="character" w:customStyle="1" w:styleId="ExtensionTok">
    <w:name w:val="ExtensionTok"/>
    <w:basedOn w:val="VerbatimChar"/>
    <w:rPr>
      <w:rFonts w:ascii="Consolas" w:eastAsiaTheme="minorEastAsia" w:hAnsi="Consolas" w:cs="Times New Roman"/>
      <w:b/>
      <w:bCs/>
      <w:snapToGrid w:val="0"/>
      <w:sz w:val="22"/>
      <w:szCs w:val="20"/>
      <w:shd w:val="clear" w:color="auto" w:fill="F8F8F8"/>
    </w:rPr>
  </w:style>
  <w:style w:type="character" w:customStyle="1" w:styleId="PreprocessorTok">
    <w:name w:val="PreprocessorTok"/>
    <w:basedOn w:val="VerbatimChar"/>
    <w:rPr>
      <w:rFonts w:ascii="Consolas" w:eastAsiaTheme="minorEastAsia" w:hAnsi="Consolas" w:cs="Times New Roman"/>
      <w:b/>
      <w:bCs/>
      <w:i/>
      <w:snapToGrid w:val="0"/>
      <w:color w:val="8F5902"/>
      <w:sz w:val="22"/>
      <w:szCs w:val="20"/>
      <w:shd w:val="clear" w:color="auto" w:fill="F8F8F8"/>
    </w:rPr>
  </w:style>
  <w:style w:type="character" w:customStyle="1" w:styleId="AttributeTok">
    <w:name w:val="AttributeTok"/>
    <w:basedOn w:val="VerbatimChar"/>
    <w:rPr>
      <w:rFonts w:ascii="Consolas" w:eastAsiaTheme="minorEastAsia" w:hAnsi="Consolas" w:cs="Times New Roman"/>
      <w:b/>
      <w:bCs/>
      <w:snapToGrid w:val="0"/>
      <w:color w:val="C4A000"/>
      <w:sz w:val="22"/>
      <w:szCs w:val="20"/>
      <w:shd w:val="clear" w:color="auto" w:fill="F8F8F8"/>
    </w:rPr>
  </w:style>
  <w:style w:type="character" w:customStyle="1" w:styleId="RegionMarkerTok">
    <w:name w:val="RegionMarkerTok"/>
    <w:basedOn w:val="VerbatimChar"/>
    <w:rPr>
      <w:rFonts w:ascii="Consolas" w:eastAsiaTheme="minorEastAsia" w:hAnsi="Consolas" w:cs="Times New Roman"/>
      <w:b/>
      <w:bCs/>
      <w:snapToGrid w:val="0"/>
      <w:sz w:val="22"/>
      <w:szCs w:val="20"/>
      <w:shd w:val="clear" w:color="auto" w:fill="F8F8F8"/>
    </w:rPr>
  </w:style>
  <w:style w:type="character" w:customStyle="1" w:styleId="InformationTok">
    <w:name w:val="InformationTok"/>
    <w:basedOn w:val="VerbatimChar"/>
    <w:rPr>
      <w:rFonts w:ascii="Consolas" w:eastAsiaTheme="minorEastAsia" w:hAnsi="Consolas" w:cs="Times New Roman"/>
      <w:b w:val="0"/>
      <w:bCs/>
      <w:i/>
      <w:snapToGrid w:val="0"/>
      <w:color w:val="8F5902"/>
      <w:sz w:val="22"/>
      <w:szCs w:val="20"/>
      <w:shd w:val="clear" w:color="auto" w:fill="F8F8F8"/>
    </w:rPr>
  </w:style>
  <w:style w:type="character" w:customStyle="1" w:styleId="WarningTok">
    <w:name w:val="WarningTok"/>
    <w:basedOn w:val="VerbatimChar"/>
    <w:rPr>
      <w:rFonts w:ascii="Consolas" w:eastAsiaTheme="minorEastAsia" w:hAnsi="Consolas" w:cs="Times New Roman"/>
      <w:b w:val="0"/>
      <w:bCs/>
      <w:i/>
      <w:snapToGrid w:val="0"/>
      <w:color w:val="8F5902"/>
      <w:sz w:val="22"/>
      <w:szCs w:val="20"/>
      <w:shd w:val="clear" w:color="auto" w:fill="F8F8F8"/>
    </w:rPr>
  </w:style>
  <w:style w:type="character" w:customStyle="1" w:styleId="AlertTok">
    <w:name w:val="AlertTok"/>
    <w:basedOn w:val="VerbatimChar"/>
    <w:rPr>
      <w:rFonts w:ascii="Consolas" w:eastAsiaTheme="minorEastAsia" w:hAnsi="Consolas" w:cs="Times New Roman"/>
      <w:b/>
      <w:bCs/>
      <w:snapToGrid w:val="0"/>
      <w:color w:val="EF2929"/>
      <w:sz w:val="22"/>
      <w:szCs w:val="20"/>
      <w:shd w:val="clear" w:color="auto" w:fill="F8F8F8"/>
    </w:rPr>
  </w:style>
  <w:style w:type="character" w:customStyle="1" w:styleId="ErrorTok">
    <w:name w:val="ErrorTok"/>
    <w:basedOn w:val="VerbatimChar"/>
    <w:rPr>
      <w:rFonts w:ascii="Consolas" w:eastAsiaTheme="minorEastAsia" w:hAnsi="Consolas" w:cs="Times New Roman"/>
      <w:b w:val="0"/>
      <w:bCs/>
      <w:snapToGrid w:val="0"/>
      <w:color w:val="A40000"/>
      <w:sz w:val="22"/>
      <w:szCs w:val="20"/>
      <w:shd w:val="clear" w:color="auto" w:fill="F8F8F8"/>
    </w:rPr>
  </w:style>
  <w:style w:type="character" w:customStyle="1" w:styleId="NormalTok">
    <w:name w:val="NormalTok"/>
    <w:basedOn w:val="VerbatimChar"/>
    <w:rPr>
      <w:rFonts w:ascii="Consolas" w:eastAsiaTheme="minorEastAsia" w:hAnsi="Consolas" w:cs="Times New Roman"/>
      <w:b/>
      <w:bCs/>
      <w:snapToGrid w:val="0"/>
      <w:sz w:val="22"/>
      <w:szCs w:val="20"/>
      <w:shd w:val="clear" w:color="auto" w:fill="F8F8F8"/>
    </w:rPr>
  </w:style>
  <w:style w:type="paragraph" w:customStyle="1" w:styleId="Heading">
    <w:name w:val="Heading"/>
    <w:basedOn w:val="Normal"/>
    <w:next w:val="Normal"/>
    <w:link w:val="HeadingChar"/>
    <w:rsid w:val="006F29A8"/>
    <w:pPr>
      <w:keepNext/>
      <w:suppressAutoHyphens/>
      <w:spacing w:before="240" w:after="240"/>
    </w:pPr>
    <w:rPr>
      <w:b/>
      <w:caps/>
    </w:rPr>
  </w:style>
  <w:style w:type="character" w:customStyle="1" w:styleId="HeadingChar">
    <w:name w:val="Heading Char"/>
    <w:basedOn w:val="DefaultParagraphFont"/>
    <w:link w:val="Heading"/>
    <w:rsid w:val="006F29A8"/>
    <w:rPr>
      <w:rFonts w:ascii="Times New Roman" w:eastAsiaTheme="minorEastAsia" w:hAnsi="Times New Roman" w:cs="Times New Roman"/>
      <w:b/>
      <w:caps/>
      <w:snapToGrid w:val="0"/>
      <w:sz w:val="22"/>
      <w:szCs w:val="20"/>
    </w:rPr>
  </w:style>
  <w:style w:type="paragraph" w:customStyle="1" w:styleId="AbstractHeading">
    <w:name w:val="Abstract Heading"/>
    <w:basedOn w:val="Heading"/>
    <w:next w:val="Normal"/>
    <w:link w:val="AbstractHeadingChar"/>
    <w:rsid w:val="006F29A8"/>
    <w:pPr>
      <w:spacing w:before="0"/>
    </w:pPr>
  </w:style>
  <w:style w:type="character" w:customStyle="1" w:styleId="AbstractHeadingChar">
    <w:name w:val="Abstract Heading Char"/>
    <w:basedOn w:val="HeadingChar"/>
    <w:link w:val="AbstractHeading"/>
    <w:rsid w:val="006F29A8"/>
    <w:rPr>
      <w:rFonts w:ascii="Times New Roman" w:eastAsiaTheme="minorEastAsia" w:hAnsi="Times New Roman" w:cs="Times New Roman"/>
      <w:b/>
      <w:caps/>
      <w:snapToGrid w:val="0"/>
      <w:sz w:val="22"/>
      <w:szCs w:val="20"/>
    </w:rPr>
  </w:style>
  <w:style w:type="character" w:customStyle="1" w:styleId="AbstractChar">
    <w:name w:val="Abstract Char"/>
    <w:basedOn w:val="AbstractHeadingChar"/>
    <w:link w:val="Abstract"/>
    <w:rsid w:val="006F29A8"/>
    <w:rPr>
      <w:rFonts w:ascii="Times New Roman" w:eastAsiaTheme="minorEastAsia" w:hAnsi="Times New Roman" w:cs="Times New Roman"/>
      <w:b/>
      <w:caps/>
      <w:snapToGrid w:val="0"/>
      <w:sz w:val="22"/>
      <w:szCs w:val="20"/>
    </w:rPr>
  </w:style>
  <w:style w:type="paragraph" w:customStyle="1" w:styleId="Appendices">
    <w:name w:val="Appendices"/>
    <w:basedOn w:val="Heading1"/>
    <w:next w:val="Normal"/>
    <w:rsid w:val="006F29A8"/>
    <w:pPr>
      <w:numPr>
        <w:numId w:val="11"/>
      </w:numPr>
    </w:pPr>
    <w:rPr>
      <w:bCs/>
      <w:caps w:val="0"/>
    </w:rPr>
  </w:style>
  <w:style w:type="character" w:customStyle="1" w:styleId="apple-converted-space">
    <w:name w:val="apple-converted-space"/>
    <w:basedOn w:val="DefaultParagraphFont"/>
    <w:rsid w:val="006F29A8"/>
  </w:style>
  <w:style w:type="paragraph" w:styleId="BalloonText">
    <w:name w:val="Balloon Text"/>
    <w:basedOn w:val="Normal"/>
    <w:link w:val="BalloonTextChar"/>
    <w:semiHidden/>
    <w:rsid w:val="006F29A8"/>
    <w:rPr>
      <w:rFonts w:ascii="Tahoma" w:hAnsi="Tahoma" w:cs="Tahoma"/>
      <w:sz w:val="16"/>
      <w:szCs w:val="16"/>
    </w:rPr>
  </w:style>
  <w:style w:type="character" w:customStyle="1" w:styleId="BalloonTextChar">
    <w:name w:val="Balloon Text Char"/>
    <w:basedOn w:val="DefaultParagraphFont"/>
    <w:link w:val="BalloonText"/>
    <w:semiHidden/>
    <w:rsid w:val="006F29A8"/>
    <w:rPr>
      <w:rFonts w:ascii="Tahoma" w:eastAsiaTheme="minorEastAsia" w:hAnsi="Tahoma" w:cs="Tahoma"/>
      <w:snapToGrid w:val="0"/>
      <w:sz w:val="16"/>
      <w:szCs w:val="16"/>
    </w:rPr>
  </w:style>
  <w:style w:type="paragraph" w:customStyle="1" w:styleId="Biography">
    <w:name w:val="Biography"/>
    <w:basedOn w:val="Normal"/>
    <w:rsid w:val="006F29A8"/>
    <w:pPr>
      <w:spacing w:after="240"/>
    </w:pPr>
  </w:style>
  <w:style w:type="paragraph" w:styleId="BodyText2">
    <w:name w:val="Body Text 2"/>
    <w:basedOn w:val="Normal"/>
    <w:link w:val="BodyText2Char"/>
    <w:rsid w:val="006F29A8"/>
    <w:pPr>
      <w:spacing w:after="120" w:line="480" w:lineRule="auto"/>
    </w:pPr>
  </w:style>
  <w:style w:type="character" w:customStyle="1" w:styleId="BodyText2Char">
    <w:name w:val="Body Text 2 Char"/>
    <w:basedOn w:val="DefaultParagraphFont"/>
    <w:link w:val="BodyText2"/>
    <w:rsid w:val="006F29A8"/>
    <w:rPr>
      <w:rFonts w:ascii="Times New Roman" w:eastAsiaTheme="minorEastAsia" w:hAnsi="Times New Roman" w:cs="Times New Roman"/>
      <w:snapToGrid w:val="0"/>
      <w:sz w:val="22"/>
      <w:szCs w:val="20"/>
    </w:rPr>
  </w:style>
  <w:style w:type="paragraph" w:styleId="BodyText3">
    <w:name w:val="Body Text 3"/>
    <w:basedOn w:val="Normal"/>
    <w:link w:val="BodyText3Char"/>
    <w:rsid w:val="006F29A8"/>
    <w:pPr>
      <w:spacing w:after="120"/>
    </w:pPr>
    <w:rPr>
      <w:sz w:val="18"/>
      <w:szCs w:val="16"/>
    </w:rPr>
  </w:style>
  <w:style w:type="character" w:customStyle="1" w:styleId="BodyText3Char">
    <w:name w:val="Body Text 3 Char"/>
    <w:basedOn w:val="DefaultParagraphFont"/>
    <w:link w:val="BodyText3"/>
    <w:rsid w:val="006F29A8"/>
    <w:rPr>
      <w:rFonts w:ascii="Times New Roman" w:eastAsiaTheme="minorEastAsia" w:hAnsi="Times New Roman" w:cs="Times New Roman"/>
      <w:snapToGrid w:val="0"/>
      <w:sz w:val="18"/>
      <w:szCs w:val="16"/>
    </w:rPr>
  </w:style>
  <w:style w:type="paragraph" w:styleId="BodyTextFirstIndent">
    <w:name w:val="Body Text First Indent"/>
    <w:basedOn w:val="BodyText"/>
    <w:link w:val="BodyTextFirstIndentChar"/>
    <w:rsid w:val="006F29A8"/>
    <w:pPr>
      <w:ind w:firstLine="210"/>
    </w:pPr>
  </w:style>
  <w:style w:type="character" w:customStyle="1" w:styleId="BodyTextChar">
    <w:name w:val="Body Text Char"/>
    <w:basedOn w:val="DefaultParagraphFont"/>
    <w:link w:val="BodyText"/>
    <w:rsid w:val="006F29A8"/>
    <w:rPr>
      <w:rFonts w:ascii="Times New Roman" w:eastAsiaTheme="minorEastAsia" w:hAnsi="Times New Roman" w:cs="Times New Roman"/>
      <w:snapToGrid w:val="0"/>
      <w:sz w:val="22"/>
      <w:szCs w:val="20"/>
    </w:rPr>
  </w:style>
  <w:style w:type="character" w:customStyle="1" w:styleId="BodyTextFirstIndentChar">
    <w:name w:val="Body Text First Indent Char"/>
    <w:basedOn w:val="BodyTextChar"/>
    <w:link w:val="BodyTextFirstIndent"/>
    <w:rsid w:val="006F29A8"/>
    <w:rPr>
      <w:rFonts w:ascii="Times New Roman" w:eastAsiaTheme="minorEastAsia" w:hAnsi="Times New Roman" w:cs="Times New Roman"/>
      <w:snapToGrid w:val="0"/>
      <w:sz w:val="22"/>
      <w:szCs w:val="20"/>
    </w:rPr>
  </w:style>
  <w:style w:type="paragraph" w:styleId="BodyTextIndent">
    <w:name w:val="Body Text Indent"/>
    <w:basedOn w:val="Normal"/>
    <w:link w:val="BodyTextIndentChar"/>
    <w:rsid w:val="006F29A8"/>
    <w:pPr>
      <w:spacing w:after="120"/>
      <w:ind w:left="360"/>
    </w:pPr>
  </w:style>
  <w:style w:type="character" w:customStyle="1" w:styleId="BodyTextIndentChar">
    <w:name w:val="Body Text Indent Char"/>
    <w:basedOn w:val="DefaultParagraphFont"/>
    <w:link w:val="BodyTextIndent"/>
    <w:rsid w:val="006F29A8"/>
    <w:rPr>
      <w:rFonts w:ascii="Times New Roman" w:eastAsiaTheme="minorEastAsia" w:hAnsi="Times New Roman" w:cs="Times New Roman"/>
      <w:snapToGrid w:val="0"/>
      <w:sz w:val="22"/>
      <w:szCs w:val="20"/>
    </w:rPr>
  </w:style>
  <w:style w:type="paragraph" w:styleId="BodyTextFirstIndent2">
    <w:name w:val="Body Text First Indent 2"/>
    <w:basedOn w:val="BodyTextIndent"/>
    <w:link w:val="BodyTextFirstIndent2Char"/>
    <w:rsid w:val="006F29A8"/>
    <w:pPr>
      <w:ind w:firstLine="210"/>
    </w:pPr>
  </w:style>
  <w:style w:type="character" w:customStyle="1" w:styleId="BodyTextFirstIndent2Char">
    <w:name w:val="Body Text First Indent 2 Char"/>
    <w:basedOn w:val="BodyTextIndentChar"/>
    <w:link w:val="BodyTextFirstIndent2"/>
    <w:rsid w:val="006F29A8"/>
    <w:rPr>
      <w:rFonts w:ascii="Times New Roman" w:eastAsiaTheme="minorEastAsia" w:hAnsi="Times New Roman" w:cs="Times New Roman"/>
      <w:snapToGrid w:val="0"/>
      <w:sz w:val="22"/>
      <w:szCs w:val="20"/>
    </w:rPr>
  </w:style>
  <w:style w:type="paragraph" w:styleId="BodyTextIndent2">
    <w:name w:val="Body Text Indent 2"/>
    <w:basedOn w:val="Normal"/>
    <w:link w:val="BodyTextIndent2Char"/>
    <w:rsid w:val="006F29A8"/>
    <w:pPr>
      <w:spacing w:after="120" w:line="480" w:lineRule="auto"/>
      <w:ind w:left="360"/>
    </w:pPr>
  </w:style>
  <w:style w:type="character" w:customStyle="1" w:styleId="BodyTextIndent2Char">
    <w:name w:val="Body Text Indent 2 Char"/>
    <w:basedOn w:val="DefaultParagraphFont"/>
    <w:link w:val="BodyTextIndent2"/>
    <w:rsid w:val="006F29A8"/>
    <w:rPr>
      <w:rFonts w:ascii="Times New Roman" w:eastAsiaTheme="minorEastAsia" w:hAnsi="Times New Roman" w:cs="Times New Roman"/>
      <w:snapToGrid w:val="0"/>
      <w:sz w:val="22"/>
      <w:szCs w:val="20"/>
    </w:rPr>
  </w:style>
  <w:style w:type="paragraph" w:styleId="BodyTextIndent3">
    <w:name w:val="Body Text Indent 3"/>
    <w:basedOn w:val="Normal"/>
    <w:link w:val="BodyTextIndent3Char"/>
    <w:rsid w:val="006F29A8"/>
    <w:pPr>
      <w:spacing w:after="120"/>
      <w:ind w:left="360"/>
    </w:pPr>
    <w:rPr>
      <w:sz w:val="18"/>
      <w:szCs w:val="16"/>
    </w:rPr>
  </w:style>
  <w:style w:type="character" w:customStyle="1" w:styleId="BodyTextIndent3Char">
    <w:name w:val="Body Text Indent 3 Char"/>
    <w:basedOn w:val="DefaultParagraphFont"/>
    <w:link w:val="BodyTextIndent3"/>
    <w:rsid w:val="006F29A8"/>
    <w:rPr>
      <w:rFonts w:ascii="Times New Roman" w:eastAsiaTheme="minorEastAsia" w:hAnsi="Times New Roman" w:cs="Times New Roman"/>
      <w:snapToGrid w:val="0"/>
      <w:sz w:val="18"/>
      <w:szCs w:val="16"/>
    </w:rPr>
  </w:style>
  <w:style w:type="paragraph" w:styleId="Closing">
    <w:name w:val="Closing"/>
    <w:basedOn w:val="Normal"/>
    <w:link w:val="ClosingChar"/>
    <w:rsid w:val="006F29A8"/>
    <w:pPr>
      <w:ind w:left="4320"/>
    </w:pPr>
  </w:style>
  <w:style w:type="character" w:customStyle="1" w:styleId="ClosingChar">
    <w:name w:val="Closing Char"/>
    <w:basedOn w:val="DefaultParagraphFont"/>
    <w:link w:val="Closing"/>
    <w:rsid w:val="006F29A8"/>
    <w:rPr>
      <w:rFonts w:ascii="Times New Roman" w:eastAsiaTheme="minorEastAsia" w:hAnsi="Times New Roman" w:cs="Times New Roman"/>
      <w:snapToGrid w:val="0"/>
      <w:sz w:val="22"/>
      <w:szCs w:val="20"/>
    </w:rPr>
  </w:style>
  <w:style w:type="character" w:styleId="CommentReference">
    <w:name w:val="annotation reference"/>
    <w:semiHidden/>
    <w:rsid w:val="006F29A8"/>
    <w:rPr>
      <w:sz w:val="16"/>
    </w:rPr>
  </w:style>
  <w:style w:type="paragraph" w:styleId="CommentText">
    <w:name w:val="annotation text"/>
    <w:basedOn w:val="Normal"/>
    <w:link w:val="CommentTextChar"/>
    <w:semiHidden/>
    <w:rsid w:val="006F29A8"/>
  </w:style>
  <w:style w:type="character" w:customStyle="1" w:styleId="CommentTextChar">
    <w:name w:val="Comment Text Char"/>
    <w:basedOn w:val="DefaultParagraphFont"/>
    <w:link w:val="CommentText"/>
    <w:semiHidden/>
    <w:rsid w:val="006F29A8"/>
    <w:rPr>
      <w:rFonts w:ascii="Times New Roman" w:eastAsiaTheme="minorEastAsia" w:hAnsi="Times New Roman" w:cs="Times New Roman"/>
      <w:snapToGrid w:val="0"/>
      <w:sz w:val="22"/>
      <w:szCs w:val="20"/>
    </w:rPr>
  </w:style>
  <w:style w:type="paragraph" w:styleId="CommentSubject">
    <w:name w:val="annotation subject"/>
    <w:basedOn w:val="CommentText"/>
    <w:next w:val="CommentText"/>
    <w:link w:val="CommentSubjectChar"/>
    <w:semiHidden/>
    <w:rsid w:val="006F29A8"/>
    <w:rPr>
      <w:b/>
      <w:bCs/>
    </w:rPr>
  </w:style>
  <w:style w:type="character" w:customStyle="1" w:styleId="CommentSubjectChar">
    <w:name w:val="Comment Subject Char"/>
    <w:basedOn w:val="CommentTextChar"/>
    <w:link w:val="CommentSubject"/>
    <w:semiHidden/>
    <w:rsid w:val="006F29A8"/>
    <w:rPr>
      <w:rFonts w:ascii="Times New Roman" w:eastAsiaTheme="minorEastAsia" w:hAnsi="Times New Roman" w:cs="Times New Roman"/>
      <w:b/>
      <w:bCs/>
      <w:snapToGrid w:val="0"/>
      <w:sz w:val="22"/>
      <w:szCs w:val="20"/>
    </w:rPr>
  </w:style>
  <w:style w:type="paragraph" w:styleId="DocumentMap">
    <w:name w:val="Document Map"/>
    <w:basedOn w:val="Normal"/>
    <w:link w:val="DocumentMapChar"/>
    <w:semiHidden/>
    <w:rsid w:val="006F29A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F29A8"/>
    <w:rPr>
      <w:rFonts w:ascii="Tahoma" w:eastAsiaTheme="minorEastAsia" w:hAnsi="Tahoma" w:cs="Tahoma"/>
      <w:snapToGrid w:val="0"/>
      <w:sz w:val="22"/>
      <w:szCs w:val="20"/>
      <w:shd w:val="clear" w:color="auto" w:fill="000080"/>
    </w:rPr>
  </w:style>
  <w:style w:type="paragraph" w:styleId="E-mailSignature">
    <w:name w:val="E-mail Signature"/>
    <w:basedOn w:val="Normal"/>
    <w:link w:val="E-mailSignatureChar"/>
    <w:rsid w:val="006F29A8"/>
  </w:style>
  <w:style w:type="character" w:customStyle="1" w:styleId="E-mailSignatureChar">
    <w:name w:val="E-mail Signature Char"/>
    <w:basedOn w:val="DefaultParagraphFont"/>
    <w:link w:val="E-mailSignature"/>
    <w:rsid w:val="006F29A8"/>
    <w:rPr>
      <w:rFonts w:ascii="Times New Roman" w:eastAsiaTheme="minorEastAsia" w:hAnsi="Times New Roman" w:cs="Times New Roman"/>
      <w:snapToGrid w:val="0"/>
      <w:sz w:val="22"/>
      <w:szCs w:val="20"/>
    </w:rPr>
  </w:style>
  <w:style w:type="paragraph" w:styleId="EndnoteText">
    <w:name w:val="endnote text"/>
    <w:basedOn w:val="Normal"/>
    <w:link w:val="EndnoteTextChar"/>
    <w:semiHidden/>
    <w:rsid w:val="006F29A8"/>
  </w:style>
  <w:style w:type="character" w:customStyle="1" w:styleId="EndnoteTextChar">
    <w:name w:val="Endnote Text Char"/>
    <w:basedOn w:val="DefaultParagraphFont"/>
    <w:link w:val="EndnoteText"/>
    <w:semiHidden/>
    <w:rsid w:val="006F29A8"/>
    <w:rPr>
      <w:rFonts w:ascii="Times New Roman" w:eastAsiaTheme="minorEastAsia" w:hAnsi="Times New Roman" w:cs="Times New Roman"/>
      <w:snapToGrid w:val="0"/>
      <w:sz w:val="22"/>
      <w:szCs w:val="20"/>
    </w:rPr>
  </w:style>
  <w:style w:type="paragraph" w:styleId="EnvelopeAddress">
    <w:name w:val="envelope address"/>
    <w:basedOn w:val="Normal"/>
    <w:rsid w:val="006F29A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F29A8"/>
    <w:rPr>
      <w:rFonts w:ascii="Arial" w:hAnsi="Arial" w:cs="Arial"/>
    </w:rPr>
  </w:style>
  <w:style w:type="paragraph" w:customStyle="1" w:styleId="Equation">
    <w:name w:val="Equation"/>
    <w:basedOn w:val="Normal"/>
    <w:rsid w:val="006F29A8"/>
    <w:pPr>
      <w:tabs>
        <w:tab w:val="center" w:pos="2380"/>
        <w:tab w:val="right" w:pos="4760"/>
      </w:tabs>
    </w:pPr>
  </w:style>
  <w:style w:type="character" w:customStyle="1" w:styleId="ExternalHyperlink">
    <w:name w:val="External Hyperlink"/>
    <w:rsid w:val="006F29A8"/>
    <w:rPr>
      <w:rFonts w:ascii="Courier New" w:hAnsi="Courier New"/>
      <w:dstrike w:val="0"/>
      <w:color w:val="FF0000"/>
      <w:sz w:val="22"/>
      <w:vertAlign w:val="baseline"/>
    </w:rPr>
  </w:style>
  <w:style w:type="paragraph" w:customStyle="1" w:styleId="FigureLabel">
    <w:name w:val="Figure Label"/>
    <w:basedOn w:val="Normal"/>
    <w:next w:val="NormalIndent"/>
    <w:rsid w:val="006F29A8"/>
    <w:pPr>
      <w:spacing w:before="120" w:after="240"/>
      <w:jc w:val="center"/>
    </w:pPr>
  </w:style>
  <w:style w:type="paragraph" w:styleId="NormalIndent">
    <w:name w:val="Normal Indent"/>
    <w:basedOn w:val="Normal"/>
    <w:link w:val="NormalIndentChar"/>
    <w:uiPriority w:val="99"/>
    <w:rsid w:val="006F29A8"/>
    <w:pPr>
      <w:ind w:firstLine="360"/>
    </w:pPr>
  </w:style>
  <w:style w:type="paragraph" w:customStyle="1" w:styleId="FigureLabelMultiline">
    <w:name w:val="Figure Label Multiline"/>
    <w:basedOn w:val="FigureLabel"/>
    <w:next w:val="NormalIndent"/>
    <w:rsid w:val="006F29A8"/>
    <w:pPr>
      <w:jc w:val="both"/>
    </w:pPr>
  </w:style>
  <w:style w:type="character" w:styleId="FollowedHyperlink">
    <w:name w:val="FollowedHyperlink"/>
    <w:rsid w:val="006F29A8"/>
    <w:rPr>
      <w:color w:val="800080"/>
      <w:u w:val="single"/>
    </w:rPr>
  </w:style>
  <w:style w:type="paragraph" w:styleId="Footer">
    <w:name w:val="footer"/>
    <w:basedOn w:val="Normal"/>
    <w:link w:val="FooterChar"/>
    <w:rsid w:val="006F29A8"/>
    <w:pPr>
      <w:tabs>
        <w:tab w:val="center" w:pos="4320"/>
        <w:tab w:val="right" w:pos="8640"/>
      </w:tabs>
    </w:pPr>
  </w:style>
  <w:style w:type="character" w:customStyle="1" w:styleId="FooterChar">
    <w:name w:val="Footer Char"/>
    <w:basedOn w:val="DefaultParagraphFont"/>
    <w:link w:val="Footer"/>
    <w:rsid w:val="006F29A8"/>
    <w:rPr>
      <w:rFonts w:ascii="Times New Roman" w:eastAsiaTheme="minorEastAsia" w:hAnsi="Times New Roman" w:cs="Times New Roman"/>
      <w:snapToGrid w:val="0"/>
      <w:sz w:val="22"/>
      <w:szCs w:val="20"/>
    </w:rPr>
  </w:style>
  <w:style w:type="paragraph" w:styleId="Header">
    <w:name w:val="header"/>
    <w:basedOn w:val="Normal"/>
    <w:link w:val="HeaderChar"/>
    <w:rsid w:val="006F29A8"/>
    <w:pPr>
      <w:tabs>
        <w:tab w:val="center" w:pos="4320"/>
        <w:tab w:val="right" w:pos="8640"/>
      </w:tabs>
    </w:pPr>
  </w:style>
  <w:style w:type="character" w:customStyle="1" w:styleId="HeaderChar">
    <w:name w:val="Header Char"/>
    <w:basedOn w:val="DefaultParagraphFont"/>
    <w:link w:val="Header"/>
    <w:rsid w:val="006F29A8"/>
    <w:rPr>
      <w:rFonts w:ascii="Times New Roman" w:eastAsiaTheme="minorEastAsia" w:hAnsi="Times New Roman" w:cs="Times New Roman"/>
      <w:snapToGrid w:val="0"/>
      <w:sz w:val="22"/>
      <w:szCs w:val="20"/>
    </w:rPr>
  </w:style>
  <w:style w:type="character" w:customStyle="1" w:styleId="Heading7Char">
    <w:name w:val="Heading 7 Char"/>
    <w:basedOn w:val="DefaultParagraphFont"/>
    <w:link w:val="Heading7"/>
    <w:rsid w:val="006F29A8"/>
    <w:rPr>
      <w:rFonts w:ascii="Times New Roman" w:eastAsiaTheme="minorEastAsia" w:hAnsi="Times New Roman" w:cs="Times New Roman"/>
      <w:b/>
      <w:snapToGrid w:val="0"/>
      <w:sz w:val="22"/>
      <w:szCs w:val="20"/>
    </w:rPr>
  </w:style>
  <w:style w:type="character" w:customStyle="1" w:styleId="Heading8Char">
    <w:name w:val="Heading 8 Char"/>
    <w:basedOn w:val="DefaultParagraphFont"/>
    <w:link w:val="Heading8"/>
    <w:rsid w:val="006F29A8"/>
    <w:rPr>
      <w:rFonts w:ascii="Times New Roman" w:eastAsiaTheme="minorEastAsia" w:hAnsi="Times New Roman" w:cs="Times New Roman"/>
      <w:b/>
      <w:snapToGrid w:val="0"/>
      <w:sz w:val="22"/>
      <w:szCs w:val="20"/>
    </w:rPr>
  </w:style>
  <w:style w:type="character" w:customStyle="1" w:styleId="Heading9Char">
    <w:name w:val="Heading 9 Char"/>
    <w:basedOn w:val="DefaultParagraphFont"/>
    <w:link w:val="Heading9"/>
    <w:rsid w:val="006F29A8"/>
    <w:rPr>
      <w:rFonts w:ascii="Times New Roman" w:eastAsiaTheme="minorEastAsia" w:hAnsi="Times New Roman" w:cs="Times New Roman"/>
      <w:b/>
      <w:snapToGrid w:val="0"/>
      <w:sz w:val="22"/>
      <w:szCs w:val="20"/>
    </w:rPr>
  </w:style>
  <w:style w:type="paragraph" w:styleId="HTMLAddress">
    <w:name w:val="HTML Address"/>
    <w:basedOn w:val="Normal"/>
    <w:link w:val="HTMLAddressChar"/>
    <w:rsid w:val="006F29A8"/>
    <w:rPr>
      <w:i/>
      <w:iCs/>
    </w:rPr>
  </w:style>
  <w:style w:type="character" w:customStyle="1" w:styleId="HTMLAddressChar">
    <w:name w:val="HTML Address Char"/>
    <w:basedOn w:val="DefaultParagraphFont"/>
    <w:link w:val="HTMLAddress"/>
    <w:rsid w:val="006F29A8"/>
    <w:rPr>
      <w:rFonts w:ascii="Times New Roman" w:eastAsiaTheme="minorEastAsia" w:hAnsi="Times New Roman" w:cs="Times New Roman"/>
      <w:i/>
      <w:iCs/>
      <w:snapToGrid w:val="0"/>
      <w:sz w:val="22"/>
      <w:szCs w:val="20"/>
    </w:rPr>
  </w:style>
  <w:style w:type="character" w:styleId="HTMLCode">
    <w:name w:val="HTML Code"/>
    <w:uiPriority w:val="99"/>
    <w:unhideWhenUsed/>
    <w:rsid w:val="006F29A8"/>
    <w:rPr>
      <w:rFonts w:ascii="Courier New" w:eastAsia="Times New Roman" w:hAnsi="Courier New" w:cs="Courier New"/>
      <w:sz w:val="20"/>
      <w:szCs w:val="20"/>
    </w:rPr>
  </w:style>
  <w:style w:type="paragraph" w:styleId="HTMLPreformatted">
    <w:name w:val="HTML Preformatted"/>
    <w:basedOn w:val="Normal"/>
    <w:link w:val="HTMLPreformattedChar"/>
    <w:rsid w:val="006F29A8"/>
    <w:rPr>
      <w:rFonts w:ascii="Courier New" w:hAnsi="Courier New" w:cs="Courier New"/>
    </w:rPr>
  </w:style>
  <w:style w:type="character" w:customStyle="1" w:styleId="HTMLPreformattedChar">
    <w:name w:val="HTML Preformatted Char"/>
    <w:basedOn w:val="DefaultParagraphFont"/>
    <w:link w:val="HTMLPreformatted"/>
    <w:rsid w:val="006F29A8"/>
    <w:rPr>
      <w:rFonts w:ascii="Courier New" w:eastAsiaTheme="minorEastAsia" w:hAnsi="Courier New" w:cs="Courier New"/>
      <w:snapToGrid w:val="0"/>
      <w:sz w:val="22"/>
      <w:szCs w:val="20"/>
    </w:rPr>
  </w:style>
  <w:style w:type="paragraph" w:styleId="Index1">
    <w:name w:val="index 1"/>
    <w:basedOn w:val="Normal"/>
    <w:next w:val="Normal"/>
    <w:autoRedefine/>
    <w:semiHidden/>
    <w:rsid w:val="006F29A8"/>
    <w:pPr>
      <w:ind w:left="200" w:hanging="200"/>
    </w:pPr>
  </w:style>
  <w:style w:type="paragraph" w:styleId="Index2">
    <w:name w:val="index 2"/>
    <w:basedOn w:val="Normal"/>
    <w:next w:val="Normal"/>
    <w:autoRedefine/>
    <w:rsid w:val="006F29A8"/>
    <w:pPr>
      <w:ind w:left="400" w:hanging="200"/>
    </w:pPr>
  </w:style>
  <w:style w:type="paragraph" w:styleId="Index3">
    <w:name w:val="index 3"/>
    <w:basedOn w:val="Normal"/>
    <w:next w:val="Normal"/>
    <w:autoRedefine/>
    <w:rsid w:val="006F29A8"/>
    <w:pPr>
      <w:ind w:left="600" w:hanging="200"/>
    </w:pPr>
  </w:style>
  <w:style w:type="paragraph" w:styleId="Index4">
    <w:name w:val="index 4"/>
    <w:basedOn w:val="Normal"/>
    <w:next w:val="Normal"/>
    <w:autoRedefine/>
    <w:rsid w:val="006F29A8"/>
    <w:pPr>
      <w:ind w:left="800" w:hanging="200"/>
    </w:pPr>
  </w:style>
  <w:style w:type="paragraph" w:styleId="Index5">
    <w:name w:val="index 5"/>
    <w:basedOn w:val="Normal"/>
    <w:next w:val="Normal"/>
    <w:autoRedefine/>
    <w:rsid w:val="006F29A8"/>
    <w:pPr>
      <w:ind w:left="1000" w:hanging="200"/>
    </w:pPr>
  </w:style>
  <w:style w:type="paragraph" w:styleId="Index6">
    <w:name w:val="index 6"/>
    <w:basedOn w:val="Normal"/>
    <w:next w:val="Normal"/>
    <w:autoRedefine/>
    <w:rsid w:val="006F29A8"/>
    <w:pPr>
      <w:ind w:left="1200" w:hanging="200"/>
    </w:pPr>
  </w:style>
  <w:style w:type="paragraph" w:styleId="Index7">
    <w:name w:val="index 7"/>
    <w:basedOn w:val="Normal"/>
    <w:next w:val="Normal"/>
    <w:autoRedefine/>
    <w:semiHidden/>
    <w:rsid w:val="006F29A8"/>
    <w:pPr>
      <w:ind w:left="1400" w:hanging="200"/>
    </w:pPr>
  </w:style>
  <w:style w:type="paragraph" w:styleId="Index8">
    <w:name w:val="index 8"/>
    <w:basedOn w:val="Normal"/>
    <w:next w:val="Normal"/>
    <w:autoRedefine/>
    <w:semiHidden/>
    <w:rsid w:val="006F29A8"/>
    <w:pPr>
      <w:ind w:left="1600" w:hanging="200"/>
    </w:pPr>
  </w:style>
  <w:style w:type="paragraph" w:styleId="Index9">
    <w:name w:val="index 9"/>
    <w:basedOn w:val="Normal"/>
    <w:next w:val="Normal"/>
    <w:autoRedefine/>
    <w:semiHidden/>
    <w:rsid w:val="006F29A8"/>
    <w:pPr>
      <w:ind w:left="1800" w:hanging="200"/>
    </w:pPr>
  </w:style>
  <w:style w:type="paragraph" w:styleId="IndexHeading">
    <w:name w:val="index heading"/>
    <w:basedOn w:val="Normal"/>
    <w:next w:val="Index1"/>
    <w:semiHidden/>
    <w:rsid w:val="006F29A8"/>
    <w:rPr>
      <w:rFonts w:ascii="Arial" w:hAnsi="Arial" w:cs="Arial"/>
      <w:b/>
      <w:bCs/>
    </w:rPr>
  </w:style>
  <w:style w:type="paragraph" w:styleId="List">
    <w:name w:val="List"/>
    <w:basedOn w:val="Normal"/>
    <w:rsid w:val="006F29A8"/>
    <w:pPr>
      <w:ind w:left="360" w:hanging="360"/>
    </w:pPr>
  </w:style>
  <w:style w:type="paragraph" w:styleId="List2">
    <w:name w:val="List 2"/>
    <w:basedOn w:val="Normal"/>
    <w:rsid w:val="006F29A8"/>
    <w:pPr>
      <w:ind w:left="720" w:hanging="360"/>
    </w:pPr>
  </w:style>
  <w:style w:type="paragraph" w:styleId="List3">
    <w:name w:val="List 3"/>
    <w:basedOn w:val="Normal"/>
    <w:rsid w:val="006F29A8"/>
    <w:pPr>
      <w:ind w:left="1080" w:hanging="360"/>
    </w:pPr>
  </w:style>
  <w:style w:type="paragraph" w:styleId="List4">
    <w:name w:val="List 4"/>
    <w:basedOn w:val="Normal"/>
    <w:rsid w:val="006F29A8"/>
    <w:pPr>
      <w:ind w:left="1440" w:hanging="360"/>
    </w:pPr>
  </w:style>
  <w:style w:type="paragraph" w:styleId="List5">
    <w:name w:val="List 5"/>
    <w:basedOn w:val="Normal"/>
    <w:rsid w:val="006F29A8"/>
    <w:pPr>
      <w:ind w:left="1800" w:hanging="360"/>
    </w:pPr>
  </w:style>
  <w:style w:type="paragraph" w:styleId="ListBullet">
    <w:name w:val="List Bullet"/>
    <w:basedOn w:val="Normal"/>
    <w:autoRedefine/>
    <w:rsid w:val="006F29A8"/>
    <w:pPr>
      <w:numPr>
        <w:numId w:val="22"/>
      </w:numPr>
    </w:pPr>
  </w:style>
  <w:style w:type="paragraph" w:styleId="ListBullet2">
    <w:name w:val="List Bullet 2"/>
    <w:basedOn w:val="Normal"/>
    <w:autoRedefine/>
    <w:rsid w:val="006F29A8"/>
    <w:pPr>
      <w:numPr>
        <w:numId w:val="24"/>
      </w:numPr>
    </w:pPr>
  </w:style>
  <w:style w:type="paragraph" w:styleId="ListBullet3">
    <w:name w:val="List Bullet 3"/>
    <w:basedOn w:val="Normal"/>
    <w:autoRedefine/>
    <w:rsid w:val="006F29A8"/>
    <w:pPr>
      <w:numPr>
        <w:numId w:val="26"/>
      </w:numPr>
    </w:pPr>
  </w:style>
  <w:style w:type="paragraph" w:styleId="ListBullet4">
    <w:name w:val="List Bullet 4"/>
    <w:basedOn w:val="Normal"/>
    <w:autoRedefine/>
    <w:rsid w:val="006F29A8"/>
    <w:pPr>
      <w:numPr>
        <w:numId w:val="28"/>
      </w:numPr>
    </w:pPr>
  </w:style>
  <w:style w:type="paragraph" w:styleId="ListBullet5">
    <w:name w:val="List Bullet 5"/>
    <w:basedOn w:val="Normal"/>
    <w:autoRedefine/>
    <w:rsid w:val="006F29A8"/>
    <w:pPr>
      <w:numPr>
        <w:numId w:val="30"/>
      </w:numPr>
    </w:pPr>
  </w:style>
  <w:style w:type="paragraph" w:customStyle="1" w:styleId="ListBulleted">
    <w:name w:val="List Bulleted"/>
    <w:basedOn w:val="Normal"/>
    <w:rsid w:val="006F29A8"/>
    <w:pPr>
      <w:numPr>
        <w:numId w:val="31"/>
      </w:numPr>
    </w:pPr>
  </w:style>
  <w:style w:type="paragraph" w:styleId="ListContinue">
    <w:name w:val="List Continue"/>
    <w:basedOn w:val="Normal"/>
    <w:rsid w:val="006F29A8"/>
    <w:pPr>
      <w:spacing w:after="120"/>
      <w:ind w:left="360"/>
    </w:pPr>
  </w:style>
  <w:style w:type="paragraph" w:styleId="ListContinue2">
    <w:name w:val="List Continue 2"/>
    <w:basedOn w:val="Normal"/>
    <w:rsid w:val="006F29A8"/>
    <w:pPr>
      <w:spacing w:after="120"/>
      <w:ind w:left="720"/>
    </w:pPr>
  </w:style>
  <w:style w:type="paragraph" w:styleId="ListContinue3">
    <w:name w:val="List Continue 3"/>
    <w:basedOn w:val="Normal"/>
    <w:rsid w:val="006F29A8"/>
    <w:pPr>
      <w:spacing w:after="120"/>
      <w:ind w:left="1080"/>
    </w:pPr>
  </w:style>
  <w:style w:type="paragraph" w:styleId="ListContinue4">
    <w:name w:val="List Continue 4"/>
    <w:basedOn w:val="Normal"/>
    <w:rsid w:val="006F29A8"/>
    <w:pPr>
      <w:spacing w:after="120"/>
      <w:ind w:left="1440"/>
    </w:pPr>
  </w:style>
  <w:style w:type="paragraph" w:styleId="ListContinue5">
    <w:name w:val="List Continue 5"/>
    <w:basedOn w:val="Normal"/>
    <w:rsid w:val="006F29A8"/>
    <w:pPr>
      <w:spacing w:after="120"/>
      <w:ind w:left="1800"/>
    </w:pPr>
  </w:style>
  <w:style w:type="paragraph" w:customStyle="1" w:styleId="Listenum">
    <w:name w:val="List enum"/>
    <w:basedOn w:val="Normal"/>
    <w:rsid w:val="006F29A8"/>
    <w:pPr>
      <w:numPr>
        <w:numId w:val="32"/>
      </w:numPr>
    </w:pPr>
  </w:style>
  <w:style w:type="paragraph" w:styleId="ListNumber">
    <w:name w:val="List Number"/>
    <w:basedOn w:val="Normal"/>
    <w:rsid w:val="006F29A8"/>
    <w:pPr>
      <w:numPr>
        <w:numId w:val="34"/>
      </w:numPr>
    </w:pPr>
  </w:style>
  <w:style w:type="paragraph" w:styleId="ListNumber2">
    <w:name w:val="List Number 2"/>
    <w:basedOn w:val="Normal"/>
    <w:rsid w:val="006F29A8"/>
    <w:pPr>
      <w:numPr>
        <w:numId w:val="36"/>
      </w:numPr>
    </w:pPr>
  </w:style>
  <w:style w:type="paragraph" w:styleId="ListNumber3">
    <w:name w:val="List Number 3"/>
    <w:basedOn w:val="Normal"/>
    <w:rsid w:val="006F29A8"/>
    <w:pPr>
      <w:numPr>
        <w:numId w:val="38"/>
      </w:numPr>
    </w:pPr>
  </w:style>
  <w:style w:type="paragraph" w:styleId="ListNumber4">
    <w:name w:val="List Number 4"/>
    <w:basedOn w:val="Normal"/>
    <w:rsid w:val="006F29A8"/>
    <w:pPr>
      <w:numPr>
        <w:numId w:val="40"/>
      </w:numPr>
    </w:pPr>
  </w:style>
  <w:style w:type="paragraph" w:styleId="ListNumber5">
    <w:name w:val="List Number 5"/>
    <w:basedOn w:val="Normal"/>
    <w:rsid w:val="006F29A8"/>
    <w:pPr>
      <w:numPr>
        <w:numId w:val="42"/>
      </w:numPr>
    </w:pPr>
  </w:style>
  <w:style w:type="paragraph" w:styleId="ListParagraph">
    <w:name w:val="List Paragraph"/>
    <w:basedOn w:val="Normal"/>
    <w:uiPriority w:val="72"/>
    <w:rsid w:val="006F29A8"/>
    <w:pPr>
      <w:ind w:left="720"/>
      <w:contextualSpacing/>
    </w:pPr>
  </w:style>
  <w:style w:type="paragraph" w:styleId="MacroText">
    <w:name w:val="macro"/>
    <w:link w:val="MacroTextChar"/>
    <w:semiHidden/>
    <w:rsid w:val="006F29A8"/>
    <w:pPr>
      <w:tabs>
        <w:tab w:val="left" w:pos="480"/>
        <w:tab w:val="left" w:pos="960"/>
        <w:tab w:val="left" w:pos="1440"/>
        <w:tab w:val="left" w:pos="1920"/>
        <w:tab w:val="left" w:pos="2400"/>
        <w:tab w:val="left" w:pos="2880"/>
        <w:tab w:val="left" w:pos="3360"/>
        <w:tab w:val="left" w:pos="3840"/>
        <w:tab w:val="left" w:pos="4320"/>
      </w:tabs>
      <w:spacing w:after="0"/>
      <w:jc w:val="both"/>
    </w:pPr>
    <w:rPr>
      <w:rFonts w:ascii="Courier New" w:eastAsiaTheme="minorEastAsia" w:hAnsi="Courier New" w:cs="Courier New"/>
      <w:snapToGrid w:val="0"/>
      <w:sz w:val="20"/>
      <w:szCs w:val="20"/>
    </w:rPr>
  </w:style>
  <w:style w:type="character" w:customStyle="1" w:styleId="MacroTextChar">
    <w:name w:val="Macro Text Char"/>
    <w:basedOn w:val="DefaultParagraphFont"/>
    <w:link w:val="MacroText"/>
    <w:semiHidden/>
    <w:rsid w:val="006F29A8"/>
    <w:rPr>
      <w:rFonts w:ascii="Courier New" w:eastAsiaTheme="minorEastAsia" w:hAnsi="Courier New" w:cs="Courier New"/>
      <w:snapToGrid w:val="0"/>
      <w:sz w:val="20"/>
      <w:szCs w:val="20"/>
    </w:rPr>
  </w:style>
  <w:style w:type="paragraph" w:customStyle="1" w:styleId="MediumGrid21">
    <w:name w:val="Medium Grid 21"/>
    <w:uiPriority w:val="1"/>
    <w:qFormat/>
    <w:rsid w:val="006F29A8"/>
    <w:pPr>
      <w:tabs>
        <w:tab w:val="left" w:pos="360"/>
        <w:tab w:val="left" w:pos="720"/>
        <w:tab w:val="left" w:pos="1080"/>
      </w:tabs>
      <w:spacing w:after="0"/>
      <w:jc w:val="both"/>
    </w:pPr>
    <w:rPr>
      <w:rFonts w:ascii="Times New Roman" w:eastAsiaTheme="minorEastAsia" w:hAnsi="Times New Roman" w:cs="Times New Roman"/>
      <w:snapToGrid w:val="0"/>
      <w:sz w:val="22"/>
      <w:szCs w:val="20"/>
    </w:rPr>
  </w:style>
  <w:style w:type="paragraph" w:styleId="MessageHeader">
    <w:name w:val="Message Header"/>
    <w:basedOn w:val="Normal"/>
    <w:link w:val="MessageHeaderChar"/>
    <w:rsid w:val="006F29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6F29A8"/>
    <w:rPr>
      <w:rFonts w:ascii="Arial" w:eastAsiaTheme="minorEastAsia" w:hAnsi="Arial" w:cs="Arial"/>
      <w:snapToGrid w:val="0"/>
      <w:shd w:val="pct20" w:color="auto" w:fill="auto"/>
    </w:rPr>
  </w:style>
  <w:style w:type="paragraph" w:styleId="NormalWeb">
    <w:name w:val="Normal (Web)"/>
    <w:basedOn w:val="Normal"/>
    <w:rsid w:val="006F29A8"/>
    <w:rPr>
      <w:sz w:val="24"/>
      <w:szCs w:val="24"/>
    </w:rPr>
  </w:style>
  <w:style w:type="character" w:customStyle="1" w:styleId="NormalIndentChar">
    <w:name w:val="Normal Indent Char"/>
    <w:link w:val="NormalIndent"/>
    <w:uiPriority w:val="99"/>
    <w:rsid w:val="006F29A8"/>
    <w:rPr>
      <w:rFonts w:ascii="Times New Roman" w:eastAsiaTheme="minorEastAsia" w:hAnsi="Times New Roman" w:cs="Times New Roman"/>
      <w:snapToGrid w:val="0"/>
      <w:sz w:val="22"/>
      <w:szCs w:val="20"/>
    </w:rPr>
  </w:style>
  <w:style w:type="paragraph" w:styleId="NoteHeading">
    <w:name w:val="Note Heading"/>
    <w:basedOn w:val="Normal"/>
    <w:next w:val="Normal"/>
    <w:link w:val="NoteHeadingChar"/>
    <w:rsid w:val="006F29A8"/>
  </w:style>
  <w:style w:type="character" w:customStyle="1" w:styleId="NoteHeadingChar">
    <w:name w:val="Note Heading Char"/>
    <w:basedOn w:val="DefaultParagraphFont"/>
    <w:link w:val="NoteHeading"/>
    <w:rsid w:val="006F29A8"/>
    <w:rPr>
      <w:rFonts w:ascii="Times New Roman" w:eastAsiaTheme="minorEastAsia" w:hAnsi="Times New Roman" w:cs="Times New Roman"/>
      <w:snapToGrid w:val="0"/>
      <w:sz w:val="22"/>
      <w:szCs w:val="20"/>
    </w:rPr>
  </w:style>
  <w:style w:type="paragraph" w:styleId="PlainText">
    <w:name w:val="Plain Text"/>
    <w:basedOn w:val="Normal"/>
    <w:link w:val="PlainTextChar"/>
    <w:rsid w:val="006F29A8"/>
    <w:rPr>
      <w:rFonts w:ascii="Courier New" w:hAnsi="Courier New" w:cs="Courier New"/>
    </w:rPr>
  </w:style>
  <w:style w:type="character" w:customStyle="1" w:styleId="PlainTextChar">
    <w:name w:val="Plain Text Char"/>
    <w:basedOn w:val="DefaultParagraphFont"/>
    <w:link w:val="PlainText"/>
    <w:rsid w:val="006F29A8"/>
    <w:rPr>
      <w:rFonts w:ascii="Courier New" w:eastAsiaTheme="minorEastAsia" w:hAnsi="Courier New" w:cs="Courier New"/>
      <w:snapToGrid w:val="0"/>
      <w:sz w:val="22"/>
      <w:szCs w:val="20"/>
    </w:rPr>
  </w:style>
  <w:style w:type="paragraph" w:customStyle="1" w:styleId="Program">
    <w:name w:val="Program"/>
    <w:basedOn w:val="Normal"/>
    <w:rsid w:val="006F29A8"/>
    <w:pPr>
      <w:ind w:left="360"/>
    </w:pPr>
    <w:rPr>
      <w:rFonts w:ascii="Courier New" w:hAnsi="Courier New"/>
      <w:sz w:val="18"/>
    </w:rPr>
  </w:style>
  <w:style w:type="paragraph" w:customStyle="1" w:styleId="ProgramBoth">
    <w:name w:val="ProgramBoth"/>
    <w:basedOn w:val="Normal"/>
    <w:rsid w:val="006F29A8"/>
    <w:pPr>
      <w:spacing w:after="40"/>
      <w:ind w:left="360"/>
    </w:pPr>
    <w:rPr>
      <w:rFonts w:ascii="Courier New" w:hAnsi="Courier New"/>
      <w:sz w:val="18"/>
    </w:rPr>
  </w:style>
  <w:style w:type="paragraph" w:customStyle="1" w:styleId="ProgramEnd">
    <w:name w:val="ProgramEnd"/>
    <w:basedOn w:val="Program"/>
    <w:rsid w:val="006F29A8"/>
    <w:pPr>
      <w:spacing w:after="40"/>
    </w:pPr>
  </w:style>
  <w:style w:type="paragraph" w:customStyle="1" w:styleId="ProgramStart">
    <w:name w:val="ProgramStart"/>
    <w:basedOn w:val="Program"/>
    <w:rsid w:val="006F29A8"/>
  </w:style>
  <w:style w:type="paragraph" w:customStyle="1" w:styleId="Reference">
    <w:name w:val="Reference"/>
    <w:basedOn w:val="Normal"/>
    <w:rsid w:val="006F29A8"/>
    <w:pPr>
      <w:ind w:left="360" w:hanging="360"/>
    </w:pPr>
  </w:style>
  <w:style w:type="paragraph" w:styleId="Salutation">
    <w:name w:val="Salutation"/>
    <w:basedOn w:val="Normal"/>
    <w:next w:val="Normal"/>
    <w:link w:val="SalutationChar"/>
    <w:rsid w:val="006F29A8"/>
  </w:style>
  <w:style w:type="character" w:customStyle="1" w:styleId="SalutationChar">
    <w:name w:val="Salutation Char"/>
    <w:basedOn w:val="DefaultParagraphFont"/>
    <w:link w:val="Salutation"/>
    <w:rsid w:val="006F29A8"/>
    <w:rPr>
      <w:rFonts w:ascii="Times New Roman" w:eastAsiaTheme="minorEastAsia" w:hAnsi="Times New Roman" w:cs="Times New Roman"/>
      <w:snapToGrid w:val="0"/>
      <w:sz w:val="22"/>
      <w:szCs w:val="20"/>
    </w:rPr>
  </w:style>
  <w:style w:type="paragraph" w:styleId="Signature">
    <w:name w:val="Signature"/>
    <w:basedOn w:val="Normal"/>
    <w:link w:val="SignatureChar"/>
    <w:rsid w:val="006F29A8"/>
    <w:pPr>
      <w:ind w:left="4320"/>
    </w:pPr>
  </w:style>
  <w:style w:type="character" w:customStyle="1" w:styleId="SignatureChar">
    <w:name w:val="Signature Char"/>
    <w:basedOn w:val="DefaultParagraphFont"/>
    <w:link w:val="Signature"/>
    <w:rsid w:val="006F29A8"/>
    <w:rPr>
      <w:rFonts w:ascii="Times New Roman" w:eastAsiaTheme="minorEastAsia" w:hAnsi="Times New Roman" w:cs="Times New Roman"/>
      <w:snapToGrid w:val="0"/>
      <w:sz w:val="22"/>
      <w:szCs w:val="20"/>
    </w:rPr>
  </w:style>
  <w:style w:type="character" w:customStyle="1" w:styleId="style91">
    <w:name w:val="style91"/>
    <w:rsid w:val="006F29A8"/>
    <w:rPr>
      <w:sz w:val="24"/>
      <w:szCs w:val="24"/>
    </w:rPr>
  </w:style>
  <w:style w:type="table" w:styleId="TableGrid">
    <w:name w:val="Table Grid"/>
    <w:basedOn w:val="TableNormal"/>
    <w:rsid w:val="006F29A8"/>
    <w:pPr>
      <w:tabs>
        <w:tab w:val="left" w:pos="360"/>
        <w:tab w:val="left" w:pos="720"/>
        <w:tab w:val="left" w:pos="1080"/>
      </w:tabs>
      <w:spacing w:after="0"/>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abel">
    <w:name w:val="Table Label"/>
    <w:basedOn w:val="FigureLabel"/>
    <w:rsid w:val="006F29A8"/>
    <w:pPr>
      <w:spacing w:before="240" w:after="120"/>
    </w:pPr>
  </w:style>
  <w:style w:type="paragraph" w:customStyle="1" w:styleId="TableLabelMultiline">
    <w:name w:val="Table Label Multiline"/>
    <w:basedOn w:val="TableLabel"/>
    <w:rsid w:val="006F29A8"/>
    <w:pPr>
      <w:jc w:val="both"/>
    </w:pPr>
  </w:style>
  <w:style w:type="paragraph" w:styleId="TableofAuthorities">
    <w:name w:val="table of authorities"/>
    <w:basedOn w:val="Normal"/>
    <w:next w:val="Normal"/>
    <w:semiHidden/>
    <w:rsid w:val="006F29A8"/>
    <w:pPr>
      <w:tabs>
        <w:tab w:val="clear" w:pos="360"/>
        <w:tab w:val="clear" w:pos="720"/>
        <w:tab w:val="clear" w:pos="1080"/>
      </w:tabs>
      <w:ind w:left="200" w:hanging="200"/>
    </w:pPr>
  </w:style>
  <w:style w:type="paragraph" w:styleId="TableofFigures">
    <w:name w:val="table of figures"/>
    <w:basedOn w:val="Normal"/>
    <w:next w:val="Normal"/>
    <w:semiHidden/>
    <w:rsid w:val="006F29A8"/>
    <w:pPr>
      <w:tabs>
        <w:tab w:val="clear" w:pos="360"/>
        <w:tab w:val="clear" w:pos="720"/>
        <w:tab w:val="clear" w:pos="1080"/>
      </w:tabs>
      <w:ind w:left="400" w:hanging="400"/>
    </w:pPr>
  </w:style>
  <w:style w:type="paragraph" w:styleId="TOAHeading">
    <w:name w:val="toa heading"/>
    <w:basedOn w:val="Normal"/>
    <w:next w:val="Normal"/>
    <w:semiHidden/>
    <w:rsid w:val="006F29A8"/>
    <w:pPr>
      <w:spacing w:before="120"/>
    </w:pPr>
    <w:rPr>
      <w:rFonts w:ascii="Arial" w:hAnsi="Arial" w:cs="Arial"/>
      <w:b/>
      <w:bCs/>
      <w:sz w:val="24"/>
      <w:szCs w:val="24"/>
    </w:rPr>
  </w:style>
  <w:style w:type="paragraph" w:styleId="TOC1">
    <w:name w:val="toc 1"/>
    <w:basedOn w:val="Normal"/>
    <w:next w:val="Normal"/>
    <w:autoRedefine/>
    <w:semiHidden/>
    <w:rsid w:val="006F29A8"/>
    <w:pPr>
      <w:tabs>
        <w:tab w:val="clear" w:pos="360"/>
        <w:tab w:val="clear" w:pos="720"/>
        <w:tab w:val="clear" w:pos="1080"/>
      </w:tabs>
    </w:pPr>
  </w:style>
  <w:style w:type="paragraph" w:styleId="TOC2">
    <w:name w:val="toc 2"/>
    <w:basedOn w:val="Normal"/>
    <w:next w:val="Normal"/>
    <w:autoRedefine/>
    <w:semiHidden/>
    <w:rsid w:val="006F29A8"/>
    <w:pPr>
      <w:tabs>
        <w:tab w:val="clear" w:pos="360"/>
        <w:tab w:val="clear" w:pos="720"/>
        <w:tab w:val="clear" w:pos="1080"/>
      </w:tabs>
      <w:ind w:left="200"/>
    </w:pPr>
  </w:style>
  <w:style w:type="paragraph" w:styleId="TOC3">
    <w:name w:val="toc 3"/>
    <w:basedOn w:val="Normal"/>
    <w:next w:val="Normal"/>
    <w:autoRedefine/>
    <w:semiHidden/>
    <w:rsid w:val="006F29A8"/>
    <w:pPr>
      <w:tabs>
        <w:tab w:val="clear" w:pos="360"/>
        <w:tab w:val="clear" w:pos="720"/>
        <w:tab w:val="clear" w:pos="1080"/>
      </w:tabs>
      <w:ind w:left="400"/>
    </w:pPr>
  </w:style>
  <w:style w:type="paragraph" w:styleId="TOC4">
    <w:name w:val="toc 4"/>
    <w:basedOn w:val="Normal"/>
    <w:next w:val="Normal"/>
    <w:autoRedefine/>
    <w:semiHidden/>
    <w:rsid w:val="006F29A8"/>
    <w:pPr>
      <w:tabs>
        <w:tab w:val="clear" w:pos="360"/>
        <w:tab w:val="clear" w:pos="720"/>
        <w:tab w:val="clear" w:pos="1080"/>
      </w:tabs>
      <w:ind w:left="600"/>
    </w:pPr>
  </w:style>
  <w:style w:type="paragraph" w:styleId="TOC5">
    <w:name w:val="toc 5"/>
    <w:basedOn w:val="Normal"/>
    <w:next w:val="Normal"/>
    <w:autoRedefine/>
    <w:semiHidden/>
    <w:rsid w:val="006F29A8"/>
    <w:pPr>
      <w:tabs>
        <w:tab w:val="clear" w:pos="360"/>
        <w:tab w:val="clear" w:pos="720"/>
        <w:tab w:val="clear" w:pos="1080"/>
      </w:tabs>
      <w:ind w:left="800"/>
    </w:pPr>
  </w:style>
  <w:style w:type="paragraph" w:styleId="TOC6">
    <w:name w:val="toc 6"/>
    <w:basedOn w:val="Normal"/>
    <w:next w:val="Normal"/>
    <w:autoRedefine/>
    <w:semiHidden/>
    <w:rsid w:val="006F29A8"/>
    <w:pPr>
      <w:tabs>
        <w:tab w:val="clear" w:pos="360"/>
        <w:tab w:val="clear" w:pos="720"/>
        <w:tab w:val="clear" w:pos="1080"/>
      </w:tabs>
      <w:ind w:left="1000"/>
    </w:pPr>
  </w:style>
  <w:style w:type="paragraph" w:styleId="TOC7">
    <w:name w:val="toc 7"/>
    <w:basedOn w:val="Normal"/>
    <w:next w:val="Normal"/>
    <w:autoRedefine/>
    <w:semiHidden/>
    <w:rsid w:val="006F29A8"/>
    <w:pPr>
      <w:tabs>
        <w:tab w:val="clear" w:pos="360"/>
        <w:tab w:val="clear" w:pos="720"/>
        <w:tab w:val="clear" w:pos="1080"/>
      </w:tabs>
      <w:ind w:left="1200"/>
    </w:pPr>
  </w:style>
  <w:style w:type="paragraph" w:styleId="TOC8">
    <w:name w:val="toc 8"/>
    <w:basedOn w:val="Normal"/>
    <w:next w:val="Normal"/>
    <w:autoRedefine/>
    <w:semiHidden/>
    <w:rsid w:val="006F29A8"/>
    <w:pPr>
      <w:tabs>
        <w:tab w:val="clear" w:pos="360"/>
        <w:tab w:val="clear" w:pos="720"/>
        <w:tab w:val="clear" w:pos="1080"/>
      </w:tabs>
      <w:ind w:left="1400"/>
    </w:pPr>
  </w:style>
  <w:style w:type="paragraph" w:styleId="TOC9">
    <w:name w:val="toc 9"/>
    <w:basedOn w:val="Normal"/>
    <w:next w:val="Normal"/>
    <w:autoRedefine/>
    <w:semiHidden/>
    <w:rsid w:val="006F29A8"/>
    <w:pPr>
      <w:tabs>
        <w:tab w:val="clear" w:pos="360"/>
        <w:tab w:val="clear" w:pos="720"/>
        <w:tab w:val="clear" w:pos="1080"/>
      </w:tabs>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ubplj.org/index.php/jpm/article/view/417" TargetMode="External"/><Relationship Id="rId21" Type="http://schemas.openxmlformats.org/officeDocument/2006/relationships/hyperlink" Target="https://doi.org/10.1016/j.jebo.2004.09.011" TargetMode="External"/><Relationship Id="rId22" Type="http://schemas.openxmlformats.org/officeDocument/2006/relationships/hyperlink" Target="https://doi.org/10.1287/mnsc.1100.1226" TargetMode="External"/><Relationship Id="rId23" Type="http://schemas.openxmlformats.org/officeDocument/2006/relationships/hyperlink" Target="http://ubplj.org/index.php/jpm/article/view/889" TargetMode="External"/><Relationship Id="rId24" Type="http://schemas.openxmlformats.org/officeDocument/2006/relationships/hyperlink" Target="http://heinonline.org/HOL/Page?handle=hein.journals/ucollr83\&amp;id=181\&amp;div=\&amp;collection=journals" TargetMode="External"/><Relationship Id="rId25" Type="http://schemas.openxmlformats.org/officeDocument/2006/relationships/hyperlink" Target="https://doi.org/10.1002/int.20471" TargetMode="External"/><Relationship Id="rId26" Type="http://schemas.openxmlformats.org/officeDocument/2006/relationships/hyperlink" Target="http://www.scs-europe.net/conf/ecms2012/ecms2012\%20accepted\%20papers/sdcb_ECMS_0063.pdf" TargetMode="External"/><Relationship Id="rId27" Type="http://schemas.openxmlformats.org/officeDocument/2006/relationships/hyperlink" Target="http://www.iiasa.ac.at/web-apps/tnt/RcpDb" TargetMode="External"/><Relationship Id="rId28" Type="http://schemas.openxmlformats.org/officeDocument/2006/relationships/hyperlink" Target="https://doi.org/10.1016/j.jtbi.2008.04.011" TargetMode="External"/><Relationship Id="rId29" Type="http://schemas.openxmlformats.org/officeDocument/2006/relationships/hyperlink" Target="http://link.springer.com/chapter/10.1007/978-3-642-00207-6_1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5750/jpm.v9i2.1048" TargetMode="External"/><Relationship Id="rId31" Type="http://schemas.openxmlformats.org/officeDocument/2006/relationships/hyperlink" Target="http://cran.r-project.org/web/packages/sensitivity/index.html" TargetMode="External"/><Relationship Id="rId32" Type="http://schemas.openxmlformats.org/officeDocument/2006/relationships/hyperlink" Target="https://doi.org/10.1007/s10584-011-0149-y"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33" Type="http://schemas.openxmlformats.org/officeDocument/2006/relationships/hyperlink" Target="https://doi.org/10.1007/BF01426214" TargetMode="External"/><Relationship Id="rId34" Type="http://schemas.openxmlformats.org/officeDocument/2006/relationships/hyperlink" Target="https://doi.org/10.1029/2005GL023429" TargetMode="External"/><Relationship Id="rId35" Type="http://schemas.openxmlformats.org/officeDocument/2006/relationships/hyperlink" Target="https://doi.org/10.1016/j.physa.2009.12.034" TargetMode="External"/><Relationship Id="rId36" Type="http://schemas.openxmlformats.org/officeDocument/2006/relationships/hyperlink" Target="http://papers.ssrn.com/abstract=2372321" TargetMode="External"/><Relationship Id="rId10" Type="http://schemas.openxmlformats.org/officeDocument/2006/relationships/image" Target="media/image4.png"/><Relationship Id="rId11" Type="http://schemas.openxmlformats.org/officeDocument/2006/relationships/hyperlink" Target="http://johnjnay.com/predictMarket" TargetMode="External"/><Relationship Id="rId12" Type="http://schemas.openxmlformats.org/officeDocument/2006/relationships/hyperlink" Target="https://doi.org/10.3233/AIC-1994-7104" TargetMode="External"/><Relationship Id="rId13" Type="http://schemas.openxmlformats.org/officeDocument/2006/relationships/hyperlink" Target="http://arc.aiaa.org/doi/abs/10.2514/6.2002-1274" TargetMode="External"/><Relationship Id="rId14" Type="http://schemas.openxmlformats.org/officeDocument/2006/relationships/hyperlink" Target="https://doi.org/10.1002/wilj.41" TargetMode="External"/><Relationship Id="rId15" Type="http://schemas.openxmlformats.org/officeDocument/2006/relationships/hyperlink" Target="http://cran.r-project.org/web/packages/lhs/index.html" TargetMode="External"/><Relationship Id="rId16" Type="http://schemas.openxmlformats.org/officeDocument/2006/relationships/hyperlink" Target="https://doi.org/10.1073/pnas.1516179112" TargetMode="External"/><Relationship Id="rId17" Type="http://schemas.openxmlformats.org/officeDocument/2006/relationships/hyperlink" Target="http://www.jstor.org/stable/2138676" TargetMode="External"/><Relationship Id="rId18" Type="http://schemas.openxmlformats.org/officeDocument/2006/relationships/hyperlink" Target="https://doi.org/10.1145/1807342.1807400" TargetMode="External"/><Relationship Id="rId19" Type="http://schemas.openxmlformats.org/officeDocument/2006/relationships/hyperlink" Target="https://doi.org/10.1029/2010RG000345" TargetMode="External"/><Relationship Id="rId37" Type="http://schemas.openxmlformats.org/officeDocument/2006/relationships/hyperlink" Target="http://arxiv.org/abs/1507.04544" TargetMode="External"/><Relationship Id="rId38" Type="http://schemas.openxmlformats.org/officeDocument/2006/relationships/hyperlink" Target="https://doi.org/10.1016/j.newast.2014.07.009" TargetMode="External"/><Relationship Id="rId39" Type="http://schemas.openxmlformats.org/officeDocument/2006/relationships/hyperlink" Target="http://www.nber.org/papers/w12083"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5020</Words>
  <Characters>28618</Characters>
  <Application>Microsoft Macintosh Word</Application>
  <DocSecurity>0</DocSecurity>
  <Lines>238</Lines>
  <Paragraphs>67</Paragraphs>
  <ScaleCrop>false</ScaleCrop>
  <LinksUpToDate>false</LinksUpToDate>
  <CharactersWithSpaces>33571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Betting and Belief: Prediction Markets and Attribution of Climate Change</dc:title>
  <dc:creator>John J. Nay, Martin Van der Linden, Jonathan Gilligan</dc:creator>
  <cp:lastModifiedBy>Microsoft Office User</cp:lastModifiedBy>
  <cp:revision>3</cp:revision>
  <dcterms:created xsi:type="dcterms:W3CDTF">2016-03-26T18:35:00Z</dcterms:created>
  <dcterms:modified xsi:type="dcterms:W3CDTF">2016-03-26T18:37:00Z</dcterms:modified>
</cp:coreProperties>
</file>