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This report is for investigational use only.</w:t>
      </w:r>
    </w:p>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This report is to be interpreted by a qualified and licensed medical practitioner only.</w:t>
      </w:r>
    </w:p>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This report does not constitute medical advice, diagnosis or treatment. Pharmacogenetics is one of the several factors such as age, sex, ethnicity and medical history that determine a patient's response to medication.</w:t>
      </w:r>
    </w:p>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Licensed medical practitioners are trained and qualified to make therapeutic decisions based on patient information and medical history, including the pharmacogenetic report.</w:t>
      </w:r>
    </w:p>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The FDA has recommended pharmacogenetic testing (</w:t>
      </w:r>
      <w:proofErr w:type="spellStart"/>
      <w:r w:rsidRPr="005B18A7">
        <w:rPr>
          <w:rFonts w:ascii="Roboto" w:eastAsia="Times New Roman" w:hAnsi="Roboto" w:cs="Times New Roman"/>
          <w:color w:val="212529"/>
          <w:sz w:val="24"/>
          <w:szCs w:val="24"/>
          <w:lang w:val="en-IN"/>
        </w:rPr>
        <w:t>PGx</w:t>
      </w:r>
      <w:proofErr w:type="spellEnd"/>
      <w:r w:rsidRPr="005B18A7">
        <w:rPr>
          <w:rFonts w:ascii="Roboto" w:eastAsia="Times New Roman" w:hAnsi="Roboto" w:cs="Times New Roman"/>
          <w:color w:val="212529"/>
          <w:sz w:val="24"/>
          <w:szCs w:val="24"/>
          <w:lang w:val="en-IN"/>
        </w:rPr>
        <w:t>) for specific drugs and does not mandate it for routine use in guiding therapeutic definitions.</w:t>
      </w:r>
    </w:p>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Genotyping results do not eliminate the necessity to account for non-genetic factors that can influence dose requirements for medications metabolized by the CYP450 enzymes.</w:t>
      </w:r>
    </w:p>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CYP450 2C9, 2D6, 3A4, 3A5 and VKORC activity is dependent upon hepatic and renal function status.</w:t>
      </w:r>
    </w:p>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The results of testing and dose adjustments in the context of renal and hepatic function should be taken into consideration. CYP450 2C9, 2D6, 3A4, 3A5 and VKORC activity can be altered by</w:t>
      </w:r>
      <w:r>
        <w:rPr>
          <w:rFonts w:ascii="Roboto" w:eastAsia="Times New Roman" w:hAnsi="Roboto" w:cs="Times New Roman"/>
          <w:color w:val="212529"/>
          <w:sz w:val="24"/>
          <w:szCs w:val="24"/>
          <w:lang w:val="en-IN"/>
        </w:rPr>
        <w:t xml:space="preserve"> </w:t>
      </w:r>
      <w:r w:rsidRPr="005B18A7">
        <w:rPr>
          <w:rFonts w:ascii="Roboto" w:eastAsia="Times New Roman" w:hAnsi="Roboto" w:cs="Times New Roman"/>
          <w:color w:val="212529"/>
          <w:sz w:val="24"/>
          <w:szCs w:val="24"/>
          <w:lang w:val="en-IN"/>
        </w:rPr>
        <w:t>co-administration of inhibitors and inducers.</w:t>
      </w:r>
    </w:p>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This assay includes a limited set of polymorphisms that have been found to exist at high frequencies in the target population. It is possible that tested samples carry a mutation that is not included in this panel, in which case the genotype cannot be determined using this assay.</w:t>
      </w:r>
    </w:p>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These assays are carried out by trained individuals and use standard equipment and laboratory designed protocols.</w:t>
      </w:r>
    </w:p>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Possibilities exist for inaccuracies in the reported results for various reasons. Licensed practitioners may reorder tests for reconfirmation of results.</w:t>
      </w:r>
    </w:p>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The below tables show commonly prescribed medications with drug exposure likely to be impacted by the patient’s phenotype indicated. These tables are not all-inclusive and do not account for concomitant medication use.</w:t>
      </w:r>
    </w:p>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Medication dose adjustments reflect the usual starting dose or a maximum daily dose when provided.</w:t>
      </w:r>
    </w:p>
    <w:p w:rsidR="005B18A7" w:rsidRPr="005B18A7" w:rsidRDefault="005B18A7" w:rsidP="005B18A7">
      <w:pPr>
        <w:widowControl/>
        <w:numPr>
          <w:ilvl w:val="0"/>
          <w:numId w:val="1"/>
        </w:numPr>
        <w:shd w:val="clear" w:color="auto" w:fill="FFFFFF"/>
        <w:autoSpaceDE/>
        <w:autoSpaceDN/>
        <w:spacing w:before="100" w:beforeAutospacing="1" w:after="100" w:afterAutospacing="1"/>
        <w:rPr>
          <w:rFonts w:ascii="Roboto" w:eastAsia="Times New Roman" w:hAnsi="Roboto" w:cs="Times New Roman"/>
          <w:color w:val="212529"/>
          <w:sz w:val="24"/>
          <w:szCs w:val="24"/>
          <w:lang w:val="en-IN"/>
        </w:rPr>
      </w:pPr>
      <w:r w:rsidRPr="005B18A7">
        <w:rPr>
          <w:rFonts w:ascii="Roboto" w:eastAsia="Times New Roman" w:hAnsi="Roboto" w:cs="Times New Roman"/>
          <w:color w:val="212529"/>
          <w:sz w:val="24"/>
          <w:szCs w:val="24"/>
          <w:lang w:val="en-IN"/>
        </w:rPr>
        <w:t>Dose adjustments from the literature may have been modified for simplified dose conversion. Dose adjustments and alternative recommendations do not supersede the clinician’s clinical judgment and should be used in the context of the patient’s status.</w:t>
      </w:r>
    </w:p>
    <w:p w:rsidR="005B18A7" w:rsidRPr="005B18A7" w:rsidRDefault="005B18A7" w:rsidP="005B18A7">
      <w:pPr>
        <w:widowControl/>
        <w:shd w:val="clear" w:color="auto" w:fill="FFFFFF"/>
        <w:autoSpaceDE/>
        <w:autoSpaceDN/>
        <w:rPr>
          <w:rFonts w:ascii="Roboto" w:eastAsia="Times New Roman" w:hAnsi="Roboto" w:cs="Times New Roman"/>
          <w:color w:val="212529"/>
          <w:sz w:val="24"/>
          <w:szCs w:val="24"/>
          <w:lang w:val="en-IN"/>
        </w:rPr>
      </w:pPr>
    </w:p>
    <w:p w:rsidR="005B18A7" w:rsidRPr="005B18A7" w:rsidRDefault="005B18A7" w:rsidP="005B18A7">
      <w:pPr>
        <w:widowControl/>
        <w:autoSpaceDE/>
        <w:autoSpaceDN/>
        <w:rPr>
          <w:rFonts w:ascii="Times New Roman" w:eastAsia="Times New Roman" w:hAnsi="Times New Roman" w:cs="Times New Roman"/>
          <w:sz w:val="24"/>
          <w:szCs w:val="24"/>
          <w:lang w:val="en-IN"/>
        </w:rPr>
      </w:pPr>
    </w:p>
    <w:p w:rsidR="00A009AF" w:rsidRDefault="005B18A7">
      <w:bookmarkStart w:id="0" w:name="_GoBack"/>
      <w:bookmarkEnd w:id="0"/>
    </w:p>
    <w:sectPr w:rsidR="00A009AF" w:rsidSect="00C51869">
      <w:type w:val="continuous"/>
      <w:pgSz w:w="12240" w:h="15840"/>
      <w:pgMar w:top="1360" w:right="1340" w:bottom="280" w:left="1340" w:header="737"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20B0604020202020204"/>
    <w:charset w:val="00"/>
    <w:family w:val="auto"/>
    <w:pitch w:val="variable"/>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32619C"/>
    <w:multiLevelType w:val="multilevel"/>
    <w:tmpl w:val="C994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8A7"/>
    <w:rsid w:val="004743EF"/>
    <w:rsid w:val="0049486E"/>
    <w:rsid w:val="005B18A7"/>
    <w:rsid w:val="00722618"/>
    <w:rsid w:val="00AE3665"/>
    <w:rsid w:val="00C51869"/>
    <w:rsid w:val="00D116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A7EAB0"/>
  <w14:defaultImageDpi w14:val="32767"/>
  <w15:chartTrackingRefBased/>
  <w15:docId w15:val="{378ED349-A752-4B43-8ACF-4C74CCBD1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Arial" w:hAnsiTheme="minorHAnsi" w:cstheme="minorBidi"/>
        <w:sz w:val="22"/>
        <w:szCs w:val="22"/>
        <w:lang w:val="en-GB"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51869"/>
    <w:rPr>
      <w:rFonts w:ascii="Arial" w:hAnsi="Arial" w:cs="Arial"/>
    </w:rPr>
  </w:style>
  <w:style w:type="paragraph" w:styleId="Heading1">
    <w:name w:val="heading 1"/>
    <w:basedOn w:val="Normal"/>
    <w:link w:val="Heading1Char"/>
    <w:uiPriority w:val="9"/>
    <w:qFormat/>
    <w:rsid w:val="00C51869"/>
    <w:pPr>
      <w:ind w:left="100"/>
      <w:outlineLvl w:val="0"/>
    </w:pPr>
    <w:rPr>
      <w:b/>
      <w:bCs/>
      <w:sz w:val="28"/>
      <w:szCs w:val="28"/>
    </w:rPr>
  </w:style>
  <w:style w:type="paragraph" w:styleId="Heading2">
    <w:name w:val="heading 2"/>
    <w:basedOn w:val="Normal"/>
    <w:link w:val="Heading2Char"/>
    <w:uiPriority w:val="9"/>
    <w:unhideWhenUsed/>
    <w:qFormat/>
    <w:rsid w:val="00C51869"/>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C51869"/>
  </w:style>
  <w:style w:type="character" w:customStyle="1" w:styleId="Heading1Char">
    <w:name w:val="Heading 1 Char"/>
    <w:basedOn w:val="DefaultParagraphFont"/>
    <w:link w:val="Heading1"/>
    <w:uiPriority w:val="9"/>
    <w:rsid w:val="00C51869"/>
    <w:rPr>
      <w:rFonts w:ascii="Arial" w:eastAsia="Arial" w:hAnsi="Arial" w:cs="Arial"/>
      <w:b/>
      <w:bCs/>
      <w:sz w:val="28"/>
      <w:szCs w:val="28"/>
    </w:rPr>
  </w:style>
  <w:style w:type="character" w:customStyle="1" w:styleId="Heading2Char">
    <w:name w:val="Heading 2 Char"/>
    <w:basedOn w:val="DefaultParagraphFont"/>
    <w:link w:val="Heading2"/>
    <w:uiPriority w:val="9"/>
    <w:rsid w:val="00C51869"/>
    <w:rPr>
      <w:rFonts w:ascii="Arial" w:eastAsia="Arial" w:hAnsi="Arial" w:cs="Arial"/>
      <w:b/>
      <w:bCs/>
    </w:rPr>
  </w:style>
  <w:style w:type="paragraph" w:styleId="BodyText">
    <w:name w:val="Body Text"/>
    <w:basedOn w:val="Normal"/>
    <w:link w:val="BodyTextChar"/>
    <w:uiPriority w:val="1"/>
    <w:qFormat/>
    <w:rsid w:val="00C51869"/>
    <w:pPr>
      <w:ind w:left="100"/>
    </w:pPr>
  </w:style>
  <w:style w:type="character" w:customStyle="1" w:styleId="BodyTextChar">
    <w:name w:val="Body Text Char"/>
    <w:basedOn w:val="DefaultParagraphFont"/>
    <w:link w:val="BodyText"/>
    <w:uiPriority w:val="1"/>
    <w:rsid w:val="00C51869"/>
    <w:rPr>
      <w:rFonts w:ascii="Arial" w:eastAsia="Arial" w:hAnsi="Arial" w:cs="Arial"/>
    </w:rPr>
  </w:style>
  <w:style w:type="paragraph" w:styleId="ListParagraph">
    <w:name w:val="List Paragraph"/>
    <w:basedOn w:val="Normal"/>
    <w:uiPriority w:val="1"/>
    <w:qFormat/>
    <w:rsid w:val="00C51869"/>
    <w:pPr>
      <w:spacing w:before="204"/>
      <w:ind w:left="100"/>
    </w:pPr>
  </w:style>
  <w:style w:type="character" w:styleId="Hyperlink">
    <w:name w:val="Hyperlink"/>
    <w:basedOn w:val="DefaultParagraphFont"/>
    <w:uiPriority w:val="99"/>
    <w:semiHidden/>
    <w:unhideWhenUsed/>
    <w:rsid w:val="005B18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4870041">
      <w:bodyDiv w:val="1"/>
      <w:marLeft w:val="0"/>
      <w:marRight w:val="0"/>
      <w:marTop w:val="0"/>
      <w:marBottom w:val="0"/>
      <w:divBdr>
        <w:top w:val="none" w:sz="0" w:space="0" w:color="auto"/>
        <w:left w:val="none" w:sz="0" w:space="0" w:color="auto"/>
        <w:bottom w:val="none" w:sz="0" w:space="0" w:color="auto"/>
        <w:right w:val="none" w:sz="0" w:space="0" w:color="auto"/>
      </w:divBdr>
      <w:divsChild>
        <w:div w:id="927542237">
          <w:marLeft w:val="0"/>
          <w:marRight w:val="0"/>
          <w:marTop w:val="0"/>
          <w:marBottom w:val="0"/>
          <w:divBdr>
            <w:top w:val="none" w:sz="0" w:space="0" w:color="auto"/>
            <w:left w:val="none" w:sz="0" w:space="0" w:color="auto"/>
            <w:bottom w:val="none" w:sz="0" w:space="0" w:color="auto"/>
            <w:right w:val="none" w:sz="0" w:space="0" w:color="auto"/>
          </w:divBdr>
          <w:divsChild>
            <w:div w:id="815297165">
              <w:marLeft w:val="0"/>
              <w:marRight w:val="0"/>
              <w:marTop w:val="0"/>
              <w:marBottom w:val="0"/>
              <w:divBdr>
                <w:top w:val="none" w:sz="0" w:space="0" w:color="auto"/>
                <w:left w:val="none" w:sz="0" w:space="0" w:color="auto"/>
                <w:bottom w:val="none" w:sz="0" w:space="0" w:color="auto"/>
                <w:right w:val="none" w:sz="0" w:space="0" w:color="auto"/>
              </w:divBdr>
              <w:divsChild>
                <w:div w:id="1198813819">
                  <w:marLeft w:val="0"/>
                  <w:marRight w:val="0"/>
                  <w:marTop w:val="0"/>
                  <w:marBottom w:val="0"/>
                  <w:divBdr>
                    <w:top w:val="none" w:sz="0" w:space="0" w:color="auto"/>
                    <w:left w:val="none" w:sz="0" w:space="0" w:color="auto"/>
                    <w:bottom w:val="none" w:sz="0" w:space="0" w:color="auto"/>
                    <w:right w:val="none" w:sz="0" w:space="0" w:color="auto"/>
                  </w:divBdr>
                </w:div>
                <w:div w:id="135800859">
                  <w:marLeft w:val="0"/>
                  <w:marRight w:val="0"/>
                  <w:marTop w:val="0"/>
                  <w:marBottom w:val="0"/>
                  <w:divBdr>
                    <w:top w:val="single" w:sz="6" w:space="0" w:color="E9ECE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343</Words>
  <Characters>1958</Characters>
  <Application>Microsoft Office Word</Application>
  <DocSecurity>0</DocSecurity>
  <Lines>16</Lines>
  <Paragraphs>4</Paragraphs>
  <ScaleCrop>false</ScaleCrop>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rizzy YOUNUS</dc:creator>
  <cp:keywords/>
  <dc:description/>
  <cp:lastModifiedBy>rizzy YOUNUS</cp:lastModifiedBy>
  <cp:revision>1</cp:revision>
  <dcterms:created xsi:type="dcterms:W3CDTF">2020-11-05T12:53:00Z</dcterms:created>
  <dcterms:modified xsi:type="dcterms:W3CDTF">2020-11-05T12:55:00Z</dcterms:modified>
</cp:coreProperties>
</file>