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23"/>
        <w:gridCol w:w="2307"/>
        <w:gridCol w:w="2184"/>
        <w:gridCol w:w="1022"/>
        <w:gridCol w:w="2307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CI95%[78.17 to 215.53]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2020-06-22T17:21:00Z</dcterms:modified>
  <cp:category/>
</cp:coreProperties>
</file>