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2Title"/>
        <w:spacing w:after="40"/>
        <w:jc w:val="center"/>
      </w:pPr>
      <w:r>
        <w:rPr>
          <w:b/>
          <w:color w:val="143A52"/>
        </w:rPr>
        <w:t>Backlog de mejora del sistema</w:t>
        <w:br/>
        <w:t>multiagente de apuestas de fútbol</w:t>
      </w:r>
    </w:p>
    <w:p>
      <w:pPr>
        <w:pStyle w:val="V2Subtitle"/>
        <w:spacing w:after="80"/>
        <w:jc w:val="center"/>
      </w:pPr>
      <w:r>
        <w:rPr>
          <w:i/>
        </w:rPr>
        <w:t>Versión 2 · backlog actualizado según estado real del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Proyecto</w:t>
            </w:r>
          </w:p>
        </w:tc>
        <w:tc>
          <w:tcPr>
            <w:tcW w:type="dxa" w:w="7056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FFFFFF"/>
          </w:tcPr>
          <w:p>
            <w:r/>
            <w:r>
              <w:t>Apuestas Futbol · evolución posterior a auditoría y refactor del pipeline</w:t>
            </w:r>
          </w:p>
        </w:tc>
      </w:tr>
      <w:tr>
        <w:trPr>
          <w:cantSplit/>
        </w:trPr>
        <w:tc>
          <w:tcPr>
            <w:tcW w:type="dxa" w:w="2880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Fecha</w:t>
            </w:r>
          </w:p>
        </w:tc>
        <w:tc>
          <w:tcPr>
            <w:tcW w:type="dxa" w:w="7056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FFFFFF"/>
          </w:tcPr>
          <w:p>
            <w:r/>
            <w:r>
              <w:t>17 de marzo de 2026</w:t>
            </w:r>
          </w:p>
        </w:tc>
      </w:tr>
      <w:tr>
        <w:trPr>
          <w:cantSplit/>
        </w:trPr>
        <w:tc>
          <w:tcPr>
            <w:tcW w:type="dxa" w:w="2880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Propósito</w:t>
            </w:r>
          </w:p>
        </w:tc>
        <w:tc>
          <w:tcPr>
            <w:tcW w:type="dxa" w:w="7056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  <w:shd w:fill="FFFFFF"/>
          </w:tcPr>
          <w:p>
            <w:r/>
            <w:r>
              <w:t>Ordenar lo ya resuelto, lo que sigue pendiente y el orden recomendado para operar hoy sin confundir mejoras estructurales con mejoras aún en sombra.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BB9C7"/>
          <w:left w:val="single" w:sz="8" w:space="0" w:color="9BB9C7"/>
          <w:bottom w:val="single" w:sz="8" w:space="0" w:color="9BB9C7"/>
          <w:right w:val="single" w:sz="8" w:space="0" w:color="9BB9C7"/>
          <w:insideH w:val="single" w:sz="8" w:space="0" w:color="9BB9C7"/>
          <w:insideV w:val="single" w:sz="8" w:space="0" w:color="9BB9C7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A"/>
          </w:tcPr>
          <w:p>
            <w:pPr>
              <w:spacing w:after="0"/>
            </w:pPr>
            <w:r>
              <w:rPr>
                <w:b/>
                <w:color w:val="143A52"/>
              </w:rPr>
              <w:t xml:space="preserve">Conclusión ejecutiva. </w:t>
            </w:r>
            <w:r>
              <w:t xml:space="preserve">La mayor palanca ya no está en conseguir más información, sino en decidir mejor cuándo creerla, cuándo bloquearla y cuándo no apostar. La V2 del backlog distingue tres carriles: </w:t>
            </w:r>
            <w:r>
              <w:rPr>
                <w:b/>
              </w:rPr>
              <w:t>operación segura hoy</w:t>
            </w:r>
            <w:r>
              <w:t xml:space="preserve">, </w:t>
            </w:r>
            <w:r>
              <w:rPr>
                <w:b/>
              </w:rPr>
              <w:t>aprendizaje/calibración en sombra</w:t>
            </w:r>
            <w:r>
              <w:t xml:space="preserve"> y </w:t>
            </w:r>
            <w:r>
              <w:rPr>
                <w:b/>
              </w:rPr>
              <w:t>mejora upstream de calidad semántica</w:t>
            </w:r>
            <w:r>
              <w:t>.</w:t>
            </w:r>
          </w:p>
        </w:tc>
      </w:tr>
    </w:tbl>
    <w:p>
      <w:pPr>
        <w:pStyle w:val="V2H1"/>
        <w:spacing w:after="60" w:before="0"/>
      </w:pPr>
      <w:r>
        <w:t>1. Qué cambia en esta versión 2</w:t>
      </w:r>
    </w:p>
    <w:p>
      <w:pPr>
        <w:spacing w:after="80" w:before="0"/>
      </w:pPr>
      <w:r>
        <w:t>La versión original estaba bien orientada, pero quedó parcialmente desfasada respecto del estado real del sistema. En esta V2 se actualiza el backlog con tres criterios: (i) distinguir lo ya implementado o en progreso de lo realmente pendiente; (ii) separar seguridad operativa, mejora probabilística y calidad del alimento upstream; y (iii) priorizar lo que más ayuda a apostar hoy con disciplina, sin adelantar cambios que todavía dependen de juntar muestra.</w:t>
      </w:r>
    </w:p>
    <w:p>
      <w:pPr>
        <w:pStyle w:val="V2H2"/>
        <w:spacing w:after="60" w:before="0"/>
      </w:pPr>
      <w:r>
        <w:t>Lectura rápida de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Estado</w:t>
            </w:r>
          </w:p>
        </w:tc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Significado</w:t>
            </w:r>
          </w:p>
        </w:tc>
        <w:tc>
          <w:tcPr>
            <w:tcW w:type="dxa" w:w="561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Interpretación</w:t>
            </w:r>
          </w:p>
        </w:tc>
      </w:tr>
      <w:tr>
        <w:trPr>
          <w:cantSplit/>
        </w:trPr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E8F4EA"/>
          </w:tcPr>
          <w:p>
            <w:r/>
            <w:r>
              <w:rPr>
                <w:b/>
                <w:color w:val="143A52"/>
              </w:rPr>
              <w:t>Implementado</w:t>
            </w:r>
          </w:p>
        </w:tc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FFFFF"/>
          </w:tcPr>
          <w:p>
            <w:r/>
            <w:r>
              <w:t>La capacidad ya existe y está operativa.</w:t>
            </w:r>
          </w:p>
        </w:tc>
        <w:tc>
          <w:tcPr>
            <w:tcW w:type="dxa" w:w="561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FFFFF"/>
          </w:tcPr>
          <w:p>
            <w:r/>
            <w:r>
              <w:t>No abrir como iniciativa nueva salvo tuning o hardening.</w:t>
            </w:r>
          </w:p>
        </w:tc>
      </w:tr>
      <w:tr>
        <w:trPr>
          <w:cantSplit/>
        </w:trPr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FF6DD"/>
          </w:tcPr>
          <w:p>
            <w:r/>
            <w:r>
              <w:rPr>
                <w:b/>
                <w:color w:val="143A52"/>
              </w:rPr>
              <w:t>En progreso</w:t>
            </w:r>
          </w:p>
        </w:tc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FFFFF"/>
          </w:tcPr>
          <w:p>
            <w:r/>
            <w:r>
              <w:t>La base ya existe, pero aún no es criterio final de negocio o falta consolidarla.</w:t>
            </w:r>
          </w:p>
        </w:tc>
        <w:tc>
          <w:tcPr>
            <w:tcW w:type="dxa" w:w="561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FFFFF"/>
          </w:tcPr>
          <w:p>
            <w:r/>
            <w:r>
              <w:t>Tratar como trabajo de estabilización, no como idea nueva.</w:t>
            </w:r>
          </w:p>
        </w:tc>
      </w:tr>
      <w:tr>
        <w:trPr>
          <w:cantSplit/>
        </w:trPr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DECEC"/>
          </w:tcPr>
          <w:p>
            <w:r/>
            <w:r>
              <w:rPr>
                <w:b/>
                <w:color w:val="143A52"/>
              </w:rPr>
              <w:t>Pendiente</w:t>
            </w:r>
          </w:p>
        </w:tc>
        <w:tc>
          <w:tcPr>
            <w:tcW w:type="dxa" w:w="216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FFFFF"/>
          </w:tcPr>
          <w:p>
            <w:r/>
            <w:r>
              <w:t>Todavía no entra de verdad al flujo o depende de evidencia futura.</w:t>
            </w:r>
          </w:p>
        </w:tc>
        <w:tc>
          <w:tcPr>
            <w:tcW w:type="dxa" w:w="5616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  <w:shd w:fill="FFFFFF"/>
          </w:tcPr>
          <w:p>
            <w:r/>
            <w:r>
              <w:t>Sí corresponde como backlog activo.</w:t>
            </w:r>
          </w:p>
        </w:tc>
      </w:tr>
    </w:tbl>
    <w:p>
      <w:r>
        <w:br w:type="page"/>
      </w:r>
    </w:p>
    <w:p>
      <w:pPr>
        <w:pStyle w:val="V2H1"/>
        <w:spacing w:after="60" w:before="0"/>
      </w:pPr>
      <w:r>
        <w:t>2. Prioridades ejecutivas v2</w:t>
      </w:r>
    </w:p>
    <w:p>
      <w:pPr>
        <w:spacing w:after="80" w:before="0"/>
      </w:pPr>
      <w:r>
        <w:t>La prioridad se ordena por impacto sobre precisión, control de riesgo y disciplina operativa, no por comodidad técnica. La pregunta guía es: “¿qué mejora más la calidad real de las apuestas que sí queremos tomar hoy, y qué deja en sombra hasta tener evidencia suficiente?”.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007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#</w:t>
            </w:r>
          </w:p>
        </w:tc>
        <w:tc>
          <w:tcPr>
            <w:tcW w:type="dxa" w:w="2304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Área</w:t>
            </w:r>
          </w:p>
        </w:tc>
        <w:tc>
          <w:tcPr>
            <w:tcW w:type="dxa" w:w="388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Por qué mueve la aguja hoy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Impacto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Estado</w:t>
            </w:r>
          </w:p>
        </w:tc>
      </w:tr>
      <w:tr>
        <w:trPr>
          <w:cantSplit/>
        </w:trPr>
        <w:tc>
          <w:tcPr>
            <w:tcW w:type="dxa" w:w="1007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304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Gate Agent</w:t>
            </w:r>
          </w:p>
        </w:tc>
        <w:tc>
          <w:tcPr>
            <w:tcW w:type="dxa" w:w="388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Es la mejor defensa inmediata contra picks construidos sobre contexto tóxico o dudoso.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Muy alto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1007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2304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Bettor Agent</w:t>
            </w:r>
          </w:p>
        </w:tc>
        <w:tc>
          <w:tcPr>
            <w:tcW w:type="dxa" w:w="388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Convierte el riesgo epistemológico en prudencia financiera real sin rehacer todavía el cerebro predictivo.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Muy alto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1007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2304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Insights + Web Check</w:t>
            </w:r>
          </w:p>
        </w:tc>
        <w:tc>
          <w:tcPr>
            <w:tcW w:type="dxa" w:w="388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Si aquí entra basura semántica, el resto solo la administra.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Alto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1007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2304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Analyst Agent / Calibración</w:t>
            </w:r>
          </w:p>
        </w:tc>
        <w:tc>
          <w:tcPr>
            <w:tcW w:type="dxa" w:w="388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La pregunta ya no es instrumentar, sino acumular muestra suficiente antes de mover el dinero.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Alto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1007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2304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Observabilidad operativa</w:t>
            </w:r>
          </w:p>
        </w:tc>
        <w:tc>
          <w:tcPr>
            <w:tcW w:type="dxa" w:w="388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Permite auditar degradaciones, fallbacks y decisiones sensibles sin reconstruir la corrida a mano.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FFF"/>
          </w:tcPr>
          <w:p>
            <w:r/>
            <w:r>
              <w:t>Medio-Alto</w:t>
            </w:r>
          </w:p>
        </w:tc>
        <w:tc>
          <w:tcPr>
            <w:tcW w:type="dxa" w:w="1440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</w:tbl>
    <w:p>
      <w:r>
        <w:br w:type="page"/>
      </w:r>
    </w:p>
    <w:p>
      <w:pPr>
        <w:pStyle w:val="V2H1"/>
        <w:spacing w:after="60" w:before="0"/>
      </w:pPr>
      <w:r>
        <w:t>3. Backlog consolidado v2</w:t>
      </w:r>
    </w:p>
    <w:p>
      <w:pPr>
        <w:spacing w:after="80" w:before="0"/>
      </w:pPr>
      <w:r>
        <w:t>El backlog se reordena en tres carriles: seguridad operativa, aprendizaje/calibración en sombra y mejora upstream. La tabla siguiente mezcla prioridad y estado real, de modo que el equipo sepa qué empujar, qué estabilizar y qué no conviene usar todavía para tocar dinero.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Prio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Carril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Área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Iniciativa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Resultado esperado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Estado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Operación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Gate Agent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Bloqueo real de contexto tóxico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Si risk=high y hay señales severas, el partido deja de avanzar como si fuera normal.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DECEC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Pendiente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Operación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Bettor Agent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Guardrails suaves por riesgo epistemológico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Más riesgo implica más edge exigido, stake menor y skip por severidad extrema.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Operación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Insights / Web Check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Contrato de salida del LLM + limpieza semántica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Menos parsing frágil y menos señales asociadas al club equivocado.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Aprendizaje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Analyst / Calibración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Calibración en modo sombra y acumulación de muestra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Guardar raw vs calibrated sin tocar todavía la apuesta real.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P1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Aprendizaje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Analyst Agent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Decidir política real de uso de confidence_calibrated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Recién con muestra suficiente decidir si reemplaza o modula a la raw.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DECEC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Pendiente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P1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Operación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Observabilidad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Resumen operativo por corrida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Ver con claridad degradaciones, fallbacks, bloqueos y caps financieros.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6DD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En progreso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P1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Upstream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Journalist Agent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Curaduría premium de fuentes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Menos videos SEO/ruido y más contexto táctico accionable.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DECEC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Pendiente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P2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Operación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Bettor Agent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Portafolio premium de bajo volumen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Menos picks, mejor calidad media y menos exposición en partidos dudosos.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DECEC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Pendiente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pPr>
              <w:jc w:val="center"/>
            </w:pPr>
            <w:r/>
            <w:r>
              <w:rPr>
                <w:b/>
              </w:rPr>
              <w:t>P2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Aprendizaje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Analyst Agent</w:t>
            </w:r>
          </w:p>
        </w:tc>
        <w:tc>
          <w:tcPr>
            <w:tcW w:type="dxa" w:w="34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Recalibración 1/X/2 por liga y mercado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FFFFF"/>
          </w:tcPr>
          <w:p>
            <w:r/>
            <w:r>
              <w:t>Corregir sesgo de local y tratar empate/visita con más disciplina.</w:t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DECEC"/>
          </w:tcPr>
          <w:p>
            <w:pPr>
              <w:jc w:val="center"/>
            </w:pPr>
            <w:r/>
            <w:r>
              <w:rPr>
                <w:b/>
                <w:color w:val="143A52"/>
              </w:rPr>
              <w:t>Pendiente</w:t>
            </w:r>
          </w:p>
        </w:tc>
      </w:tr>
    </w:tbl>
    <w:p>
      <w:pPr>
        <w:pStyle w:val="V2H1"/>
        <w:spacing w:after="60" w:before="0"/>
      </w:pPr>
      <w:r>
        <w:t>4. Operación segura hoy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Objetivo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La prioridad de corto plazo no es “hacer al Analyst más brillante”, sino evitar que el sistema convierta contexto sucio en dinero apostado.</w:t>
            </w:r>
          </w:p>
        </w:tc>
      </w:tr>
      <w:tr>
        <w:trPr>
          <w:cantSplit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Qué tocar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Gate con dientes reales; Bettor con guardrails suaves ya activos; exclusión práctica de partidos con signal_risk_level high + severe issues; disciplina de revisión manual solo para picks limpios o medianamente limpios.</w:t>
            </w:r>
          </w:p>
        </w:tc>
      </w:tr>
      <w:tr>
        <w:trPr>
          <w:cantSplit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Señal de éxito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Baja el volumen de apuestas débiles, sube la prudencia y deja de avanzar como normal un match claramente tóxico.</w:t>
            </w:r>
          </w:p>
        </w:tc>
      </w:tr>
    </w:tbl>
    <w:p/>
    <w:p>
      <w:pPr>
        <w:pStyle w:val="V2H1"/>
        <w:spacing w:after="60" w:before="0"/>
      </w:pPr>
      <w:r>
        <w:t>5. Aprendizaje y calibración en sombra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Objetivo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La calibración no debe entrar todavía al dinero; primero debe acumular evidencia interna suficiente.</w:t>
            </w:r>
          </w:p>
        </w:tc>
      </w:tr>
      <w:tr>
        <w:trPr>
          <w:cantSplit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Qué tocar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Preservar confidence_raw, confidence_calibrated y mercado normalizado; mantener SHADOW_MODE activo; conservar estos campos post-partido; preparar buckets y análisis histórico posterior.</w:t>
            </w:r>
          </w:p>
        </w:tc>
      </w:tr>
      <w:tr>
        <w:trPr>
          <w:cantSplit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Señal de éxito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Cuando haya muestra suficiente, se podrá decidir con evidencia si la confidence calibrada reemplaza, modula o solo acompaña a la raw.</w:t>
            </w:r>
          </w:p>
        </w:tc>
      </w:tr>
    </w:tbl>
    <w:p/>
    <w:p>
      <w:pPr>
        <w:pStyle w:val="V2H1"/>
        <w:spacing w:after="60" w:before="0"/>
      </w:pPr>
      <w:r>
        <w:t>6. Calidad del alimento upstream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Objetivo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El siguiente salto de calidad no depende solo del modelo, sino de que las señales lleguen limpias, tipificadas y semánticamente bien atribuidas.</w:t>
            </w:r>
          </w:p>
        </w:tc>
      </w:tr>
      <w:tr>
        <w:trPr>
          <w:cantSplit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Qué tocar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Contrato de salida del LLM, reparaciones JSON acotadas y trazables, validación entidad-equipo previa al web check, curaduría premium del Journalist y reducción de ruido SEO o videos poco accionables.</w:t>
            </w:r>
          </w:p>
        </w:tc>
      </w:tr>
      <w:tr>
        <w:trPr>
          <w:cantSplit/>
        </w:trPr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Señal de éxito</w:t>
            </w:r>
          </w:p>
        </w:tc>
        <w:tc>
          <w:tcPr>
            <w:tcW w:type="dxa" w:w="79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Caen las señales venenosas, mejora la dieta del Analyst y el Gate tiene menos basura que castigar.</w:t>
            </w:r>
          </w:p>
        </w:tc>
      </w:tr>
    </w:tbl>
    <w:p/>
    <w:p>
      <w:pPr>
        <w:pStyle w:val="V2H1"/>
        <w:spacing w:after="60" w:before="0"/>
      </w:pPr>
      <w:r>
        <w:t>7. Criterios de cierre de la V2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Criterio</w:t>
            </w:r>
          </w:p>
        </w:tc>
        <w:tc>
          <w:tcPr>
            <w:tcW w:type="dxa" w:w="6623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EAF2F6"/>
          </w:tcPr>
          <w:p>
            <w:r/>
            <w:r>
              <w:rPr>
                <w:b/>
                <w:color w:val="143A52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Partidos tóxicos ya no pasan como normales</w:t>
            </w:r>
          </w:p>
        </w:tc>
        <w:tc>
          <w:tcPr>
            <w:tcW w:type="dxa" w:w="6623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El Gate deja rastro explícito cuando bloquea, degrada o fuerza no-bet por riesgo epistemológico alto.</w:t>
            </w:r>
          </w:p>
        </w:tc>
      </w:tr>
      <w:tr>
        <w:trPr>
          <w:cantSplit/>
        </w:trP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El Bettor actúa con prudencia real</w:t>
            </w:r>
          </w:p>
        </w:tc>
        <w:tc>
          <w:tcPr>
            <w:tcW w:type="dxa" w:w="6623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Un contexto sucio recibe edge mínimo más exigente, stake menor o skip, sin romper el comportamiento de partidos limpios.</w:t>
            </w:r>
          </w:p>
        </w:tc>
      </w:tr>
      <w:tr>
        <w:trPr>
          <w:cantSplit/>
        </w:trP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La calibración no interfiere todavía con el dinero</w:t>
            </w:r>
          </w:p>
        </w:tc>
        <w:tc>
          <w:tcPr>
            <w:tcW w:type="dxa" w:w="6623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La confidence calibrada se preserva, pero sigue corriendo en modo sombra.</w:t>
            </w:r>
          </w:p>
        </w:tc>
      </w:tr>
      <w:tr>
        <w:trPr>
          <w:cantSplit/>
        </w:trP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El pipeline se explica mejor</w:t>
            </w:r>
          </w:p>
        </w:tc>
        <w:tc>
          <w:tcPr>
            <w:tcW w:type="dxa" w:w="6623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r/>
            <w:r>
              <w:t>Cada corrida puede leerse por artefactos y logs sin reconstrucción manual extensa.</w:t>
            </w:r>
          </w:p>
        </w:tc>
      </w:tr>
    </w:tbl>
    <w:p>
      <w:pPr>
        <w:pStyle w:val="V2H1"/>
        <w:spacing w:after="60" w:before="0"/>
      </w:pPr>
      <w:r>
        <w:t>8. Recomendación operativa</w:t>
      </w:r>
    </w:p>
    <w:p>
      <w:pPr>
        <w:spacing w:after="160" w:before="0"/>
      </w:pPr>
      <w:r>
        <w:t>Con el estado actual del sistema, la recomendación es operar hoy en modo piloto conservador: priorizar picks con riesgo low o medium, evitar cualquier partido con severe issues y dejar la calibración corriendo en sombra hasta acumular una muestra razonable. La V2 del backlog no busca “apostar más”; busca apostar menos, mejor y con trazabilidad.</w:t>
      </w:r>
    </w:p>
    <w:p>
      <w:pPr>
        <w:jc w:val="right"/>
      </w:pPr>
      <w:r>
        <w:rPr>
          <w:i/>
          <w:color w:val="4A6572"/>
        </w:rPr>
        <w:t>Documento preparado para uso como backlog interno · Versión 2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2Title">
    <w:name w:val="V2 Title"/>
    <w:basedOn w:val="Title"/>
    <w:rPr>
      <w:rFonts w:ascii="Aptos" w:hAnsi="Aptos"/>
      <w:b/>
      <w:color w:val="143A52"/>
      <w:sz w:val="42"/>
    </w:rPr>
  </w:style>
  <w:style w:type="paragraph" w:customStyle="1" w:styleId="V2Subtitle">
    <w:name w:val="V2 Subtitle"/>
    <w:basedOn w:val="Subtitle"/>
    <w:rPr>
      <w:rFonts w:ascii="Aptos" w:hAnsi="Aptos"/>
      <w:b w:val="0"/>
      <w:color w:val="4A6572"/>
      <w:sz w:val="20"/>
    </w:rPr>
  </w:style>
  <w:style w:type="paragraph" w:customStyle="1" w:styleId="V2H1">
    <w:name w:val="V2 H1"/>
    <w:basedOn w:val="Heading1"/>
    <w:rPr>
      <w:rFonts w:ascii="Aptos" w:hAnsi="Aptos"/>
      <w:b/>
      <w:color w:val="143A52"/>
      <w:sz w:val="27"/>
    </w:rPr>
  </w:style>
  <w:style w:type="paragraph" w:customStyle="1" w:styleId="V2H2">
    <w:name w:val="V2 H2"/>
    <w:basedOn w:val="Heading2"/>
    <w:rPr>
      <w:rFonts w:ascii="Aptos" w:hAnsi="Aptos"/>
      <w:b/>
      <w:color w:val="1F4E6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