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D0BC" w14:textId="1C089B9C" w:rsidR="008F5F00" w:rsidRDefault="00F67BCF" w:rsidP="00F67BCF">
      <w:pPr>
        <w:jc w:val="center"/>
        <w:rPr>
          <w:rFonts w:ascii="Arial" w:hAnsi="Arial" w:cs="Arial"/>
          <w:sz w:val="24"/>
          <w:szCs w:val="24"/>
        </w:rPr>
      </w:pPr>
      <w:r w:rsidRPr="00F67BCF">
        <w:rPr>
          <w:rFonts w:ascii="Arial" w:hAnsi="Arial" w:cs="Arial"/>
          <w:sz w:val="24"/>
          <w:szCs w:val="24"/>
        </w:rPr>
        <w:t>Anuarios de morbilidad</w:t>
      </w:r>
    </w:p>
    <w:p w14:paraId="1146786E" w14:textId="5786D5BF" w:rsidR="00F67BCF" w:rsidRDefault="00F67BCF" w:rsidP="00F67BCF">
      <w:pPr>
        <w:rPr>
          <w:rFonts w:ascii="Arial" w:hAnsi="Arial" w:cs="Arial"/>
          <w:sz w:val="24"/>
          <w:szCs w:val="24"/>
        </w:rPr>
      </w:pPr>
    </w:p>
    <w:p w14:paraId="6AC2ECA8" w14:textId="6055E300" w:rsidR="00F67BCF" w:rsidRDefault="00F67BCF" w:rsidP="00F67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</w:t>
      </w:r>
    </w:p>
    <w:p w14:paraId="53F11036" w14:textId="59F259AE" w:rsidR="00F67BCF" w:rsidRDefault="00F67BCF" w:rsidP="00F67BCF">
      <w:pPr>
        <w:rPr>
          <w:rFonts w:ascii="Arial" w:hAnsi="Arial" w:cs="Arial"/>
          <w:sz w:val="24"/>
          <w:szCs w:val="24"/>
        </w:rPr>
      </w:pPr>
    </w:p>
    <w:p w14:paraId="41674A84" w14:textId="04FBF601" w:rsidR="00F67BCF" w:rsidRDefault="00F67BCF" w:rsidP="00F67B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 al 2003, no están los datos por grupo de edad.</w:t>
      </w:r>
    </w:p>
    <w:p w14:paraId="51192ABA" w14:textId="567D1D60" w:rsidR="00F67BCF" w:rsidRDefault="00F67BCF" w:rsidP="00F67B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Incluí el anuario del 2002, para que vean la información disponible para ese año.</w:t>
      </w:r>
    </w:p>
    <w:p w14:paraId="18DCC3EB" w14:textId="2706FF67" w:rsidR="00F67BCF" w:rsidRDefault="00F67BCF" w:rsidP="00F67B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posible, de manera general, establecer en que fila están las enfermedades prevenibles por vacunación, ya que el reporte cambia a lo largo de los años, hay enfermedades con notificación en el 2019, pero no en el 2003, y otras aparecen con nombre ligeramente diferentes lo que hace que aparezcan en diferente orden.</w:t>
      </w:r>
    </w:p>
    <w:p w14:paraId="5280D7E0" w14:textId="77777777" w:rsidR="00F67BCF" w:rsidRDefault="00F67BCF" w:rsidP="00F67BCF">
      <w:pPr>
        <w:pStyle w:val="Prrafodelista"/>
        <w:rPr>
          <w:rFonts w:ascii="Arial" w:hAnsi="Arial" w:cs="Arial"/>
          <w:sz w:val="24"/>
          <w:szCs w:val="24"/>
        </w:rPr>
      </w:pPr>
    </w:p>
    <w:p w14:paraId="063CB77B" w14:textId="33E694D3" w:rsidR="00F67BCF" w:rsidRDefault="00F67BCF" w:rsidP="00F67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</w:t>
      </w:r>
    </w:p>
    <w:p w14:paraId="2FE8446F" w14:textId="73CE2652" w:rsidR="00F67BCF" w:rsidRDefault="00F67BCF" w:rsidP="00F67B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queremos hacer el análisis por grupo de edad, solo podremos hacerlo a partir del 2003.</w:t>
      </w:r>
    </w:p>
    <w:p w14:paraId="46A110CC" w14:textId="6B9C03B4" w:rsidR="00F67BCF" w:rsidRPr="00F67BCF" w:rsidRDefault="00F67BCF" w:rsidP="00F67B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los datos varían, una opción es seleccionar enfermedades de interés y extraer los datos de manera individual.</w:t>
      </w:r>
    </w:p>
    <w:sectPr w:rsidR="00F67BCF" w:rsidRPr="00F67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B5238"/>
    <w:multiLevelType w:val="hybridMultilevel"/>
    <w:tmpl w:val="A0F20DCE"/>
    <w:lvl w:ilvl="0" w:tplc="CE7C22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00"/>
    <w:rsid w:val="001B4C7B"/>
    <w:rsid w:val="00504D2B"/>
    <w:rsid w:val="008F5F00"/>
    <w:rsid w:val="00943150"/>
    <w:rsid w:val="009C4FFE"/>
    <w:rsid w:val="00F6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ADD2"/>
  <w15:chartTrackingRefBased/>
  <w15:docId w15:val="{42024E7A-2439-427A-AF2E-6583C936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OE</dc:creator>
  <cp:keywords/>
  <dc:description/>
  <cp:lastModifiedBy>Patty OE</cp:lastModifiedBy>
  <cp:revision>3</cp:revision>
  <dcterms:created xsi:type="dcterms:W3CDTF">2020-10-27T02:24:00Z</dcterms:created>
  <dcterms:modified xsi:type="dcterms:W3CDTF">2020-10-27T02:31:00Z</dcterms:modified>
</cp:coreProperties>
</file>