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9F" w:rsidRPr="00C41727" w:rsidRDefault="004C439F" w:rsidP="004C439F">
      <w:pPr>
        <w:pStyle w:val="BodyText12"/>
      </w:pPr>
      <w:r w:rsidRPr="002A752B">
        <w:t xml:space="preserve">A summary of subject disposition for </w:t>
      </w:r>
      <w:r>
        <w:t xml:space="preserve">all treated </w:t>
      </w:r>
      <w:r w:rsidRPr="002A752B">
        <w:t xml:space="preserve">subjects </w:t>
      </w:r>
      <w:r>
        <w:t xml:space="preserve">is provided in </w:t>
      </w:r>
      <w:r>
        <w:rPr>
          <w:highlight w:val="cyan"/>
        </w:rPr>
        <w:fldChar w:fldCharType="begin"/>
      </w:r>
      <w:r>
        <w:instrText xml:space="preserve"> REF _Ref411678806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highlight w:val="cyan"/>
        </w:rPr>
        <w:fldChar w:fldCharType="end"/>
      </w:r>
      <w:r w:rsidRPr="00FE48E1">
        <w:t xml:space="preserve">. </w:t>
      </w:r>
      <w:r>
        <w:t xml:space="preserve">In the </w:t>
      </w:r>
      <w:r w:rsidRPr="00D67C90">
        <w:rPr>
          <w:highlight w:val="yellow"/>
        </w:rPr>
        <w:t>16 mg/kg</w:t>
      </w:r>
      <w:r>
        <w:t xml:space="preserve"> </w:t>
      </w:r>
      <w:r w:rsidRPr="00833982">
        <w:t xml:space="preserve">group, </w:t>
      </w:r>
      <w:r w:rsidRPr="00D67C90">
        <w:rPr>
          <w:highlight w:val="yellow"/>
        </w:rPr>
        <w:t>90 of 106 subjects (85%)</w:t>
      </w:r>
      <w:r w:rsidRPr="00833982">
        <w:t xml:space="preserve"> discontinued </w:t>
      </w:r>
      <w:r>
        <w:t xml:space="preserve">treatment; the majority of </w:t>
      </w:r>
      <w:r w:rsidRPr="00833982">
        <w:t xml:space="preserve">treatment discontinuations </w:t>
      </w:r>
      <w:r w:rsidRPr="005B0C90">
        <w:rPr>
          <w:highlight w:val="green"/>
        </w:rPr>
        <w:t>(82 subjects; 77%)</w:t>
      </w:r>
      <w:r w:rsidRPr="00833982">
        <w:t xml:space="preserve"> </w:t>
      </w:r>
      <w:r>
        <w:t>were due to progressive disease</w:t>
      </w:r>
      <w:r w:rsidRPr="00140B38">
        <w:t xml:space="preserve">. </w:t>
      </w:r>
      <w:r w:rsidRPr="00D67C90">
        <w:rPr>
          <w:highlight w:val="cyan"/>
        </w:rPr>
        <w:t>Five subjects (5%)</w:t>
      </w:r>
      <w:r w:rsidRPr="00833982">
        <w:t xml:space="preserve"> </w:t>
      </w:r>
      <w:r w:rsidRPr="00C41727">
        <w:t xml:space="preserve">discontinued from treatment due to a TEAE. </w:t>
      </w:r>
    </w:p>
    <w:p w:rsidR="004C439F" w:rsidRDefault="004C439F" w:rsidP="004C439F">
      <w:pPr>
        <w:pStyle w:val="Basic11"/>
        <w:keepNext/>
        <w:keepLines/>
      </w:pP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994"/>
        <w:gridCol w:w="2218"/>
        <w:gridCol w:w="2218"/>
        <w:gridCol w:w="1930"/>
      </w:tblGrid>
      <w:tr w:rsidR="004C439F" w:rsidRPr="00A71AD1" w:rsidTr="0025563C">
        <w:trPr>
          <w:cantSplit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pStyle w:val="Caption"/>
              <w:keepLines/>
              <w:rPr>
                <w:color w:val="000000"/>
              </w:rPr>
            </w:pPr>
            <w:bookmarkStart w:id="0" w:name="_Ref411678806"/>
            <w:bookmarkStart w:id="1" w:name="_Toc419922876"/>
            <w:r>
              <w:t xml:space="preserve">Table </w:t>
            </w:r>
            <w:fldSimple w:instr=" SEQ Table \* ARABIC ">
              <w:r>
                <w:rPr>
                  <w:noProof/>
                </w:rPr>
                <w:t>1</w:t>
              </w:r>
            </w:fldSimple>
            <w:bookmarkEnd w:id="0"/>
            <w:r>
              <w:t>:</w:t>
            </w:r>
            <w:r w:rsidRPr="00A71AD1">
              <w:rPr>
                <w:color w:val="000000"/>
              </w:rPr>
              <w:tab/>
              <w:t>Subject Disposition - Treatment; All Treated Analysis Set (Study 54767414MMY2002)</w:t>
            </w:r>
            <w:bookmarkEnd w:id="1"/>
          </w:p>
        </w:tc>
      </w:tr>
      <w:tr w:rsidR="004C439F" w:rsidRPr="00A71AD1" w:rsidTr="0025563C">
        <w:trPr>
          <w:cantSplit/>
          <w:tblHeader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67C90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A71AD1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67C90">
              <w:rPr>
                <w:color w:val="000000"/>
                <w:sz w:val="18"/>
                <w:szCs w:val="18"/>
                <w:highlight w:val="yellow"/>
              </w:rPr>
              <w:t>106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831736" w:rsidRDefault="004C439F" w:rsidP="0025563C">
            <w:pPr>
              <w:keepNext/>
              <w:keepLines/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  <w:r w:rsidRPr="008566CB">
              <w:rPr>
                <w:b/>
                <w:color w:val="000000"/>
                <w:sz w:val="18"/>
                <w:szCs w:val="18"/>
                <w:highlight w:val="yellow"/>
              </w:rPr>
              <w:t>Discontinued from treatment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831736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831736">
              <w:rPr>
                <w:b/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831736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D67C90">
              <w:rPr>
                <w:b/>
                <w:color w:val="000000"/>
                <w:sz w:val="18"/>
                <w:szCs w:val="18"/>
                <w:highlight w:val="yellow"/>
              </w:rPr>
              <w:t>90 (84.9%)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831736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831736">
              <w:rPr>
                <w:b/>
                <w:color w:val="000000"/>
                <w:sz w:val="18"/>
                <w:szCs w:val="18"/>
              </w:rPr>
              <w:t>106 (85.5%)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8566CB">
              <w:rPr>
                <w:color w:val="000000"/>
                <w:sz w:val="18"/>
                <w:szCs w:val="18"/>
                <w:highlight w:val="green"/>
              </w:rPr>
              <w:t>Progressive disease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B0C90">
              <w:rPr>
                <w:color w:val="000000"/>
                <w:sz w:val="18"/>
                <w:szCs w:val="18"/>
                <w:highlight w:val="green"/>
              </w:rPr>
              <w:t>82 (77.4%)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98 (79.0%)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8566CB">
              <w:rPr>
                <w:color w:val="000000"/>
                <w:sz w:val="18"/>
                <w:szCs w:val="18"/>
                <w:highlight w:val="cyan"/>
              </w:rPr>
              <w:t>Adverse event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67C90">
              <w:rPr>
                <w:color w:val="000000"/>
                <w:sz w:val="18"/>
                <w:szCs w:val="18"/>
                <w:highlight w:val="cyan"/>
              </w:rPr>
              <w:t>5 (4.7%)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Withdrawal of consent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Death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1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C439F" w:rsidRPr="00A71AD1" w:rsidRDefault="004C439F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</w:tr>
      <w:tr w:rsidR="004C439F" w:rsidRPr="00A71AD1" w:rsidTr="0025563C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C439F" w:rsidRPr="00A71AD1" w:rsidRDefault="004C439F" w:rsidP="0025563C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Percentages are calculated with the number of subjects in each group as denominator.</w:t>
            </w:r>
          </w:p>
        </w:tc>
      </w:tr>
      <w:tr w:rsidR="004C439F" w:rsidRPr="00C41727" w:rsidTr="0025563C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C439F" w:rsidRPr="00C41727" w:rsidRDefault="004C439F" w:rsidP="0025563C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TSIDS01</w:t>
            </w:r>
          </w:p>
        </w:tc>
      </w:tr>
    </w:tbl>
    <w:p w:rsidR="004C439F" w:rsidRPr="00A273FC" w:rsidRDefault="004C439F" w:rsidP="004C439F">
      <w:pPr>
        <w:pStyle w:val="BodyText12"/>
      </w:pPr>
    </w:p>
    <w:p w:rsidR="000B6A84" w:rsidRDefault="000B6A84" w:rsidP="003E494B"/>
    <w:p w:rsidR="00240FCE" w:rsidRDefault="00240FCE" w:rsidP="0084566E">
      <w:pPr>
        <w:pStyle w:val="BodyText12"/>
      </w:pPr>
      <w:r>
        <w:br w:type="page"/>
      </w:r>
    </w:p>
    <w:p w:rsidR="0084566E" w:rsidRDefault="0084566E" w:rsidP="0084566E">
      <w:pPr>
        <w:pStyle w:val="BodyText12"/>
      </w:pPr>
      <w:r>
        <w:lastRenderedPageBreak/>
        <w:t xml:space="preserve">The median age of all treated subjects was </w:t>
      </w:r>
      <w:r w:rsidRPr="002D2BFF">
        <w:rPr>
          <w:highlight w:val="yellow"/>
        </w:rPr>
        <w:t>64</w:t>
      </w:r>
      <w:r>
        <w:t xml:space="preserve"> years, and </w:t>
      </w:r>
      <w:r w:rsidRPr="002D2BFF">
        <w:rPr>
          <w:highlight w:val="green"/>
        </w:rPr>
        <w:t>52%</w:t>
      </w:r>
      <w:r>
        <w:t xml:space="preserve"> were </w:t>
      </w:r>
      <w:r w:rsidRPr="002D2BFF">
        <w:rPr>
          <w:highlight w:val="green"/>
        </w:rPr>
        <w:t>male</w:t>
      </w:r>
      <w:r>
        <w:t>. Most (</w:t>
      </w:r>
      <w:r w:rsidRPr="002D2BFF">
        <w:rPr>
          <w:highlight w:val="cyan"/>
        </w:rPr>
        <w:t>82%</w:t>
      </w:r>
      <w:r>
        <w:t xml:space="preserve">) subjects were </w:t>
      </w:r>
      <w:r w:rsidRPr="002D2BFF">
        <w:rPr>
          <w:highlight w:val="cyan"/>
        </w:rPr>
        <w:t>white</w:t>
      </w:r>
      <w:r>
        <w:t xml:space="preserve">, </w:t>
      </w:r>
      <w:r w:rsidRPr="002D2BFF">
        <w:rPr>
          <w:highlight w:val="cyan"/>
        </w:rPr>
        <w:t>12%</w:t>
      </w:r>
      <w:r>
        <w:t xml:space="preserve"> of subjects were </w:t>
      </w:r>
      <w:r w:rsidRPr="002D2BFF">
        <w:rPr>
          <w:highlight w:val="cyan"/>
        </w:rPr>
        <w:t>black or African American</w:t>
      </w:r>
      <w:r>
        <w:t>.</w:t>
      </w:r>
    </w:p>
    <w:p w:rsidR="0084566E" w:rsidRDefault="0084566E" w:rsidP="0084566E">
      <w:pPr>
        <w:pStyle w:val="BodyText12"/>
      </w:pPr>
      <w:r>
        <w:t xml:space="preserve">In the </w:t>
      </w:r>
      <w:r w:rsidRPr="00432ECE">
        <w:rPr>
          <w:highlight w:val="magenta"/>
        </w:rPr>
        <w:t>16 mg/kg group</w:t>
      </w:r>
      <w:r w:rsidRPr="00424F39">
        <w:t xml:space="preserve"> the median age was </w:t>
      </w:r>
      <w:r w:rsidRPr="00432ECE">
        <w:rPr>
          <w:highlight w:val="magenta"/>
        </w:rPr>
        <w:t>63.5</w:t>
      </w:r>
      <w:r w:rsidRPr="00424F39">
        <w:t xml:space="preserve"> years; </w:t>
      </w:r>
      <w:r w:rsidRPr="00432ECE">
        <w:rPr>
          <w:highlight w:val="magenta"/>
        </w:rPr>
        <w:t>51%</w:t>
      </w:r>
      <w:r w:rsidRPr="00424F39">
        <w:t xml:space="preserve"> of subjects were </w:t>
      </w:r>
      <w:r w:rsidRPr="00432ECE">
        <w:rPr>
          <w:highlight w:val="magenta"/>
        </w:rPr>
        <w:t>female</w:t>
      </w:r>
      <w:r w:rsidRPr="00424F39">
        <w:t>. Most subjects (</w:t>
      </w:r>
      <w:r w:rsidRPr="0039799F">
        <w:rPr>
          <w:highlight w:val="magenta"/>
        </w:rPr>
        <w:t>79%) were white</w:t>
      </w:r>
      <w:r w:rsidRPr="00424F39">
        <w:t xml:space="preserve">, and </w:t>
      </w:r>
      <w:r w:rsidRPr="0039799F">
        <w:rPr>
          <w:highlight w:val="magenta"/>
        </w:rPr>
        <w:t>14% were black or African American</w:t>
      </w:r>
      <w:r w:rsidRPr="00424F39">
        <w:t xml:space="preserve">. A </w:t>
      </w:r>
      <w:r w:rsidRPr="00E24994">
        <w:rPr>
          <w:highlight w:val="magenta"/>
        </w:rPr>
        <w:t>baseline ECOG performance status score</w:t>
      </w:r>
      <w:r w:rsidRPr="00424F39">
        <w:t xml:space="preserve"> of </w:t>
      </w:r>
      <w:r w:rsidRPr="00E24994">
        <w:rPr>
          <w:highlight w:val="magenta"/>
        </w:rPr>
        <w:t>1</w:t>
      </w:r>
      <w:r w:rsidRPr="00424F39">
        <w:t xml:space="preserve"> was reported for </w:t>
      </w:r>
      <w:r w:rsidRPr="00E24994">
        <w:rPr>
          <w:highlight w:val="magenta"/>
        </w:rPr>
        <w:t>65%</w:t>
      </w:r>
      <w:r w:rsidRPr="00424F39">
        <w:t xml:space="preserve"> of subjects and a score of </w:t>
      </w:r>
      <w:r w:rsidRPr="00E24994">
        <w:rPr>
          <w:highlight w:val="magenta"/>
        </w:rPr>
        <w:t>2</w:t>
      </w:r>
      <w:r w:rsidRPr="00424F39">
        <w:t xml:space="preserve"> was reported for </w:t>
      </w:r>
      <w:r w:rsidRPr="00E24994">
        <w:rPr>
          <w:highlight w:val="magenta"/>
        </w:rPr>
        <w:t>8%</w:t>
      </w:r>
      <w:r w:rsidRPr="00424F39">
        <w:t xml:space="preserve"> of subjects.</w:t>
      </w:r>
      <w:r w:rsidRPr="00C45E2C">
        <w:t xml:space="preserve"> </w:t>
      </w:r>
    </w:p>
    <w:p w:rsidR="0084566E" w:rsidRDefault="0084566E" w:rsidP="0084566E">
      <w:pPr>
        <w:pStyle w:val="Basic11"/>
      </w:pP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636"/>
        <w:gridCol w:w="1344"/>
        <w:gridCol w:w="1344"/>
        <w:gridCol w:w="1344"/>
        <w:gridCol w:w="1344"/>
        <w:gridCol w:w="1348"/>
      </w:tblGrid>
      <w:tr w:rsidR="0084566E" w:rsidRPr="00A71AD1" w:rsidTr="0025563C">
        <w:trPr>
          <w:cantSplit/>
          <w:tblHeader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84566E" w:rsidRPr="00140B38" w:rsidRDefault="0084566E" w:rsidP="0025563C">
            <w:pPr>
              <w:pStyle w:val="Caption"/>
              <w:keepNext w:val="0"/>
              <w:rPr>
                <w:bCs w:val="0"/>
                <w:color w:val="000000"/>
              </w:rPr>
            </w:pPr>
            <w:bookmarkStart w:id="2" w:name="_Ref411678947"/>
            <w:bookmarkStart w:id="3" w:name="_Toc419922877"/>
            <w:r w:rsidRPr="00140B38">
              <w:t xml:space="preserve">Table </w:t>
            </w:r>
            <w:fldSimple w:instr=" SEQ Table \* ARABIC ">
              <w:r w:rsidR="0005276B">
                <w:rPr>
                  <w:noProof/>
                </w:rPr>
                <w:t>2</w:t>
              </w:r>
            </w:fldSimple>
            <w:bookmarkEnd w:id="2"/>
            <w:r w:rsidRPr="00140B38">
              <w:t>:</w:t>
            </w:r>
            <w:r w:rsidRPr="00140B38">
              <w:rPr>
                <w:bCs w:val="0"/>
                <w:color w:val="000000"/>
              </w:rPr>
              <w:tab/>
              <w:t xml:space="preserve">Demographics; </w:t>
            </w:r>
            <w:r w:rsidRPr="002D2BFF">
              <w:rPr>
                <w:bCs w:val="0"/>
                <w:color w:val="000000"/>
                <w:highlight w:val="yellow"/>
              </w:rPr>
              <w:t>All Treated</w:t>
            </w:r>
            <w:r w:rsidRPr="00140B38">
              <w:rPr>
                <w:bCs w:val="0"/>
                <w:color w:val="000000"/>
              </w:rPr>
              <w:t xml:space="preserve"> Analysis Set (Study 54767414MMY2002)</w:t>
            </w:r>
            <w:bookmarkEnd w:id="3"/>
          </w:p>
        </w:tc>
      </w:tr>
      <w:tr w:rsidR="0084566E" w:rsidRPr="00A71AD1" w:rsidTr="0025563C">
        <w:trPr>
          <w:cantSplit/>
          <w:tblHeader/>
          <w:jc w:val="center"/>
        </w:trPr>
        <w:tc>
          <w:tcPr>
            <w:tcW w:w="21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32ECE">
              <w:rPr>
                <w:color w:val="000000"/>
                <w:sz w:val="18"/>
                <w:szCs w:val="18"/>
                <w:highlight w:val="magenta"/>
              </w:rPr>
              <w:t>16 mg/kg</w:t>
            </w:r>
            <w:r w:rsidRPr="00A71AD1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tblHeader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 xml:space="preserve">Part 1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 xml:space="preserve">Part 2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5358D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E10B6F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E10B6F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10B6F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Category, n (%)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18 - &lt; 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23 (56.1%)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35 (53.8%)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58 (54.7%)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66 (53.2%)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65 - &lt; 75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13 (31.7%)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23 (35.4%)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36 (34.0%)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44 (35.5%)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≥ 75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 (12.2%)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 (10.8%)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 (11.3%)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14 (11.3%)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64.2 (7.72)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62.6 (10.39)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63.1 (9.82)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62.9 (10.00)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63.1 (9.68)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D2BFF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65.5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63.0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64.0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32ECE">
              <w:rPr>
                <w:color w:val="000000"/>
                <w:sz w:val="18"/>
                <w:szCs w:val="18"/>
                <w:highlight w:val="magenta"/>
              </w:rPr>
              <w:t>63.5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2D2BFF">
              <w:rPr>
                <w:color w:val="000000"/>
                <w:sz w:val="18"/>
                <w:szCs w:val="18"/>
                <w:highlight w:val="yellow"/>
              </w:rPr>
              <w:t>64.0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(49; 76)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(31; 84)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(32; 84)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(31; 84)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(31; 84)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Sex, n (%)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D2BFF">
              <w:rPr>
                <w:color w:val="000000"/>
                <w:sz w:val="18"/>
                <w:szCs w:val="18"/>
                <w:highlight w:val="green"/>
              </w:rPr>
              <w:t>Male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25 (61.0%)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27 (41.5%)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52 (49.1%)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64 </w:t>
            </w:r>
            <w:r w:rsidRPr="002D2BFF">
              <w:rPr>
                <w:color w:val="000000"/>
                <w:sz w:val="18"/>
                <w:szCs w:val="18"/>
                <w:highlight w:val="green"/>
              </w:rPr>
              <w:t>(51.6%)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432ECE">
              <w:rPr>
                <w:color w:val="000000"/>
                <w:sz w:val="18"/>
                <w:szCs w:val="18"/>
                <w:highlight w:val="magenta"/>
              </w:rPr>
              <w:t>Female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 (39.0%)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38 (58.5%)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32ECE">
              <w:rPr>
                <w:color w:val="000000"/>
                <w:sz w:val="18"/>
                <w:szCs w:val="18"/>
                <w:highlight w:val="magenta"/>
              </w:rPr>
              <w:t>54 (50.9%)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60 (48.4%)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2D2BFF">
              <w:rPr>
                <w:color w:val="000000"/>
                <w:sz w:val="18"/>
                <w:szCs w:val="18"/>
                <w:highlight w:val="cyan"/>
              </w:rPr>
              <w:t>White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17 (94.4%)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33 (80.5%)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51 (78.5%)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84 (</w:t>
            </w:r>
            <w:r w:rsidRPr="0039799F">
              <w:rPr>
                <w:color w:val="000000"/>
                <w:sz w:val="18"/>
                <w:szCs w:val="18"/>
                <w:highlight w:val="magenta"/>
              </w:rPr>
              <w:t>79.2%</w:t>
            </w:r>
            <w:r w:rsidRPr="00A71AD1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101 </w:t>
            </w:r>
            <w:r w:rsidRPr="002D2BFF">
              <w:rPr>
                <w:color w:val="000000"/>
                <w:sz w:val="18"/>
                <w:szCs w:val="18"/>
                <w:highlight w:val="cyan"/>
              </w:rPr>
              <w:t>(81.5%)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2D2BFF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2D2BFF">
              <w:rPr>
                <w:color w:val="000000"/>
                <w:sz w:val="18"/>
                <w:szCs w:val="18"/>
                <w:highlight w:val="cyan"/>
              </w:rPr>
              <w:t>Black or African American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11 (16.9%)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15 (</w:t>
            </w:r>
            <w:r w:rsidRPr="0039799F">
              <w:rPr>
                <w:color w:val="000000"/>
                <w:sz w:val="18"/>
                <w:szCs w:val="18"/>
                <w:highlight w:val="magenta"/>
              </w:rPr>
              <w:t>14.2%)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15 </w:t>
            </w:r>
            <w:r w:rsidRPr="002D2BFF">
              <w:rPr>
                <w:color w:val="000000"/>
                <w:sz w:val="18"/>
                <w:szCs w:val="18"/>
                <w:highlight w:val="cyan"/>
              </w:rPr>
              <w:t>(12.1%)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Asian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 (4.6%)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Not reported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Height (cm)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104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122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168.44 (15.366)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170.75 (9.449)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165.70 (10.858)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167.64 (10.584)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167.76 (11.341)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167.55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171.35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165.05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167.60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167.60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(137.4; 198.0)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(152.0; 190.5)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(139.0; 196.0)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(139.0; 196.0)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(137.4; 198.0)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Weight (kg)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81.95 (28.290)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78.42 (17.505)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74.09 (19.731)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75.77 (18.935)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76.66 (20.529)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78.80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78.00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73.00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75.50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76.00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(46.2; 160.2)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(41.0; 116.0)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(38.4; 140.0)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(38.4; 140.0)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(38.4; 160.2)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D3334" w:rsidRDefault="0084566E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magenta"/>
              </w:rPr>
            </w:pPr>
            <w:r w:rsidRPr="00DD3334">
              <w:rPr>
                <w:color w:val="000000"/>
                <w:sz w:val="18"/>
                <w:szCs w:val="18"/>
                <w:highlight w:val="magenta"/>
              </w:rPr>
              <w:t>Baseline ECOG score, n (%)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81F79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9 (22.0%)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20 (30.8%)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29 (27.4%)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36 (29.0%)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D3334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magenta"/>
              </w:rPr>
            </w:pPr>
            <w:r w:rsidRPr="00DD3334">
              <w:rPr>
                <w:color w:val="000000"/>
                <w:sz w:val="18"/>
                <w:szCs w:val="18"/>
                <w:highlight w:val="magenta"/>
              </w:rPr>
              <w:t>1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30 (73.2%)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39 (60.0%)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 xml:space="preserve">69 </w:t>
            </w:r>
            <w:r w:rsidRPr="00DD3334">
              <w:rPr>
                <w:color w:val="000000"/>
                <w:sz w:val="18"/>
                <w:szCs w:val="18"/>
                <w:highlight w:val="magenta"/>
              </w:rPr>
              <w:t>(65.1%)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78 (62.9%)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14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DD3334" w:rsidRDefault="0084566E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magenta"/>
              </w:rPr>
            </w:pPr>
            <w:r w:rsidRPr="00DD3334">
              <w:rPr>
                <w:color w:val="000000"/>
                <w:sz w:val="18"/>
                <w:szCs w:val="18"/>
                <w:highlight w:val="magenta"/>
              </w:rPr>
              <w:t>2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2 (4.9%)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6 (9.2%)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8 (</w:t>
            </w:r>
            <w:r w:rsidRPr="00DD3334">
              <w:rPr>
                <w:color w:val="000000"/>
                <w:sz w:val="18"/>
                <w:szCs w:val="18"/>
                <w:highlight w:val="magenta"/>
              </w:rPr>
              <w:t>7.5%)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4566E" w:rsidRPr="00A71AD1" w:rsidRDefault="0084566E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10 (8.1%)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566E" w:rsidRPr="00A71AD1" w:rsidRDefault="0084566E" w:rsidP="0025563C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71AD1">
              <w:rPr>
                <w:color w:val="000000"/>
                <w:sz w:val="18"/>
                <w:szCs w:val="18"/>
              </w:rPr>
              <w:t>Percentages are calculated with the number of subjects in each group with available data as denominator.</w:t>
            </w:r>
          </w:p>
        </w:tc>
      </w:tr>
      <w:tr w:rsidR="0084566E" w:rsidRPr="00A71AD1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4566E" w:rsidRPr="00A71AD1" w:rsidRDefault="0084566E" w:rsidP="0025563C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A71AD1">
              <w:rPr>
                <w:color w:val="000000"/>
                <w:sz w:val="16"/>
                <w:szCs w:val="16"/>
              </w:rPr>
              <w:t>[TSIDEM01.rtf] [JNJ-54767414\MMY2002\DBR_CSR\RE_CSR\tsidem01.sas] 13FEB2015, 14:05</w:t>
            </w:r>
          </w:p>
        </w:tc>
      </w:tr>
    </w:tbl>
    <w:p w:rsidR="0084566E" w:rsidRDefault="0084566E" w:rsidP="0084566E">
      <w:pPr>
        <w:pStyle w:val="BodyText12"/>
      </w:pPr>
    </w:p>
    <w:p w:rsidR="00B07168" w:rsidRDefault="00B07168" w:rsidP="003E494B">
      <w:r>
        <w:br w:type="page"/>
      </w:r>
    </w:p>
    <w:p w:rsidR="007E3E06" w:rsidRDefault="007D219A" w:rsidP="007E3E06">
      <w:pPr>
        <w:pStyle w:val="BodyText12"/>
      </w:pPr>
      <w:r>
        <w:lastRenderedPageBreak/>
        <w:t>I</w:t>
      </w:r>
      <w:r w:rsidR="007E3E06" w:rsidRPr="007D1A72">
        <w:t xml:space="preserve">n the </w:t>
      </w:r>
      <w:r w:rsidR="007E3E06" w:rsidRPr="007D219A">
        <w:rPr>
          <w:highlight w:val="yellow"/>
        </w:rPr>
        <w:t>16 mg/kg</w:t>
      </w:r>
      <w:r w:rsidR="007E3E06" w:rsidRPr="007D1A72">
        <w:t xml:space="preserve"> group</w:t>
      </w:r>
      <w:r>
        <w:t>,</w:t>
      </w:r>
      <w:r w:rsidR="007E3E06" w:rsidRPr="007D1A72">
        <w:t xml:space="preserve"> </w:t>
      </w:r>
      <w:r w:rsidRPr="007D219A">
        <w:rPr>
          <w:highlight w:val="yellow"/>
        </w:rPr>
        <w:t>37.7%</w:t>
      </w:r>
      <w:r>
        <w:t xml:space="preserve"> of subjects had</w:t>
      </w:r>
      <w:r w:rsidR="007E3E06" w:rsidRPr="007D1A72">
        <w:t xml:space="preserve"> </w:t>
      </w:r>
      <w:r w:rsidR="007E3E06" w:rsidRPr="007D219A">
        <w:rPr>
          <w:highlight w:val="yellow"/>
        </w:rPr>
        <w:t>ISS Stage II</w:t>
      </w:r>
      <w:r w:rsidR="007E3E06" w:rsidRPr="00424F39">
        <w:t xml:space="preserve"> </w:t>
      </w:r>
      <w:r>
        <w:t xml:space="preserve">and </w:t>
      </w:r>
      <w:r w:rsidRPr="007D219A">
        <w:rPr>
          <w:highlight w:val="yellow"/>
        </w:rPr>
        <w:t>37.7%</w:t>
      </w:r>
      <w:r>
        <w:t xml:space="preserve"> of subjects had</w:t>
      </w:r>
      <w:r w:rsidRPr="007D1A72">
        <w:t xml:space="preserve"> ISS</w:t>
      </w:r>
      <w:r w:rsidRPr="00424F39">
        <w:t xml:space="preserve"> Stage</w:t>
      </w:r>
      <w:r w:rsidR="007E3E06" w:rsidRPr="00424F39">
        <w:t xml:space="preserve"> </w:t>
      </w:r>
      <w:r w:rsidR="007E3E06" w:rsidRPr="007D219A">
        <w:rPr>
          <w:highlight w:val="yellow"/>
        </w:rPr>
        <w:t>III</w:t>
      </w:r>
      <w:r w:rsidR="007E3E06" w:rsidRPr="00424F39">
        <w:t xml:space="preserve"> disease.</w:t>
      </w:r>
      <w:r w:rsidR="007E3E06">
        <w:t xml:space="preserve"> </w:t>
      </w:r>
      <w:r w:rsidR="007E3E06" w:rsidRPr="00BE49A4">
        <w:t xml:space="preserve">The most frequent </w:t>
      </w:r>
      <w:r w:rsidR="007E3E06" w:rsidRPr="001A477C">
        <w:rPr>
          <w:highlight w:val="green"/>
        </w:rPr>
        <w:t>type of myeloma</w:t>
      </w:r>
      <w:r w:rsidR="007E3E06" w:rsidRPr="00BE49A4">
        <w:t xml:space="preserve"> was IgG (</w:t>
      </w:r>
      <w:r w:rsidR="007E3E06" w:rsidRPr="001A477C">
        <w:rPr>
          <w:highlight w:val="green"/>
        </w:rPr>
        <w:t>49 subjects; 46%</w:t>
      </w:r>
      <w:r w:rsidR="007E3E06" w:rsidRPr="00BE49A4">
        <w:t>)</w:t>
      </w:r>
      <w:r w:rsidR="007E3E06">
        <w:t xml:space="preserve">, </w:t>
      </w:r>
      <w:r w:rsidR="007E3E06" w:rsidRPr="006A4FFF">
        <w:rPr>
          <w:highlight w:val="green"/>
        </w:rPr>
        <w:t>IgA (22 subjects; 21%</w:t>
      </w:r>
      <w:r w:rsidR="007E3E06">
        <w:t xml:space="preserve">), and </w:t>
      </w:r>
      <w:r w:rsidR="007E3E06" w:rsidRPr="006A4FFF">
        <w:rPr>
          <w:highlight w:val="green"/>
        </w:rPr>
        <w:t>light chain (30 subjects; 28%</w:t>
      </w:r>
      <w:r w:rsidR="007E3E06">
        <w:t xml:space="preserve">). </w:t>
      </w:r>
    </w:p>
    <w:p w:rsidR="007E3E06" w:rsidRDefault="007E3E06" w:rsidP="007E3E06">
      <w:pPr>
        <w:pStyle w:val="BodyText12"/>
        <w:keepNext/>
        <w:keepLines/>
      </w:pPr>
      <w:r>
        <w:t xml:space="preserve">In the 16 mg/kg group, translocation </w:t>
      </w:r>
      <w:r w:rsidRPr="007E2643">
        <w:rPr>
          <w:highlight w:val="cyan"/>
        </w:rPr>
        <w:t>t(4,14)</w:t>
      </w:r>
      <w:r w:rsidRPr="00BB3377">
        <w:t xml:space="preserve"> was reported in </w:t>
      </w:r>
      <w:r w:rsidRPr="007E2643">
        <w:rPr>
          <w:highlight w:val="cyan"/>
        </w:rPr>
        <w:t>9 subjects (10%)</w:t>
      </w:r>
      <w:r>
        <w:t xml:space="preserve"> and </w:t>
      </w:r>
      <w:r w:rsidRPr="007E2643">
        <w:rPr>
          <w:highlight w:val="cyan"/>
        </w:rPr>
        <w:t>deletion 17p13 in 16 subjects (17%)</w:t>
      </w:r>
      <w:r>
        <w:t>.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549"/>
        <w:gridCol w:w="1421"/>
        <w:gridCol w:w="1419"/>
        <w:gridCol w:w="1331"/>
        <w:gridCol w:w="1333"/>
        <w:gridCol w:w="1307"/>
      </w:tblGrid>
      <w:tr w:rsidR="007E3E06" w:rsidRPr="00041A0C" w:rsidTr="0025563C">
        <w:trPr>
          <w:cantSplit/>
          <w:tblHeader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pStyle w:val="Caption"/>
              <w:rPr>
                <w:color w:val="000000"/>
              </w:rPr>
            </w:pPr>
            <w:bookmarkStart w:id="4" w:name="_Ref411682694"/>
            <w:bookmarkStart w:id="5" w:name="_Toc419922878"/>
            <w:r>
              <w:t>Table </w:t>
            </w:r>
            <w:fldSimple w:instr=" SEQ Table \* ARABIC ">
              <w:r>
                <w:rPr>
                  <w:noProof/>
                </w:rPr>
                <w:t>3</w:t>
              </w:r>
            </w:fldSimple>
            <w:bookmarkEnd w:id="4"/>
            <w:r>
              <w:t>:</w:t>
            </w:r>
            <w:r w:rsidRPr="00041A0C">
              <w:rPr>
                <w:color w:val="000000"/>
              </w:rPr>
              <w:tab/>
              <w:t>Baseline Disease Characteristics; All Treated Analysis Set (Study 54767414MMY2002)</w:t>
            </w:r>
            <w:bookmarkEnd w:id="5"/>
          </w:p>
        </w:tc>
      </w:tr>
      <w:tr w:rsidR="007E3E06" w:rsidRPr="00041A0C" w:rsidTr="0025563C">
        <w:trPr>
          <w:cantSplit/>
          <w:tblHeader/>
          <w:jc w:val="center"/>
        </w:trPr>
        <w:tc>
          <w:tcPr>
            <w:tcW w:w="21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8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93919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041A0C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tblHeader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 xml:space="preserve">Part 1 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 xml:space="preserve">Part 2 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34007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F34007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1A477C">
              <w:rPr>
                <w:color w:val="000000"/>
                <w:sz w:val="18"/>
                <w:szCs w:val="18"/>
                <w:highlight w:val="green"/>
              </w:rPr>
              <w:t>Type of myeloma</w:t>
            </w:r>
            <w:r w:rsidRPr="00D81F79">
              <w:rPr>
                <w:color w:val="000000"/>
                <w:sz w:val="18"/>
                <w:szCs w:val="18"/>
              </w:rPr>
              <w:t xml:space="preserve"> by immunofixation, n (%)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540BA2">
              <w:rPr>
                <w:color w:val="000000"/>
                <w:sz w:val="18"/>
                <w:szCs w:val="18"/>
                <w:highlight w:val="green"/>
              </w:rPr>
              <w:t>IgG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 (61.1%)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19 (46.3%)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30 (46.2%)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540BA2">
              <w:rPr>
                <w:color w:val="000000"/>
                <w:sz w:val="18"/>
                <w:szCs w:val="18"/>
                <w:highlight w:val="green"/>
              </w:rPr>
              <w:t>49 (46.2%)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60 (48.4%)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A4FFF">
              <w:rPr>
                <w:color w:val="000000"/>
                <w:sz w:val="18"/>
                <w:szCs w:val="18"/>
                <w:highlight w:val="green"/>
              </w:rPr>
              <w:t>IgA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9 (22.0%)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13 (20.0%)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A4FFF">
              <w:rPr>
                <w:color w:val="000000"/>
                <w:sz w:val="18"/>
                <w:szCs w:val="18"/>
                <w:highlight w:val="green"/>
              </w:rPr>
              <w:t>22 (20.8%)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25 (20.2%)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IgM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IgD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(4.9%)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 (1.5%)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 (2.4%)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IgE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6A4FFF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green"/>
              </w:rPr>
            </w:pPr>
            <w:r w:rsidRPr="006A4FFF">
              <w:rPr>
                <w:color w:val="000000"/>
                <w:sz w:val="18"/>
                <w:szCs w:val="18"/>
                <w:highlight w:val="green"/>
              </w:rPr>
              <w:t>Light chain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10 (24.4%)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20 (30.8%)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A4FFF">
              <w:rPr>
                <w:color w:val="000000"/>
                <w:sz w:val="18"/>
                <w:szCs w:val="18"/>
                <w:highlight w:val="green"/>
              </w:rPr>
              <w:t>30 (28.3%)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34 (27.4%)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Kappa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 (14.6%)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 (16.9%)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17 (16.0%)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19 (15.3%)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Lambda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 (9.8%)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9 (13.8%)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13 (12.3%)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15 (12.1%)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Biclonal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Serum free light chain only</w:t>
            </w:r>
            <w:r w:rsidRPr="00D81F79"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 (2.4%)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 (1.5%)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D219A">
              <w:rPr>
                <w:color w:val="000000"/>
                <w:sz w:val="18"/>
                <w:szCs w:val="18"/>
                <w:highlight w:val="yellow"/>
              </w:rPr>
              <w:t>ISS Staging</w:t>
            </w:r>
            <w:r w:rsidRPr="00D81F79">
              <w:rPr>
                <w:color w:val="000000"/>
                <w:sz w:val="18"/>
                <w:szCs w:val="18"/>
              </w:rPr>
              <w:t>, n (%)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 (26.8%)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15 (23.1%)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26 (24.5%)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28 (22.6%)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7D219A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7D219A">
              <w:rPr>
                <w:color w:val="000000"/>
                <w:sz w:val="18"/>
                <w:szCs w:val="18"/>
                <w:highlight w:val="yellow"/>
              </w:rPr>
              <w:t>II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17 (41.5%)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23 (35.4%)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40 (</w:t>
            </w:r>
            <w:r w:rsidRPr="00993919">
              <w:rPr>
                <w:color w:val="000000"/>
                <w:sz w:val="18"/>
                <w:szCs w:val="18"/>
                <w:highlight w:val="yellow"/>
              </w:rPr>
              <w:t>37.7%)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48 (38.7%)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7D219A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7D219A">
              <w:rPr>
                <w:color w:val="000000"/>
                <w:sz w:val="18"/>
                <w:szCs w:val="18"/>
                <w:highlight w:val="yellow"/>
              </w:rPr>
              <w:t>III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13 (31.7%)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27 (41.5%)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40 (</w:t>
            </w:r>
            <w:r w:rsidRPr="00993919">
              <w:rPr>
                <w:color w:val="000000"/>
                <w:sz w:val="18"/>
                <w:szCs w:val="18"/>
                <w:highlight w:val="yellow"/>
              </w:rPr>
              <w:t>37.7%)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48 (38.7%)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Cytogenetics profile</w:t>
            </w:r>
            <w:r w:rsidRPr="00D81F79">
              <w:rPr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</w:t>
            </w:r>
            <w:r w:rsidRPr="00D81F79">
              <w:rPr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112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E2643">
              <w:rPr>
                <w:color w:val="000000"/>
                <w:sz w:val="18"/>
                <w:szCs w:val="18"/>
                <w:highlight w:val="cyan"/>
              </w:rPr>
              <w:t>T (4; 14)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 (11.8%)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 (8.1%)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 (10.3%)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E2643">
              <w:rPr>
                <w:color w:val="000000"/>
                <w:sz w:val="18"/>
                <w:szCs w:val="18"/>
                <w:highlight w:val="cyan"/>
              </w:rPr>
              <w:t>9 (9.5%)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 (9.8%)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7E2643">
              <w:rPr>
                <w:color w:val="000000"/>
                <w:sz w:val="18"/>
                <w:szCs w:val="18"/>
                <w:highlight w:val="cyan"/>
              </w:rPr>
              <w:t>Del17p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 (35.3%)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 (10.8%)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12 (20.7%)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7E2643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7E2643">
              <w:rPr>
                <w:color w:val="000000"/>
                <w:sz w:val="18"/>
                <w:szCs w:val="18"/>
                <w:highlight w:val="cyan"/>
              </w:rPr>
              <w:t>16 (16.8%)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22 (19.6%)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Del13q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 (23.5%)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15 (40.5%)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15 (25.9%)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30 (31.6%)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34 (30.4%)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Amp1q21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 (17.6%)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7 (18.9%)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16 (27.6%)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23 (24.2%)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26 (23.2%)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Other</w:t>
            </w:r>
            <w:r w:rsidRPr="00D81F79">
              <w:rPr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 (29.4%)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17 (45.9%)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26 (44.8%)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43 (45.3%)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48 (42.9%)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trHeight w:val="360"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D81F79" w:rsidRDefault="007E3E06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81F79">
              <w:rPr>
                <w:color w:val="000000"/>
                <w:sz w:val="18"/>
                <w:szCs w:val="18"/>
              </w:rPr>
              <w:t>Number of lines of prior therapy, n (%)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≤ 3 Lines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8 (19.5%)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11 (16.9%)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25 (20.2%)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&gt; 3 Lines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33 (80.5%)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54 (83.1%)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87 (82.1%)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99 (79.8%)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5.1 (2.35)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5.3 (2.10)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5.7 (2.50)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5.6 (2.35)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5.5 (2.35)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5.0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(2; 11)</w:t>
            </w: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(2; 11)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(2; 14)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(2; 14)</w:t>
            </w: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(2; 14)</w:t>
            </w:r>
          </w:p>
        </w:tc>
      </w:tr>
      <w:tr w:rsidR="007E3E06" w:rsidRPr="00041A0C" w:rsidTr="0025563C">
        <w:trPr>
          <w:cantSplit/>
          <w:jc w:val="center"/>
        </w:trPr>
        <w:tc>
          <w:tcPr>
            <w:tcW w:w="13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E3E06" w:rsidRPr="00041A0C" w:rsidRDefault="007E3E06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E3E06" w:rsidRPr="00041A0C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3E06" w:rsidRPr="00041A0C" w:rsidRDefault="007E3E06" w:rsidP="0025563C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041A0C">
              <w:rPr>
                <w:color w:val="000000"/>
                <w:sz w:val="18"/>
                <w:szCs w:val="18"/>
              </w:rPr>
              <w:t>Percentages are calculated with the number of subjects in each group with available data as denominator.</w:t>
            </w:r>
            <w:r w:rsidRPr="00041A0C">
              <w:rPr>
                <w:color w:val="000000"/>
                <w:sz w:val="18"/>
                <w:szCs w:val="18"/>
              </w:rPr>
              <w:br/>
            </w:r>
            <w:r w:rsidRPr="00041A0C">
              <w:rPr>
                <w:color w:val="000000"/>
                <w:sz w:val="18"/>
                <w:szCs w:val="18"/>
                <w:vertAlign w:val="superscript"/>
              </w:rPr>
              <w:t xml:space="preserve"> a</w:t>
            </w:r>
            <w:r w:rsidRPr="00041A0C">
              <w:rPr>
                <w:color w:val="000000"/>
                <w:sz w:val="18"/>
                <w:szCs w:val="18"/>
              </w:rPr>
              <w:t>not detected by immunofixation, serum free light chain only.</w:t>
            </w:r>
            <w:r w:rsidRPr="00041A0C">
              <w:rPr>
                <w:color w:val="000000"/>
                <w:sz w:val="18"/>
                <w:szCs w:val="18"/>
              </w:rPr>
              <w:br/>
            </w:r>
            <w:r w:rsidRPr="00041A0C">
              <w:rPr>
                <w:color w:val="000000"/>
                <w:sz w:val="18"/>
                <w:szCs w:val="18"/>
                <w:vertAlign w:val="superscript"/>
              </w:rPr>
              <w:t xml:space="preserve"> b</w:t>
            </w:r>
            <w:r w:rsidRPr="00041A0C">
              <w:rPr>
                <w:color w:val="000000"/>
                <w:sz w:val="18"/>
                <w:szCs w:val="18"/>
              </w:rPr>
              <w:t>Cytogenetic abnormalities were detected by FISH and/or karyotyping.</w:t>
            </w:r>
            <w:r w:rsidRPr="00041A0C">
              <w:rPr>
                <w:color w:val="000000"/>
                <w:sz w:val="18"/>
                <w:szCs w:val="18"/>
              </w:rPr>
              <w:br/>
            </w:r>
            <w:r w:rsidRPr="00041A0C">
              <w:rPr>
                <w:color w:val="000000"/>
                <w:sz w:val="18"/>
                <w:szCs w:val="18"/>
                <w:vertAlign w:val="superscript"/>
              </w:rPr>
              <w:t xml:space="preserve"> c</w:t>
            </w:r>
            <w:r w:rsidRPr="00041A0C">
              <w:rPr>
                <w:color w:val="000000"/>
                <w:sz w:val="18"/>
                <w:szCs w:val="18"/>
              </w:rPr>
              <w:t>Only includes all subjects with cytogenetics data available.</w:t>
            </w:r>
            <w:r w:rsidRPr="00041A0C">
              <w:rPr>
                <w:color w:val="000000"/>
                <w:sz w:val="18"/>
                <w:szCs w:val="18"/>
              </w:rPr>
              <w:br/>
            </w:r>
            <w:r w:rsidRPr="00041A0C">
              <w:rPr>
                <w:color w:val="000000"/>
                <w:sz w:val="18"/>
                <w:szCs w:val="18"/>
                <w:vertAlign w:val="superscript"/>
              </w:rPr>
              <w:t xml:space="preserve"> d</w:t>
            </w:r>
            <w:r w:rsidRPr="00041A0C">
              <w:rPr>
                <w:color w:val="000000"/>
                <w:sz w:val="18"/>
                <w:szCs w:val="18"/>
              </w:rPr>
              <w:t>Includes other types of abnormality or normal result.</w:t>
            </w:r>
            <w:r w:rsidRPr="00041A0C">
              <w:rPr>
                <w:color w:val="000000"/>
                <w:sz w:val="18"/>
                <w:szCs w:val="18"/>
              </w:rPr>
              <w:br/>
              <w:t>Note: For bone marrow % plasma cells, the maximum value from either biopsy or aspirate at baseline is summarized.</w:t>
            </w:r>
          </w:p>
        </w:tc>
      </w:tr>
      <w:tr w:rsidR="007E3E06" w:rsidRPr="00C41727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E3E06" w:rsidRPr="00C41727" w:rsidRDefault="007E3E06" w:rsidP="0025563C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TSIDEM02</w:t>
            </w:r>
          </w:p>
        </w:tc>
      </w:tr>
    </w:tbl>
    <w:p w:rsidR="00F71BA3" w:rsidRDefault="00F71BA3" w:rsidP="003E494B">
      <w:r>
        <w:br w:type="page"/>
      </w:r>
    </w:p>
    <w:p w:rsidR="009056E9" w:rsidRDefault="009056E9" w:rsidP="00701B3E">
      <w:pPr>
        <w:pStyle w:val="BodyText12"/>
      </w:pPr>
      <w:r w:rsidRPr="00FE48E1">
        <w:lastRenderedPageBreak/>
        <w:t xml:space="preserve">A summary of prior multiple myeloma therapy for all treated subjects is provided in </w:t>
      </w:r>
      <w:r>
        <w:fldChar w:fldCharType="begin"/>
      </w:r>
      <w:r>
        <w:instrText xml:space="preserve"> REF _Ref414965790 \h </w:instrText>
      </w:r>
      <w:r>
        <w:fldChar w:fldCharType="separate"/>
      </w:r>
      <w:r w:rsidR="006D199A">
        <w:t xml:space="preserve">Table </w:t>
      </w:r>
      <w:r w:rsidR="006D199A">
        <w:rPr>
          <w:noProof/>
        </w:rPr>
        <w:t>4</w:t>
      </w:r>
      <w:r>
        <w:fldChar w:fldCharType="end"/>
      </w:r>
      <w:r w:rsidRPr="00FE48E1">
        <w:t xml:space="preserve">. In the </w:t>
      </w:r>
      <w:r w:rsidRPr="00701B3E">
        <w:rPr>
          <w:highlight w:val="yellow"/>
        </w:rPr>
        <w:t>16 mg/kg</w:t>
      </w:r>
      <w:r w:rsidRPr="007D1A72">
        <w:t xml:space="preserve"> group, </w:t>
      </w:r>
      <w:r w:rsidRPr="00ED01C7">
        <w:rPr>
          <w:highlight w:val="yellow"/>
        </w:rPr>
        <w:t>median number of prior lines of therapy</w:t>
      </w:r>
      <w:r w:rsidRPr="007D1A72">
        <w:t xml:space="preserve"> was </w:t>
      </w:r>
      <w:r w:rsidRPr="00ED01C7">
        <w:rPr>
          <w:highlight w:val="yellow"/>
        </w:rPr>
        <w:t>5</w:t>
      </w:r>
      <w:r w:rsidRPr="007D1A72">
        <w:t xml:space="preserve">; </w:t>
      </w:r>
      <w:r w:rsidRPr="00ED01C7">
        <w:rPr>
          <w:highlight w:val="green"/>
        </w:rPr>
        <w:t>82% of subjects</w:t>
      </w:r>
      <w:r w:rsidRPr="007D1A72">
        <w:t xml:space="preserve"> had </w:t>
      </w:r>
      <w:r w:rsidRPr="00ED01C7">
        <w:rPr>
          <w:highlight w:val="green"/>
        </w:rPr>
        <w:t>&gt;3 prior lines of therapy</w:t>
      </w:r>
      <w:r w:rsidRPr="007D1A72">
        <w:t xml:space="preserve"> (</w:t>
      </w:r>
      <w:r w:rsidRPr="007D1A72">
        <w:fldChar w:fldCharType="begin"/>
      </w:r>
      <w:r w:rsidRPr="007D1A72">
        <w:instrText xml:space="preserve"> REF _Ref414965790 \h  \* MERGEFORMAT </w:instrText>
      </w:r>
      <w:r w:rsidRPr="007D1A72">
        <w:fldChar w:fldCharType="separate"/>
      </w:r>
      <w:r w:rsidR="006D199A">
        <w:t xml:space="preserve">Table </w:t>
      </w:r>
      <w:r w:rsidR="006D199A">
        <w:rPr>
          <w:noProof/>
        </w:rPr>
        <w:t>4</w:t>
      </w:r>
      <w:r w:rsidRPr="007D1A72">
        <w:fldChar w:fldCharType="end"/>
      </w:r>
      <w:r w:rsidRPr="007D1A72">
        <w:t xml:space="preserve">). </w:t>
      </w:r>
      <w:r w:rsidRPr="004A78E1">
        <w:rPr>
          <w:highlight w:val="cyan"/>
        </w:rPr>
        <w:t>All subjects (100%)</w:t>
      </w:r>
      <w:r w:rsidRPr="007D1A72">
        <w:t xml:space="preserve"> received </w:t>
      </w:r>
      <w:r w:rsidRPr="004A78E1">
        <w:rPr>
          <w:highlight w:val="cyan"/>
        </w:rPr>
        <w:t>prior PI and IMiD</w:t>
      </w:r>
      <w:r w:rsidRPr="007D1A72">
        <w:t xml:space="preserve">. </w:t>
      </w:r>
      <w:r w:rsidRPr="004A78E1">
        <w:rPr>
          <w:highlight w:val="magenta"/>
        </w:rPr>
        <w:t>Eighty-five subjects (80%)</w:t>
      </w:r>
      <w:r w:rsidRPr="007D1A72">
        <w:t xml:space="preserve"> had </w:t>
      </w:r>
      <w:r w:rsidRPr="004A78E1">
        <w:rPr>
          <w:highlight w:val="magenta"/>
        </w:rPr>
        <w:t>a prior ASCT</w:t>
      </w:r>
      <w:r w:rsidRPr="007D1A72">
        <w:t>. All except 1 (</w:t>
      </w:r>
      <w:r w:rsidRPr="0025563C">
        <w:rPr>
          <w:highlight w:val="red"/>
        </w:rPr>
        <w:t>99%</w:t>
      </w:r>
      <w:r w:rsidRPr="007D1A72">
        <w:t xml:space="preserve">) subject received prior </w:t>
      </w:r>
      <w:r w:rsidRPr="00981919">
        <w:rPr>
          <w:highlight w:val="red"/>
        </w:rPr>
        <w:t>bortezomib</w:t>
      </w:r>
      <w:r w:rsidRPr="007D1A72">
        <w:t xml:space="preserve">. </w:t>
      </w: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172"/>
        <w:gridCol w:w="1155"/>
        <w:gridCol w:w="1153"/>
        <w:gridCol w:w="1331"/>
        <w:gridCol w:w="1209"/>
        <w:gridCol w:w="1340"/>
      </w:tblGrid>
      <w:tr w:rsidR="009056E9" w:rsidRPr="00D36606" w:rsidTr="0025563C">
        <w:trPr>
          <w:cantSplit/>
          <w:tblHeader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pStyle w:val="Caption"/>
              <w:rPr>
                <w:color w:val="000000"/>
              </w:rPr>
            </w:pPr>
            <w:bookmarkStart w:id="6" w:name="_Ref414965790"/>
            <w:bookmarkStart w:id="7" w:name="_Toc419922879"/>
            <w:r>
              <w:t xml:space="preserve">Table </w:t>
            </w:r>
            <w:fldSimple w:instr=" SEQ Table \* ARABIC ">
              <w:r w:rsidR="00754548">
                <w:rPr>
                  <w:noProof/>
                </w:rPr>
                <w:t>4</w:t>
              </w:r>
            </w:fldSimple>
            <w:bookmarkEnd w:id="6"/>
            <w:r>
              <w:t>:</w:t>
            </w:r>
            <w:r w:rsidRPr="00D36606">
              <w:rPr>
                <w:color w:val="000000"/>
              </w:rPr>
              <w:tab/>
              <w:t xml:space="preserve">Type of Prior Multiple Myeloma Therapy; </w:t>
            </w:r>
            <w:r>
              <w:rPr>
                <w:color w:val="000000"/>
              </w:rPr>
              <w:t>All Treated Analysis Set (Study </w:t>
            </w:r>
            <w:r w:rsidRPr="00D36606">
              <w:rPr>
                <w:color w:val="000000"/>
              </w:rPr>
              <w:t>54767414MMY2002)</w:t>
            </w:r>
            <w:bookmarkEnd w:id="7"/>
          </w:p>
        </w:tc>
      </w:tr>
      <w:tr w:rsidR="009056E9" w:rsidRPr="00D36606" w:rsidTr="0025563C">
        <w:trPr>
          <w:cantSplit/>
          <w:tblHeader/>
          <w:jc w:val="center"/>
        </w:trPr>
        <w:tc>
          <w:tcPr>
            <w:tcW w:w="2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7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54548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D36606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tblHeader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Part 1 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Part 2 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01B3E">
              <w:rPr>
                <w:color w:val="000000"/>
                <w:sz w:val="18"/>
                <w:szCs w:val="18"/>
                <w:highlight w:val="yellow"/>
              </w:rPr>
              <w:t>Number of lines of prior therapy</w:t>
            </w:r>
            <w:r w:rsidRPr="00D36606">
              <w:rPr>
                <w:color w:val="000000"/>
                <w:sz w:val="18"/>
                <w:szCs w:val="18"/>
              </w:rPr>
              <w:t>, n (%)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≤ 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8 (19.5%)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11 (16.9%)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19 (17.9%)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25 (20.2%)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ED01C7">
              <w:rPr>
                <w:color w:val="000000"/>
                <w:sz w:val="18"/>
                <w:szCs w:val="18"/>
                <w:highlight w:val="green"/>
              </w:rPr>
              <w:t>&gt; 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33 (80.5%)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54 (83.1%)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D01C7">
              <w:rPr>
                <w:color w:val="000000"/>
                <w:sz w:val="18"/>
                <w:szCs w:val="18"/>
                <w:highlight w:val="green"/>
              </w:rPr>
              <w:t>87 (82.1%)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99 (79.8%)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5.1 (2.35)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5.3 (2.10)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5.7 (2.50)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5.6 (2.35)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5.5 (2.35)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01B3E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01B3E">
              <w:rPr>
                <w:color w:val="000000"/>
                <w:sz w:val="18"/>
                <w:szCs w:val="18"/>
              </w:rPr>
              <w:t>5.0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01B3E">
              <w:rPr>
                <w:color w:val="000000"/>
                <w:sz w:val="18"/>
                <w:szCs w:val="18"/>
                <w:highlight w:val="yellow"/>
              </w:rPr>
              <w:t>5.0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5.0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(2; 11)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(2; 11)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(2; 14)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(2; 14)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(2; 14)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  <w:highlight w:val="cyan"/>
              </w:rPr>
              <w:t>Prior PI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106 </w:t>
            </w:r>
            <w:r w:rsidRPr="004A78E1">
              <w:rPr>
                <w:color w:val="000000"/>
                <w:sz w:val="18"/>
                <w:szCs w:val="18"/>
                <w:highlight w:val="cyan"/>
              </w:rPr>
              <w:t>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4A78E1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981919">
              <w:rPr>
                <w:color w:val="000000"/>
                <w:sz w:val="18"/>
                <w:szCs w:val="18"/>
                <w:highlight w:val="red"/>
              </w:rPr>
              <w:t>Bortezomib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64 (98.5%)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105 (</w:t>
            </w:r>
            <w:r w:rsidRPr="00981919">
              <w:rPr>
                <w:color w:val="000000"/>
                <w:sz w:val="18"/>
                <w:szCs w:val="18"/>
                <w:highlight w:val="red"/>
              </w:rPr>
              <w:t>99.1%)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4A78E1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</w:rPr>
              <w:t>123 (99.2%)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Carfilzomib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19 (46.3%)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34 (52.3%)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53 (50.0%)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4A78E1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</w:rPr>
              <w:t>59 (47.6%)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4A78E1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  <w:highlight w:val="cyan"/>
              </w:rPr>
              <w:t>Prior IMiD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 xml:space="preserve">106 </w:t>
            </w:r>
            <w:r w:rsidRPr="004A78E1">
              <w:rPr>
                <w:color w:val="000000"/>
                <w:sz w:val="18"/>
                <w:szCs w:val="18"/>
                <w:highlight w:val="cyan"/>
              </w:rPr>
              <w:t>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4A78E1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Lenalidomide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64 (98.5%)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105 (99.1%)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123 (99.2%)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Pomalidomide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26 (63.4%)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(63.1%)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67 (63.2%)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76 (61.3%)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Thalidomide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14 (34.1%)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33 (50.8%)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47 (44.3%)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53 (42.7%)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vertAlign w:val="superscript"/>
              </w:rPr>
            </w:pPr>
            <w:r w:rsidRPr="00D36606">
              <w:rPr>
                <w:color w:val="000000"/>
                <w:sz w:val="18"/>
                <w:szCs w:val="18"/>
              </w:rPr>
              <w:t>Prior PI+IMiD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PI+IMiD+ALKY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BORT+LEN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63 (96.9%)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104 (98.1%)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122 (98.4%)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CARF+POM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15 (36.6%)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24 (36.9%)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39 (36.8%)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42 (33.9%)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BORT+LEN+CARF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 (33.3%)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19 (46.3%)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33 (50.8%)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52 (49.1%)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58 (46.8%)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BORT+LEN+POM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9 (50.0%)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26 (63.4%)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(63.1%)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67 (63.2%)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76 (61.3%)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BORT+LEN+CARF+POM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15 (36.6%)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24 (36.9%)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39 (36.8%)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42 (33.9%)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BORT+LEN+CARF+POM+THAL</w:t>
            </w:r>
            <w:r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 (14.6%)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 (18.5%)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(17.0%)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21 (16.9%)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steroids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Dexamethasone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Prednisone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 (24.4%)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29 (44.6%)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39 (36.8%)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46 (37.1%)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chemotherapy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Alkylating agents</w:t>
            </w:r>
            <w:r>
              <w:rPr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41 (100.0%)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65 (100.0%)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Anthracyclines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12 (66.7%)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16 (39.0%)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39 (60.0%)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55 (51.9%)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67 (54.0%)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  <w:highlight w:val="magenta"/>
              </w:rPr>
              <w:t>Prior ASCT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17 (94.4%)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34 (82.9%)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51 (78.5%)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A78E1">
              <w:rPr>
                <w:color w:val="000000"/>
                <w:sz w:val="18"/>
                <w:szCs w:val="18"/>
                <w:highlight w:val="magenta"/>
              </w:rPr>
              <w:t>85 (80.2%)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102 (82.3%)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056E9" w:rsidRPr="00D36606" w:rsidTr="0025563C">
        <w:trPr>
          <w:cantSplit/>
          <w:jc w:val="center"/>
        </w:trPr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Prior radiotherapy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18 (43.9%)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19 (29.2%)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37 (34.9%)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056E9" w:rsidRPr="00D36606" w:rsidRDefault="009056E9" w:rsidP="002556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40 (32.3%)</w:t>
            </w:r>
          </w:p>
        </w:tc>
      </w:tr>
      <w:tr w:rsidR="009056E9" w:rsidRPr="00D36606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6E9" w:rsidRDefault="009056E9" w:rsidP="0025563C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D36606">
              <w:rPr>
                <w:color w:val="000000"/>
                <w:sz w:val="18"/>
                <w:szCs w:val="18"/>
              </w:rPr>
              <w:t>Keys: PI = proteasome inhibitor; IMiD = Immunomodulatory drug; ASCT = autologous stem cell transplant; BORT = bortezomib; LEN = lenalidomide; CARF = carfilzomib; POM = pomalidomide; THAL = thalidomide; ALKY = alkylating agents, including autologous stem cell transplant.</w:t>
            </w:r>
            <w:r w:rsidRPr="00D36606">
              <w:rPr>
                <w:color w:val="000000"/>
                <w:sz w:val="18"/>
                <w:szCs w:val="18"/>
              </w:rPr>
              <w:br/>
            </w:r>
            <w:r w:rsidRPr="00D36606">
              <w:rPr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Pr="0037234B">
              <w:rPr>
                <w:color w:val="000000"/>
                <w:sz w:val="18"/>
                <w:szCs w:val="18"/>
                <w:vertAlign w:val="superscript"/>
              </w:rPr>
              <w:t xml:space="preserve">a </w:t>
            </w:r>
            <w:r w:rsidRPr="0037234B">
              <w:rPr>
                <w:color w:val="000000"/>
                <w:sz w:val="18"/>
                <w:szCs w:val="18"/>
              </w:rPr>
              <w:t>Subject may have received these agents in different treatment regimens.</w:t>
            </w:r>
          </w:p>
          <w:p w:rsidR="009056E9" w:rsidRPr="00D36606" w:rsidRDefault="009056E9" w:rsidP="0025563C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vertAlign w:val="superscript"/>
              </w:rPr>
              <w:t>b</w:t>
            </w:r>
            <w:r w:rsidRPr="00D36606">
              <w:rPr>
                <w:color w:val="000000"/>
                <w:sz w:val="18"/>
                <w:szCs w:val="18"/>
              </w:rPr>
              <w:t>Includes either alkylating agents or autologous stem cell transplant.</w:t>
            </w:r>
            <w:r w:rsidRPr="00D36606">
              <w:rPr>
                <w:color w:val="000000"/>
                <w:sz w:val="18"/>
                <w:szCs w:val="18"/>
              </w:rPr>
              <w:br/>
              <w:t>Note: PI includes bortezomib, carfilzomib, MLN9708, marizomib, and oprozomib; IMiD includes thalidomide, lenalidomide, and pomalidomide.</w:t>
            </w:r>
            <w:r w:rsidRPr="00D36606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9056E9" w:rsidRPr="00C41727" w:rsidTr="0025563C">
        <w:trPr>
          <w:cantSplit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9056E9" w:rsidRPr="00C41727" w:rsidRDefault="009056E9" w:rsidP="0025563C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TSIPM01</w:t>
            </w:r>
          </w:p>
        </w:tc>
      </w:tr>
    </w:tbl>
    <w:p w:rsidR="009056E9" w:rsidRPr="006757F5" w:rsidRDefault="009056E9" w:rsidP="009056E9">
      <w:pPr>
        <w:pStyle w:val="BodyText12"/>
      </w:pPr>
    </w:p>
    <w:p w:rsidR="0031303B" w:rsidRDefault="0031303B" w:rsidP="0031303B">
      <w:pPr>
        <w:pStyle w:val="BodyText12"/>
        <w:rPr>
          <w:rFonts w:eastAsia="TimesNewRoman"/>
        </w:rPr>
      </w:pPr>
      <w:r>
        <w:rPr>
          <w:rFonts w:eastAsia="TimesNewRoman"/>
        </w:rPr>
        <w:br w:type="page"/>
      </w:r>
    </w:p>
    <w:p w:rsidR="0031303B" w:rsidRDefault="0031303B" w:rsidP="0031303B">
      <w:pPr>
        <w:pStyle w:val="BodyText12"/>
        <w:rPr>
          <w:rFonts w:eastAsia="TimesNewRoman"/>
        </w:rPr>
      </w:pPr>
      <w:r w:rsidRPr="00C41727">
        <w:rPr>
          <w:rFonts w:eastAsia="TimesNewRoman"/>
        </w:rPr>
        <w:lastRenderedPageBreak/>
        <w:t xml:space="preserve">For subjects in </w:t>
      </w:r>
      <w:r w:rsidRPr="0068156B">
        <w:rPr>
          <w:rFonts w:eastAsia="TimesNewRoman"/>
          <w:highlight w:val="yellow"/>
        </w:rPr>
        <w:t>both treatment groups</w:t>
      </w:r>
      <w:r w:rsidRPr="00C41727">
        <w:rPr>
          <w:rFonts w:eastAsia="TimesNewRoman"/>
        </w:rPr>
        <w:t xml:space="preserve">, </w:t>
      </w:r>
      <w:r w:rsidRPr="00602BA8">
        <w:rPr>
          <w:rFonts w:eastAsia="TimesNewRoman"/>
          <w:highlight w:val="yellow"/>
        </w:rPr>
        <w:t>the median hemoglobin laboratory value at baseline</w:t>
      </w:r>
      <w:r w:rsidRPr="00C41727">
        <w:rPr>
          <w:rFonts w:eastAsia="TimesNewRoman"/>
        </w:rPr>
        <w:t xml:space="preserve"> was </w:t>
      </w:r>
      <w:r w:rsidRPr="00602BA8">
        <w:rPr>
          <w:rFonts w:eastAsia="TimesNewRoman"/>
          <w:highlight w:val="yellow"/>
        </w:rPr>
        <w:t>100 g/L</w:t>
      </w:r>
      <w:r w:rsidRPr="00C41727">
        <w:rPr>
          <w:rFonts w:eastAsia="TimesNewRoman"/>
        </w:rPr>
        <w:t xml:space="preserve"> </w:t>
      </w:r>
      <w:r w:rsidRPr="00602BA8">
        <w:rPr>
          <w:rFonts w:eastAsia="TimesNewRoman"/>
          <w:highlight w:val="green"/>
        </w:rPr>
        <w:t>(16 mg/kg group: 99.5 g/L</w:t>
      </w:r>
      <w:r w:rsidRPr="00C41727">
        <w:rPr>
          <w:rFonts w:eastAsia="TimesNewRoman"/>
        </w:rPr>
        <w:t xml:space="preserve">). For subjects in both treatment groups, </w:t>
      </w:r>
      <w:r w:rsidRPr="0009451A">
        <w:rPr>
          <w:rFonts w:eastAsia="TimesNewRoman"/>
          <w:highlight w:val="magenta"/>
        </w:rPr>
        <w:t>the median platelet count at baseline was 149.5 x10</w:t>
      </w:r>
      <w:r w:rsidRPr="0009451A">
        <w:rPr>
          <w:rFonts w:eastAsia="TimesNewRoman"/>
          <w:highlight w:val="magenta"/>
          <w:vertAlign w:val="superscript"/>
        </w:rPr>
        <w:t>9</w:t>
      </w:r>
      <w:r w:rsidRPr="0009451A">
        <w:rPr>
          <w:rFonts w:eastAsia="TimesNewRoman"/>
          <w:highlight w:val="magenta"/>
        </w:rPr>
        <w:t>/L</w:t>
      </w:r>
      <w:r w:rsidRPr="00C41727">
        <w:rPr>
          <w:rFonts w:eastAsia="TimesNewRoman"/>
        </w:rPr>
        <w:t xml:space="preserve"> (</w:t>
      </w:r>
      <w:r w:rsidRPr="0009451A">
        <w:rPr>
          <w:rFonts w:eastAsia="TimesNewRoman"/>
          <w:highlight w:val="green"/>
        </w:rPr>
        <w:t>16 mg/kg group: 154.0 x10</w:t>
      </w:r>
      <w:r w:rsidRPr="0009451A">
        <w:rPr>
          <w:rFonts w:eastAsia="TimesNewRoman"/>
          <w:highlight w:val="green"/>
          <w:vertAlign w:val="superscript"/>
        </w:rPr>
        <w:t>9</w:t>
      </w:r>
      <w:r w:rsidRPr="0009451A">
        <w:rPr>
          <w:rFonts w:eastAsia="TimesNewRoman"/>
          <w:highlight w:val="green"/>
        </w:rPr>
        <w:t>/L</w:t>
      </w:r>
      <w:r w:rsidRPr="00C41727">
        <w:rPr>
          <w:rFonts w:eastAsia="TimesNewRoman"/>
        </w:rPr>
        <w:t xml:space="preserve">). </w:t>
      </w:r>
    </w:p>
    <w:p w:rsidR="0031303B" w:rsidRPr="00C41727" w:rsidRDefault="0031303B" w:rsidP="0031303B">
      <w:pPr>
        <w:pStyle w:val="Basic11"/>
        <w:rPr>
          <w:rFonts w:eastAsia="TimesNewRoman"/>
        </w:rPr>
      </w:pPr>
    </w:p>
    <w:tbl>
      <w:tblPr>
        <w:tblW w:w="5000" w:type="pct"/>
        <w:jc w:val="center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110"/>
        <w:gridCol w:w="2415"/>
        <w:gridCol w:w="2415"/>
        <w:gridCol w:w="2420"/>
      </w:tblGrid>
      <w:tr w:rsidR="0031303B" w:rsidRPr="00B43D8B" w:rsidTr="000C43D8">
        <w:trPr>
          <w:cantSplit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pStyle w:val="Caption"/>
              <w:rPr>
                <w:color w:val="000000"/>
              </w:rPr>
            </w:pPr>
            <w:bookmarkStart w:id="8" w:name="_Ref413049450"/>
            <w:bookmarkStart w:id="9" w:name="_Toc419922881"/>
            <w:r w:rsidRPr="00413A8C">
              <w:t xml:space="preserve">Table </w:t>
            </w:r>
            <w:fldSimple w:instr=" SEQ Table \* ARABIC ">
              <w:r>
                <w:rPr>
                  <w:noProof/>
                </w:rPr>
                <w:t>5</w:t>
              </w:r>
            </w:fldSimple>
            <w:bookmarkEnd w:id="8"/>
            <w:r w:rsidRPr="00413A8C">
              <w:t>:</w:t>
            </w:r>
            <w:r w:rsidRPr="00413A8C">
              <w:rPr>
                <w:color w:val="000000"/>
              </w:rPr>
              <w:tab/>
              <w:t>Disease</w:t>
            </w:r>
            <w:r w:rsidRPr="00B43D8B">
              <w:rPr>
                <w:color w:val="000000"/>
              </w:rPr>
              <w:t xml:space="preserve">-related Laboratory Values </w:t>
            </w:r>
            <w:r w:rsidRPr="00602BA8">
              <w:rPr>
                <w:color w:val="000000"/>
                <w:highlight w:val="yellow"/>
              </w:rPr>
              <w:t>at Baseline</w:t>
            </w:r>
            <w:r w:rsidRPr="00B43D8B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All Treated Analysis Set (Study </w:t>
            </w:r>
            <w:r w:rsidRPr="00B43D8B">
              <w:rPr>
                <w:color w:val="000000"/>
              </w:rPr>
              <w:t>54767414MMY2002)</w:t>
            </w:r>
            <w:bookmarkEnd w:id="9"/>
          </w:p>
        </w:tc>
      </w:tr>
      <w:tr w:rsidR="0031303B" w:rsidRPr="00B43D8B" w:rsidTr="0085221A">
        <w:trPr>
          <w:cantSplit/>
          <w:tblHeader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02BA8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B43D8B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8156B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B43D8B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602BA8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yellow"/>
              </w:rPr>
            </w:pPr>
            <w:r w:rsidRPr="00602BA8">
              <w:rPr>
                <w:color w:val="000000"/>
                <w:sz w:val="18"/>
                <w:szCs w:val="18"/>
                <w:highlight w:val="yellow"/>
              </w:rPr>
              <w:t>Hemoglobin (g/L)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Category, n (%)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&lt;80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8 (7.5%)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9 (7.3%)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80 - 100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47 (44.3%)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54 (43.5%)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&gt;100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51 (48.1%)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61 (49.2%)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102.17 (15.648)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100.92 (15.483)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101.10 (15.449)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602BA8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104.50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02BA8">
              <w:rPr>
                <w:color w:val="000000"/>
                <w:sz w:val="18"/>
                <w:szCs w:val="18"/>
                <w:highlight w:val="green"/>
              </w:rPr>
              <w:t>99.50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02BA8">
              <w:rPr>
                <w:color w:val="000000"/>
                <w:sz w:val="18"/>
                <w:szCs w:val="18"/>
                <w:highlight w:val="yellow"/>
              </w:rPr>
              <w:t>100.00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(71.0; 129.0)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(62.0; 139.0)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(62.0; 139.0)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09451A">
              <w:rPr>
                <w:color w:val="000000"/>
                <w:sz w:val="18"/>
                <w:szCs w:val="18"/>
                <w:highlight w:val="magenta"/>
              </w:rPr>
              <w:t>Platelet count (10^9/L)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Category, n (%)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&lt; 75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5 (27.8%)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7 (6.6%)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≥ 75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13 (72.2%)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99 (93.4%)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112 (90.3%)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130.28 (60.076)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161.10 (71.983)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156.63 (70.999)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09451A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  <w:highlight w:val="magenta"/>
              </w:rPr>
            </w:pPr>
            <w:r w:rsidRPr="0009451A">
              <w:rPr>
                <w:color w:val="000000"/>
                <w:sz w:val="18"/>
                <w:szCs w:val="18"/>
                <w:highlight w:val="magenta"/>
              </w:rPr>
              <w:t>Median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123.50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9451A">
              <w:rPr>
                <w:color w:val="000000"/>
                <w:sz w:val="18"/>
                <w:szCs w:val="18"/>
                <w:highlight w:val="green"/>
              </w:rPr>
              <w:t>154.00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9451A">
              <w:rPr>
                <w:color w:val="000000"/>
                <w:sz w:val="18"/>
                <w:szCs w:val="18"/>
                <w:highlight w:val="magenta"/>
              </w:rPr>
              <w:t>149.50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(29.0; 248.0)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(37.0; 454.0)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(29.0; 454.0)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Calcium (mmol/L)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Category, n (%)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&gt; ULN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15 (14.2%)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15 (12.1%)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62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≤ ULN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91 (85.8%)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109 (87.9%)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2.32 (0.108)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2.37 (0.216)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2.37 (0.204)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2.32</w:t>
            </w:r>
          </w:p>
        </w:tc>
      </w:tr>
      <w:tr w:rsidR="0031303B" w:rsidRPr="00B43D8B" w:rsidTr="0085221A">
        <w:trPr>
          <w:cantSplit/>
          <w:jc w:val="center"/>
        </w:trPr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ind w:left="447" w:hanging="8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(2.1; 2.5)</w:t>
            </w:r>
          </w:p>
        </w:tc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(1.9; 3.1)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1303B" w:rsidRPr="00B43D8B" w:rsidRDefault="0031303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(1.9; 3.1)</w:t>
            </w:r>
          </w:p>
        </w:tc>
      </w:tr>
      <w:tr w:rsidR="0031303B" w:rsidRPr="00B43D8B" w:rsidTr="000C43D8">
        <w:trPr>
          <w:cantSplit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B43D8B">
              <w:rPr>
                <w:color w:val="000000"/>
                <w:sz w:val="18"/>
                <w:szCs w:val="18"/>
              </w:rPr>
              <w:t>Keys: ULN = upper limit normal.</w:t>
            </w:r>
            <w:r w:rsidRPr="00B43D8B">
              <w:rPr>
                <w:color w:val="000000"/>
                <w:sz w:val="18"/>
                <w:szCs w:val="18"/>
              </w:rPr>
              <w:br/>
              <w:t>Percentages are calculated with the number of subjects in each group with available data as denominator.</w:t>
            </w:r>
          </w:p>
        </w:tc>
      </w:tr>
      <w:tr w:rsidR="0031303B" w:rsidRPr="00B43D8B" w:rsidTr="000C43D8">
        <w:trPr>
          <w:cantSplit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1303B" w:rsidRPr="00B43D8B" w:rsidRDefault="0031303B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B43D8B">
              <w:rPr>
                <w:color w:val="000000"/>
                <w:sz w:val="16"/>
                <w:szCs w:val="16"/>
              </w:rPr>
              <w:t>[TSILB01.rtf] [JNJ-54767414\MMY2002\DBR_CSR\RE_CSR\tsilb01.sas] 13FEB2015, 14:11</w:t>
            </w:r>
          </w:p>
        </w:tc>
      </w:tr>
    </w:tbl>
    <w:p w:rsidR="0031303B" w:rsidRDefault="0031303B" w:rsidP="0031303B">
      <w:pPr>
        <w:pStyle w:val="BodyText12"/>
      </w:pPr>
    </w:p>
    <w:p w:rsidR="00BC3067" w:rsidRDefault="00BC3067" w:rsidP="0077384B">
      <w:pPr>
        <w:pStyle w:val="BodyText12"/>
      </w:pPr>
      <w:r>
        <w:br w:type="page"/>
      </w:r>
    </w:p>
    <w:p w:rsidR="0077384B" w:rsidRPr="00395DB3" w:rsidRDefault="0077384B" w:rsidP="00372CEC">
      <w:pPr>
        <w:pStyle w:val="BodyText12"/>
      </w:pPr>
      <w:r w:rsidRPr="00C41727">
        <w:lastRenderedPageBreak/>
        <w:t xml:space="preserve">Major protocol deviations based on sponsor medical review are presented in </w:t>
      </w:r>
      <w:r w:rsidRPr="00C41727">
        <w:fldChar w:fldCharType="begin"/>
      </w:r>
      <w:r w:rsidRPr="00C41727">
        <w:instrText xml:space="preserve"> REF _Ref411693093 \h </w:instrText>
      </w:r>
      <w:r w:rsidRPr="00C41727">
        <w:fldChar w:fldCharType="separate"/>
      </w:r>
      <w:r w:rsidR="00372CEC">
        <w:t xml:space="preserve">Table </w:t>
      </w:r>
      <w:r w:rsidR="00372CEC">
        <w:rPr>
          <w:noProof/>
        </w:rPr>
        <w:t>6</w:t>
      </w:r>
      <w:r w:rsidRPr="00C41727">
        <w:fldChar w:fldCharType="end"/>
      </w:r>
      <w:r w:rsidRPr="00C41727">
        <w:t xml:space="preserve">. </w:t>
      </w:r>
      <w:r w:rsidRPr="00E91037">
        <w:rPr>
          <w:highlight w:val="yellow"/>
        </w:rPr>
        <w:t>Eleven subjects (9%</w:t>
      </w:r>
      <w:r w:rsidRPr="00C41727">
        <w:t xml:space="preserve">) had </w:t>
      </w:r>
      <w:r w:rsidRPr="00E91037">
        <w:rPr>
          <w:highlight w:val="yellow"/>
        </w:rPr>
        <w:t>major protocol deviations</w:t>
      </w:r>
      <w:r w:rsidRPr="00C41727">
        <w:t xml:space="preserve">. </w:t>
      </w:r>
      <w:r w:rsidRPr="00E91037">
        <w:rPr>
          <w:highlight w:val="green"/>
        </w:rPr>
        <w:t>Seven (6%)</w:t>
      </w:r>
      <w:r w:rsidRPr="00C41727">
        <w:t xml:space="preserve"> subjects </w:t>
      </w:r>
      <w:r w:rsidRPr="00E91037">
        <w:rPr>
          <w:highlight w:val="green"/>
        </w:rPr>
        <w:t>entered the study but did not satisfy the inclusion/exclusion criteria</w:t>
      </w:r>
      <w:r w:rsidRPr="00C41727">
        <w:t xml:space="preserve"> (see brief narratives below). </w:t>
      </w:r>
      <w:r w:rsidRPr="007B27BE">
        <w:rPr>
          <w:highlight w:val="cyan"/>
        </w:rPr>
        <w:t>Three subjects (2%)</w:t>
      </w:r>
      <w:r w:rsidRPr="00C41727">
        <w:t xml:space="preserve"> </w:t>
      </w:r>
      <w:r w:rsidR="007B27BE">
        <w:t>received wrong treatment</w:t>
      </w:r>
      <w:r w:rsidRPr="0075711A">
        <w:t xml:space="preserve">. </w:t>
      </w:r>
      <w:r w:rsidRPr="00AD61CB">
        <w:rPr>
          <w:highlight w:val="magenta"/>
        </w:rPr>
        <w:t>One subject, in the 16 mg/kg group</w:t>
      </w:r>
      <w:r w:rsidRPr="0075711A">
        <w:t xml:space="preserve"> was considered to have had a major protocol deviation captured as “</w:t>
      </w:r>
      <w:r w:rsidRPr="00AD61CB">
        <w:rPr>
          <w:highlight w:val="magenta"/>
        </w:rPr>
        <w:t>other</w:t>
      </w:r>
      <w:r>
        <w:t xml:space="preserve">” for not having an ECG completed at screening.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610"/>
        <w:gridCol w:w="1872"/>
        <w:gridCol w:w="1872"/>
        <w:gridCol w:w="1882"/>
      </w:tblGrid>
      <w:tr w:rsidR="0077384B" w:rsidRPr="00FE1CF5" w:rsidTr="000C43D8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pStyle w:val="Caption"/>
              <w:rPr>
                <w:color w:val="000000"/>
              </w:rPr>
            </w:pPr>
            <w:bookmarkStart w:id="10" w:name="_Ref411693093"/>
            <w:bookmarkStart w:id="11" w:name="_Toc419922882"/>
            <w:r>
              <w:t xml:space="preserve">Table </w:t>
            </w:r>
            <w:fldSimple w:instr=" SEQ Table \* ARABIC ">
              <w:r w:rsidR="00372CEC">
                <w:rPr>
                  <w:noProof/>
                </w:rPr>
                <w:t>6</w:t>
              </w:r>
            </w:fldSimple>
            <w:bookmarkEnd w:id="10"/>
            <w:r>
              <w:t>:</w:t>
            </w:r>
            <w:r w:rsidRPr="00FE1CF5">
              <w:rPr>
                <w:color w:val="000000"/>
              </w:rPr>
              <w:tab/>
              <w:t>Subjects with Major Protocol Deviation; All Treated Analysis Set (Study 54767414MMY2002)</w:t>
            </w:r>
            <w:bookmarkEnd w:id="11"/>
          </w:p>
        </w:tc>
      </w:tr>
      <w:tr w:rsidR="0077384B" w:rsidRPr="00FE1CF5" w:rsidTr="000C43D8">
        <w:trPr>
          <w:cantSplit/>
          <w:tblHeader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AD61CB" w:rsidRDefault="0077384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magenta"/>
              </w:rPr>
            </w:pPr>
            <w:r w:rsidRPr="00AD61CB">
              <w:rPr>
                <w:color w:val="000000"/>
                <w:sz w:val="18"/>
                <w:szCs w:val="18"/>
                <w:highlight w:val="magenta"/>
              </w:rPr>
              <w:t xml:space="preserve">16 mg/kg 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E91037" w:rsidRDefault="0077384B" w:rsidP="000C43D8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E91037">
              <w:rPr>
                <w:b/>
                <w:color w:val="000000"/>
                <w:sz w:val="18"/>
                <w:szCs w:val="18"/>
                <w:highlight w:val="yellow"/>
              </w:rPr>
              <w:t>Subjects with major protocol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FE1CF5">
              <w:rPr>
                <w:b/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FE1CF5">
              <w:rPr>
                <w:b/>
                <w:color w:val="000000"/>
                <w:sz w:val="18"/>
                <w:szCs w:val="18"/>
              </w:rPr>
              <w:t>9 (8.5%)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E91037">
              <w:rPr>
                <w:b/>
                <w:color w:val="000000"/>
                <w:sz w:val="18"/>
                <w:szCs w:val="18"/>
                <w:highlight w:val="yellow"/>
              </w:rPr>
              <w:t>11 (8.9%)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B27BE">
              <w:rPr>
                <w:color w:val="000000"/>
                <w:sz w:val="18"/>
                <w:szCs w:val="18"/>
                <w:highlight w:val="cyan"/>
              </w:rPr>
              <w:t>Received wrong treatment or incorrect dose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B27BE">
              <w:rPr>
                <w:color w:val="000000"/>
                <w:sz w:val="18"/>
                <w:szCs w:val="18"/>
                <w:highlight w:val="cyan"/>
              </w:rPr>
              <w:t>3 (2.4%)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Received a disallowed concomitant treatment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E91037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green"/>
              </w:rPr>
            </w:pPr>
            <w:r w:rsidRPr="00E91037">
              <w:rPr>
                <w:color w:val="000000"/>
                <w:sz w:val="18"/>
                <w:szCs w:val="18"/>
                <w:highlight w:val="green"/>
              </w:rPr>
              <w:t>Entered but did not satisfy criteria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5 (4.7%)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E91037">
              <w:rPr>
                <w:color w:val="000000"/>
                <w:sz w:val="18"/>
                <w:szCs w:val="18"/>
                <w:highlight w:val="green"/>
              </w:rPr>
              <w:t>7 (5.6%)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Developed withdrawal criteria but not withdrawn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Efficacy assessment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Safety assessment deviation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7B27BE">
              <w:rPr>
                <w:color w:val="000000"/>
                <w:sz w:val="18"/>
                <w:szCs w:val="18"/>
                <w:highlight w:val="magenta"/>
              </w:rPr>
              <w:t>Other*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B27BE">
              <w:rPr>
                <w:color w:val="000000"/>
                <w:sz w:val="18"/>
                <w:szCs w:val="18"/>
                <w:highlight w:val="magenta"/>
              </w:rPr>
              <w:t>1</w:t>
            </w:r>
            <w:r w:rsidRPr="00FE1CF5">
              <w:rPr>
                <w:color w:val="000000"/>
                <w:sz w:val="18"/>
                <w:szCs w:val="18"/>
              </w:rPr>
              <w:t xml:space="preserve"> (0.9%)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7384B" w:rsidRPr="00FE1CF5" w:rsidRDefault="0077384B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1CF5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77384B" w:rsidRPr="00FE1CF5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384B" w:rsidRPr="00FE1CF5" w:rsidRDefault="0077384B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* Screening ECG was not done for this subject.</w:t>
            </w:r>
            <w:r w:rsidRPr="00FE1CF5">
              <w:rPr>
                <w:color w:val="000000"/>
                <w:sz w:val="18"/>
                <w:szCs w:val="18"/>
              </w:rPr>
              <w:t xml:space="preserve"> </w:t>
            </w:r>
            <w:r w:rsidRPr="00FE1CF5">
              <w:rPr>
                <w:color w:val="000000"/>
                <w:sz w:val="18"/>
                <w:szCs w:val="18"/>
              </w:rPr>
              <w:br/>
              <w:t>Percentages are calculated with the number of subjects in each group as denominator.</w:t>
            </w:r>
          </w:p>
        </w:tc>
      </w:tr>
      <w:tr w:rsidR="0077384B" w:rsidRPr="00C41727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7384B" w:rsidRPr="00C41727" w:rsidRDefault="0077384B" w:rsidP="000C43D8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C41727">
              <w:rPr>
                <w:sz w:val="16"/>
                <w:szCs w:val="16"/>
              </w:rPr>
              <w:t>Modified from Attachment TSIPD01</w:t>
            </w:r>
          </w:p>
        </w:tc>
      </w:tr>
    </w:tbl>
    <w:p w:rsidR="0077384B" w:rsidRDefault="0077384B" w:rsidP="0077384B">
      <w:pPr>
        <w:pStyle w:val="Basic11"/>
      </w:pPr>
    </w:p>
    <w:p w:rsidR="00D51ADF" w:rsidRDefault="00D51ADF" w:rsidP="00D51ADF">
      <w:pPr>
        <w:pStyle w:val="BodyText12"/>
      </w:pPr>
      <w:r>
        <w:br w:type="page"/>
      </w:r>
    </w:p>
    <w:p w:rsidR="00D51ADF" w:rsidRDefault="00D51ADF" w:rsidP="00D51ADF">
      <w:pPr>
        <w:pStyle w:val="BodyText12"/>
      </w:pPr>
      <w:r>
        <w:lastRenderedPageBreak/>
        <w:t>As</w:t>
      </w:r>
      <w:r w:rsidRPr="00BB658A">
        <w:t xml:space="preserve"> of the clinical cut-off date, the </w:t>
      </w:r>
      <w:r w:rsidRPr="00975E19">
        <w:rPr>
          <w:highlight w:val="yellow"/>
        </w:rPr>
        <w:t>median duration of treatment</w:t>
      </w:r>
      <w:r w:rsidRPr="00BB658A">
        <w:t xml:space="preserve"> </w:t>
      </w:r>
      <w:r>
        <w:t xml:space="preserve">for the </w:t>
      </w:r>
      <w:r w:rsidRPr="00975E19">
        <w:rPr>
          <w:highlight w:val="yellow"/>
        </w:rPr>
        <w:t>16 mg/kg</w:t>
      </w:r>
      <w:r>
        <w:t xml:space="preserve"> group </w:t>
      </w:r>
      <w:r w:rsidRPr="00BB658A">
        <w:t xml:space="preserve">was </w:t>
      </w:r>
      <w:r w:rsidRPr="00975E19">
        <w:rPr>
          <w:highlight w:val="yellow"/>
        </w:rPr>
        <w:t>2.8</w:t>
      </w:r>
      <w:r>
        <w:t> </w:t>
      </w:r>
      <w:r w:rsidRPr="00BB658A">
        <w:t>months</w:t>
      </w:r>
      <w:r>
        <w:t>,</w:t>
      </w:r>
      <w:r w:rsidRPr="00BB658A">
        <w:t xml:space="preserve"> with the longest </w:t>
      </w:r>
      <w:r w:rsidRPr="007576DE">
        <w:t xml:space="preserve">treatment duration </w:t>
      </w:r>
      <w:r>
        <w:t xml:space="preserve">being </w:t>
      </w:r>
      <w:r w:rsidRPr="004D46E1">
        <w:rPr>
          <w:highlight w:val="yellow"/>
        </w:rPr>
        <w:t>14.2 months</w:t>
      </w:r>
      <w:r w:rsidRPr="007576DE">
        <w:t xml:space="preserve"> (</w:t>
      </w:r>
      <w:r w:rsidRPr="00BB658A">
        <w:fldChar w:fldCharType="begin"/>
      </w:r>
      <w:r w:rsidRPr="00BB658A">
        <w:instrText xml:space="preserve"> REF _Ref411695238 \h </w:instrText>
      </w:r>
      <w:r>
        <w:instrText xml:space="preserve"> \* MERGEFORMAT </w:instrText>
      </w:r>
      <w:r w:rsidRPr="00BB658A">
        <w:fldChar w:fldCharType="separate"/>
      </w:r>
      <w:r w:rsidR="00975E19">
        <w:t xml:space="preserve">Table </w:t>
      </w:r>
      <w:r w:rsidR="00975E19">
        <w:rPr>
          <w:noProof/>
        </w:rPr>
        <w:t>7</w:t>
      </w:r>
      <w:r w:rsidRPr="00BB658A">
        <w:fldChar w:fldCharType="end"/>
      </w:r>
      <w:r w:rsidRPr="00BB658A">
        <w:t xml:space="preserve">). The </w:t>
      </w:r>
      <w:r w:rsidRPr="004D46E1">
        <w:rPr>
          <w:highlight w:val="green"/>
        </w:rPr>
        <w:t>median</w:t>
      </w:r>
      <w:r w:rsidRPr="00BB658A">
        <w:t xml:space="preserve"> </w:t>
      </w:r>
      <w:r w:rsidRPr="004D46E1">
        <w:rPr>
          <w:highlight w:val="yellow"/>
        </w:rPr>
        <w:t>number of treatment cycles</w:t>
      </w:r>
      <w:r w:rsidRPr="00BB658A">
        <w:t xml:space="preserve"> received was </w:t>
      </w:r>
      <w:r w:rsidRPr="004D46E1">
        <w:rPr>
          <w:highlight w:val="green"/>
        </w:rPr>
        <w:t>4.0 cycles</w:t>
      </w:r>
      <w:r w:rsidRPr="00BB658A">
        <w:t xml:space="preserve"> (1 cycle = 28 days). </w:t>
      </w:r>
      <w:r w:rsidRPr="004D46E1">
        <w:rPr>
          <w:highlight w:val="cyan"/>
        </w:rPr>
        <w:t>Forty subjects (38%)</w:t>
      </w:r>
      <w:r w:rsidRPr="00BB658A">
        <w:t xml:space="preserve"> received </w:t>
      </w:r>
      <w:r w:rsidRPr="004D46E1">
        <w:rPr>
          <w:highlight w:val="cyan"/>
        </w:rPr>
        <w:t>at least 6 cycles</w:t>
      </w:r>
      <w:r w:rsidRPr="00BB658A">
        <w:t xml:space="preserve"> </w:t>
      </w:r>
      <w:r w:rsidRPr="004D46E1">
        <w:rPr>
          <w:highlight w:val="yellow"/>
        </w:rPr>
        <w:t>of daratumumab treatment</w:t>
      </w:r>
      <w:r w:rsidRPr="00BB658A">
        <w:t>.</w:t>
      </w:r>
      <w:r>
        <w:t xml:space="preserve"> For </w:t>
      </w:r>
      <w:r w:rsidRPr="00826965">
        <w:rPr>
          <w:highlight w:val="yellow"/>
        </w:rPr>
        <w:t>all treated subjects</w:t>
      </w:r>
      <w:r>
        <w:t xml:space="preserve">, the median </w:t>
      </w:r>
      <w:r w:rsidRPr="00826965">
        <w:rPr>
          <w:highlight w:val="yellow"/>
        </w:rPr>
        <w:t>relative dose intensity</w:t>
      </w:r>
      <w:r>
        <w:t xml:space="preserve"> was </w:t>
      </w:r>
      <w:r w:rsidRPr="00826965">
        <w:rPr>
          <w:highlight w:val="red"/>
        </w:rPr>
        <w:t>100%</w:t>
      </w:r>
      <w:r>
        <w:t xml:space="preserve"> of the target dose for both treatment groups (8 and 16 mg/kg). </w:t>
      </w: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186"/>
        <w:gridCol w:w="1680"/>
        <w:gridCol w:w="1680"/>
        <w:gridCol w:w="1690"/>
      </w:tblGrid>
      <w:tr w:rsidR="00D51ADF" w:rsidRPr="006B3B8B" w:rsidTr="000C43D8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pStyle w:val="Caption"/>
              <w:rPr>
                <w:color w:val="000000"/>
              </w:rPr>
            </w:pPr>
            <w:bookmarkStart w:id="12" w:name="_Ref411695238"/>
            <w:bookmarkStart w:id="13" w:name="_Toc419922883"/>
            <w:r>
              <w:t xml:space="preserve">Table </w:t>
            </w:r>
            <w:fldSimple w:instr=" SEQ Table \* ARABIC ">
              <w:r w:rsidR="00975E19">
                <w:rPr>
                  <w:noProof/>
                </w:rPr>
                <w:t>7</w:t>
              </w:r>
            </w:fldSimple>
            <w:bookmarkEnd w:id="12"/>
            <w:r>
              <w:t>:</w:t>
            </w:r>
            <w:r w:rsidRPr="006B3B8B">
              <w:rPr>
                <w:color w:val="000000"/>
              </w:rPr>
              <w:tab/>
              <w:t>Daratumumab Infusions; All Treated Analysis Set (Study 54767414MMY2002)</w:t>
            </w:r>
            <w:bookmarkEnd w:id="13"/>
          </w:p>
        </w:tc>
      </w:tr>
      <w:tr w:rsidR="00D51ADF" w:rsidRPr="006B3B8B" w:rsidTr="000C43D8">
        <w:trPr>
          <w:cantSplit/>
          <w:tblHeader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75E19">
              <w:rPr>
                <w:color w:val="000000"/>
                <w:sz w:val="18"/>
                <w:szCs w:val="18"/>
                <w:highlight w:val="yellow"/>
              </w:rPr>
              <w:t>16 mg/kg</w:t>
            </w:r>
            <w:r w:rsidRPr="006B3B8B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26965">
              <w:rPr>
                <w:color w:val="000000"/>
                <w:sz w:val="18"/>
                <w:szCs w:val="18"/>
                <w:highlight w:val="yellow"/>
              </w:rPr>
              <w:t>Total</w:t>
            </w:r>
            <w:r w:rsidRPr="006B3B8B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71136B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71136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71136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71136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71136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507F4D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507F4D" w:rsidRDefault="00D51ADF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507F4D" w:rsidRDefault="00D51ADF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507F4D" w:rsidRDefault="00D51ADF" w:rsidP="000C43D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975E19">
              <w:rPr>
                <w:color w:val="000000"/>
                <w:sz w:val="18"/>
                <w:szCs w:val="18"/>
                <w:highlight w:val="yellow"/>
              </w:rPr>
              <w:t>Duration of treatment (months)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3.745 (4.5922)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4.252 (3.3556)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4.178 (3.5439)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975E19">
              <w:rPr>
                <w:color w:val="000000"/>
                <w:sz w:val="18"/>
                <w:szCs w:val="18"/>
                <w:highlight w:val="yellow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75E19">
              <w:rPr>
                <w:color w:val="000000"/>
                <w:sz w:val="18"/>
                <w:szCs w:val="18"/>
                <w:highlight w:val="yellow"/>
              </w:rPr>
              <w:t>2.825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2.793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(0.03; 13.90)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 xml:space="preserve">(0.03; </w:t>
            </w:r>
            <w:r w:rsidRPr="004D46E1">
              <w:rPr>
                <w:color w:val="000000"/>
                <w:sz w:val="18"/>
                <w:szCs w:val="18"/>
                <w:highlight w:val="yellow"/>
              </w:rPr>
              <w:t>14.19</w:t>
            </w:r>
            <w:r w:rsidRPr="006B3B8B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(0.03; 14.19)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4D46E1">
              <w:rPr>
                <w:color w:val="000000"/>
                <w:sz w:val="18"/>
                <w:szCs w:val="18"/>
                <w:highlight w:val="yellow"/>
              </w:rPr>
              <w:t>Number of treatment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1 cycle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 (100.0%)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 (100.0%)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 (100.0%)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2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16 (88.9%)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96 (90.6%)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112 (90.3%)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3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 (55.6%)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79 (74.5%)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89 (71.8%)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4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8 (44.4%)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61 (57.5%)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69 (55.6%)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5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45 (42.5%)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49 (39.5%)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4D46E1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  <w:highlight w:val="cyan"/>
              </w:rPr>
            </w:pPr>
            <w:r w:rsidRPr="004D46E1">
              <w:rPr>
                <w:color w:val="000000"/>
                <w:sz w:val="18"/>
                <w:szCs w:val="18"/>
                <w:highlight w:val="cyan"/>
              </w:rPr>
              <w:t>At least 6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D46E1">
              <w:rPr>
                <w:color w:val="000000"/>
                <w:sz w:val="18"/>
                <w:szCs w:val="18"/>
                <w:highlight w:val="cyan"/>
              </w:rPr>
              <w:t>40 (37.7%)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44 (35.5%)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At least 7 cycles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 (22.2%)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34 (32.1%)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38 (30.6%)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5.0 (4.95)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5.3 (3.73)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5.3 (3.91)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4D46E1">
              <w:rPr>
                <w:color w:val="000000"/>
                <w:sz w:val="18"/>
                <w:szCs w:val="18"/>
                <w:highlight w:val="green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4D46E1">
              <w:rPr>
                <w:color w:val="000000"/>
                <w:sz w:val="18"/>
                <w:szCs w:val="18"/>
                <w:highlight w:val="green"/>
              </w:rPr>
              <w:t>4.0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4.0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Total dose received (mg/kg)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51.96 (65.056)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198.63 (97.009)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177.34 (106.346)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24.26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176.01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163.33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(7.7; 216.1)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(1.9; 416.8)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(1.9; 416.8)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Total number of Daratumumab infusions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5.2 (5.23)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12.4 (6.06)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11.4 (6.46)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11.0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16)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26)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(1; 26)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0706DF" w:rsidRDefault="00D51ADF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  <w:highlight w:val="yellow"/>
              </w:rPr>
            </w:pPr>
            <w:r w:rsidRPr="000706DF">
              <w:rPr>
                <w:color w:val="000000"/>
                <w:sz w:val="18"/>
                <w:szCs w:val="18"/>
                <w:highlight w:val="yellow"/>
              </w:rPr>
              <w:t>Relative dose intensity 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Mean 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97.48 (9.995)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99.15 (8.669)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98.90 (8.849)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0706DF">
              <w:rPr>
                <w:color w:val="000000"/>
                <w:sz w:val="18"/>
                <w:szCs w:val="18"/>
                <w:highlight w:val="red"/>
              </w:rPr>
              <w:t>Median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99.96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100.02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706DF">
              <w:rPr>
                <w:color w:val="000000"/>
                <w:sz w:val="18"/>
                <w:szCs w:val="18"/>
                <w:highlight w:val="red"/>
              </w:rPr>
              <w:t>100.01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(58.1; 103.6)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(11.7; 103.5)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51ADF" w:rsidRPr="006B3B8B" w:rsidRDefault="00D51ADF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B3B8B">
              <w:rPr>
                <w:color w:val="000000"/>
                <w:sz w:val="18"/>
                <w:szCs w:val="18"/>
              </w:rPr>
              <w:t>(11.7; 103.6)</w:t>
            </w:r>
          </w:p>
        </w:tc>
      </w:tr>
      <w:tr w:rsidR="00D51ADF" w:rsidRPr="006B3B8B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51ADF" w:rsidRPr="006B3B8B" w:rsidRDefault="00D51ADF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A31EED">
              <w:rPr>
                <w:color w:val="000000"/>
                <w:sz w:val="18"/>
                <w:szCs w:val="18"/>
              </w:rPr>
              <w:t>Note: 3 subjects in the 8 mg/kg group crossed to the 16 mg/kg group and results for these 3 subjects are included in the 8 mg/kg treatment group.</w:t>
            </w:r>
            <w:r w:rsidRPr="00A31EED">
              <w:rPr>
                <w:color w:val="000000"/>
                <w:sz w:val="18"/>
                <w:szCs w:val="18"/>
              </w:rPr>
              <w:br/>
              <w:t>Percentages are calculated with</w:t>
            </w:r>
            <w:r w:rsidRPr="006B3B8B">
              <w:rPr>
                <w:color w:val="000000"/>
                <w:sz w:val="18"/>
                <w:szCs w:val="18"/>
              </w:rPr>
              <w:t xml:space="preserve"> the number of subjects in each group as denominator.</w:t>
            </w:r>
            <w:r w:rsidRPr="006B3B8B">
              <w:rPr>
                <w:color w:val="000000"/>
                <w:sz w:val="18"/>
                <w:szCs w:val="18"/>
              </w:rPr>
              <w:br/>
              <w:t>A subject is considered as treated in a cycle if he/she received any nonzero dose of Daratumumab in that cycle.</w:t>
            </w:r>
          </w:p>
        </w:tc>
      </w:tr>
      <w:tr w:rsidR="00D51ADF" w:rsidRPr="0072760A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51ADF" w:rsidRPr="0072760A" w:rsidRDefault="00D51ADF" w:rsidP="000C43D8">
            <w:pPr>
              <w:keepNext/>
              <w:autoSpaceDE w:val="0"/>
              <w:autoSpaceDN w:val="0"/>
              <w:adjustRightInd w:val="0"/>
              <w:spacing w:after="67"/>
              <w:rPr>
                <w:sz w:val="16"/>
                <w:szCs w:val="16"/>
              </w:rPr>
            </w:pPr>
            <w:r w:rsidRPr="0072760A">
              <w:rPr>
                <w:sz w:val="16"/>
                <w:szCs w:val="16"/>
              </w:rPr>
              <w:t>Modified from  Attachment TSIEXP01</w:t>
            </w:r>
          </w:p>
        </w:tc>
      </w:tr>
    </w:tbl>
    <w:p w:rsidR="00D51ADF" w:rsidRPr="0072760A" w:rsidRDefault="00D51ADF" w:rsidP="00D51ADF"/>
    <w:p w:rsidR="004E6A7C" w:rsidRDefault="004E6A7C" w:rsidP="004E6A7C">
      <w:pPr>
        <w:pStyle w:val="BodyText12"/>
      </w:pPr>
      <w:r>
        <w:br w:type="page"/>
      </w:r>
    </w:p>
    <w:p w:rsidR="004E6A7C" w:rsidRDefault="004E6A7C" w:rsidP="004E6A7C">
      <w:pPr>
        <w:pStyle w:val="BodyText12"/>
      </w:pPr>
      <w:r>
        <w:lastRenderedPageBreak/>
        <w:fldChar w:fldCharType="begin"/>
      </w:r>
      <w:r>
        <w:instrText xml:space="preserve"> REF _Ref411699274 \h </w:instrText>
      </w:r>
      <w:r>
        <w:fldChar w:fldCharType="separate"/>
      </w:r>
      <w:r w:rsidR="00F05681">
        <w:t xml:space="preserve">Table </w:t>
      </w:r>
      <w:r w:rsidR="00F05681">
        <w:rPr>
          <w:noProof/>
        </w:rPr>
        <w:t>8</w:t>
      </w:r>
      <w:r>
        <w:fldChar w:fldCharType="end"/>
      </w:r>
      <w:r>
        <w:t xml:space="preserve"> summarizes </w:t>
      </w:r>
      <w:r w:rsidRPr="00376CFB">
        <w:rPr>
          <w:highlight w:val="yellow"/>
        </w:rPr>
        <w:t>treatment modifications including incidence and reasons</w:t>
      </w:r>
      <w:r>
        <w:t xml:space="preserve"> for </w:t>
      </w:r>
      <w:r w:rsidRPr="00376CFB">
        <w:rPr>
          <w:highlight w:val="yellow"/>
        </w:rPr>
        <w:t>all treated</w:t>
      </w:r>
      <w:r>
        <w:t xml:space="preserve"> subjects. In the </w:t>
      </w:r>
      <w:r w:rsidRPr="009C10B6">
        <w:rPr>
          <w:highlight w:val="green"/>
        </w:rPr>
        <w:t>16 mg/kg</w:t>
      </w:r>
      <w:r>
        <w:t xml:space="preserve"> dose group, </w:t>
      </w:r>
      <w:r w:rsidRPr="009C10B6">
        <w:rPr>
          <w:highlight w:val="green"/>
        </w:rPr>
        <w:t>19 subjects (18%)</w:t>
      </w:r>
      <w:r>
        <w:t xml:space="preserve"> experienced a </w:t>
      </w:r>
      <w:r w:rsidRPr="009C10B6">
        <w:rPr>
          <w:highlight w:val="green"/>
        </w:rPr>
        <w:t>cycle delay</w:t>
      </w:r>
      <w:r>
        <w:t xml:space="preserve">; delays for </w:t>
      </w:r>
      <w:r w:rsidRPr="00A43BD4">
        <w:rPr>
          <w:highlight w:val="green"/>
        </w:rPr>
        <w:t>11 subjects (10%)</w:t>
      </w:r>
      <w:r>
        <w:t xml:space="preserve"> were due to </w:t>
      </w:r>
      <w:r w:rsidRPr="00A43BD4">
        <w:rPr>
          <w:highlight w:val="green"/>
        </w:rPr>
        <w:t>an AE</w:t>
      </w:r>
      <w:r>
        <w:t xml:space="preserve">. </w:t>
      </w:r>
      <w:r w:rsidRPr="00A43BD4">
        <w:rPr>
          <w:highlight w:val="green"/>
        </w:rPr>
        <w:t>Ten (9%)</w:t>
      </w:r>
      <w:r>
        <w:t xml:space="preserve"> subjects had dose delays attributed to </w:t>
      </w:r>
      <w:r w:rsidRPr="00A43BD4">
        <w:rPr>
          <w:highlight w:val="green"/>
        </w:rPr>
        <w:t>“other”</w:t>
      </w:r>
      <w:r w:rsidRPr="00516702">
        <w:t xml:space="preserve"> </w:t>
      </w:r>
      <w:r>
        <w:t xml:space="preserve">(eg, various IV administration </w:t>
      </w:r>
      <w:r w:rsidRPr="007D1A72">
        <w:t xml:space="preserve">issues). </w:t>
      </w:r>
      <w:r w:rsidRPr="00CF7603">
        <w:rPr>
          <w:highlight w:val="cyan"/>
        </w:rPr>
        <w:t>Prior to the start of the infusion,</w:t>
      </w:r>
      <w:r w:rsidRPr="007D1A72">
        <w:t xml:space="preserve"> a decision was made to </w:t>
      </w:r>
      <w:r w:rsidRPr="00CF7603">
        <w:rPr>
          <w:highlight w:val="cyan"/>
        </w:rPr>
        <w:t>skip the infusion</w:t>
      </w:r>
      <w:r w:rsidRPr="007D1A72">
        <w:t xml:space="preserve"> for </w:t>
      </w:r>
      <w:r w:rsidRPr="00CF7603">
        <w:rPr>
          <w:highlight w:val="cyan"/>
        </w:rPr>
        <w:t>12 subjects (11%</w:t>
      </w:r>
      <w:r w:rsidRPr="007D1A72">
        <w:t xml:space="preserve">), mostly due to an ongoing </w:t>
      </w:r>
      <w:r w:rsidRPr="00CF7603">
        <w:rPr>
          <w:highlight w:val="cyan"/>
        </w:rPr>
        <w:t>AE (11 subjects; 10%</w:t>
      </w:r>
      <w:r w:rsidRPr="007D1A72">
        <w:t xml:space="preserve">). During the infusion, </w:t>
      </w:r>
      <w:r w:rsidRPr="00CF7603">
        <w:rPr>
          <w:highlight w:val="magenta"/>
        </w:rPr>
        <w:t>38 subjects (36%)</w:t>
      </w:r>
      <w:r w:rsidRPr="007D1A72">
        <w:t xml:space="preserve"> had </w:t>
      </w:r>
      <w:r w:rsidRPr="00CF7603">
        <w:rPr>
          <w:highlight w:val="magenta"/>
        </w:rPr>
        <w:t>dose interruptions</w:t>
      </w:r>
      <w:r w:rsidRPr="007D1A72">
        <w:t>. Most interruptions (</w:t>
      </w:r>
      <w:r w:rsidRPr="00CF7603">
        <w:rPr>
          <w:highlight w:val="darkGray"/>
        </w:rPr>
        <w:t>34 subjects; 32%</w:t>
      </w:r>
      <w:r w:rsidRPr="007D1A72">
        <w:t xml:space="preserve">) were due to an </w:t>
      </w:r>
      <w:r w:rsidRPr="00CF7603">
        <w:rPr>
          <w:highlight w:val="darkGray"/>
        </w:rPr>
        <w:t>AE</w:t>
      </w:r>
      <w:r w:rsidRPr="007D1A72">
        <w:t xml:space="preserve">. The </w:t>
      </w:r>
      <w:r w:rsidRPr="00DC298B">
        <w:rPr>
          <w:highlight w:val="red"/>
        </w:rPr>
        <w:t>infusion rate was decreased</w:t>
      </w:r>
      <w:r w:rsidRPr="007D1A72">
        <w:t xml:space="preserve"> for </w:t>
      </w:r>
      <w:r w:rsidRPr="00DC298B">
        <w:rPr>
          <w:highlight w:val="red"/>
        </w:rPr>
        <w:t>11 subjects (10%),</w:t>
      </w:r>
      <w:r w:rsidRPr="009C5063">
        <w:t xml:space="preserve"> and for </w:t>
      </w:r>
      <w:r w:rsidRPr="00DC298B">
        <w:rPr>
          <w:highlight w:val="red"/>
        </w:rPr>
        <w:t>10 subjects (9%)</w:t>
      </w:r>
      <w:r w:rsidRPr="009C5063">
        <w:t xml:space="preserve">, it was due to </w:t>
      </w:r>
      <w:r w:rsidRPr="00DC298B">
        <w:rPr>
          <w:highlight w:val="red"/>
        </w:rPr>
        <w:t>an AE</w:t>
      </w:r>
      <w:bookmarkStart w:id="14" w:name="_GoBack"/>
      <w:bookmarkEnd w:id="14"/>
      <w:r w:rsidRPr="009C5063">
        <w:t>.</w:t>
      </w:r>
    </w:p>
    <w:p w:rsidR="004E6A7C" w:rsidRDefault="004E6A7C" w:rsidP="004E6A7C">
      <w:pPr>
        <w:pStyle w:val="Basic11"/>
      </w:pPr>
    </w:p>
    <w:tbl>
      <w:tblPr>
        <w:tblW w:w="0" w:type="auto"/>
        <w:jc w:val="center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2890"/>
        <w:gridCol w:w="2112"/>
        <w:gridCol w:w="2112"/>
        <w:gridCol w:w="2122"/>
      </w:tblGrid>
      <w:tr w:rsidR="004E6A7C" w:rsidRPr="00FE443A" w:rsidTr="000C43D8">
        <w:trPr>
          <w:cantSplit/>
          <w:tblHeader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pStyle w:val="Caption"/>
              <w:rPr>
                <w:color w:val="000000"/>
              </w:rPr>
            </w:pPr>
            <w:bookmarkStart w:id="15" w:name="_Ref411699274"/>
            <w:bookmarkStart w:id="16" w:name="_Toc419922884"/>
            <w:r>
              <w:t xml:space="preserve">Table </w:t>
            </w:r>
            <w:fldSimple w:instr=" SEQ Table \* ARABIC ">
              <w:r w:rsidR="00F05681">
                <w:rPr>
                  <w:noProof/>
                </w:rPr>
                <w:t>8</w:t>
              </w:r>
            </w:fldSimple>
            <w:bookmarkEnd w:id="15"/>
            <w:r>
              <w:t>:</w:t>
            </w:r>
            <w:r w:rsidRPr="00FE443A">
              <w:rPr>
                <w:color w:val="000000"/>
              </w:rPr>
              <w:tab/>
            </w:r>
            <w:r w:rsidRPr="00376CFB">
              <w:rPr>
                <w:color w:val="000000"/>
                <w:highlight w:val="yellow"/>
              </w:rPr>
              <w:t>Treatment Modification: Incidence and Reasons</w:t>
            </w:r>
            <w:r w:rsidRPr="00FE443A">
              <w:rPr>
                <w:color w:val="000000"/>
              </w:rPr>
              <w:t xml:space="preserve">; </w:t>
            </w:r>
            <w:r w:rsidRPr="00376CFB">
              <w:rPr>
                <w:color w:val="000000"/>
                <w:highlight w:val="yellow"/>
              </w:rPr>
              <w:t>All Treated</w:t>
            </w:r>
            <w:r>
              <w:rPr>
                <w:color w:val="000000"/>
              </w:rPr>
              <w:t xml:space="preserve"> Analysis Set (Study </w:t>
            </w:r>
            <w:r w:rsidRPr="00FE443A">
              <w:rPr>
                <w:color w:val="000000"/>
              </w:rPr>
              <w:t>54767414MMY2002)</w:t>
            </w:r>
            <w:bookmarkEnd w:id="16"/>
          </w:p>
        </w:tc>
      </w:tr>
      <w:tr w:rsidR="004E6A7C" w:rsidRPr="00FE443A" w:rsidTr="000C43D8">
        <w:trPr>
          <w:cantSplit/>
          <w:tblHeader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keepNext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 xml:space="preserve">8 mg/kg 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C10B6">
              <w:rPr>
                <w:color w:val="000000"/>
                <w:sz w:val="18"/>
                <w:szCs w:val="18"/>
                <w:highlight w:val="green"/>
              </w:rPr>
              <w:t>16 mg/kg</w:t>
            </w:r>
            <w:r w:rsidRPr="00FE443A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keepNext/>
              <w:pBdr>
                <w:bottom w:val="single" w:sz="6" w:space="0" w:color="auto"/>
              </w:pBd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 xml:space="preserve">Total 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Analysis set: all treated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124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9C10B6">
              <w:rPr>
                <w:color w:val="000000"/>
                <w:sz w:val="18"/>
                <w:szCs w:val="18"/>
                <w:highlight w:val="green"/>
              </w:rPr>
              <w:t>Cycle delay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9C10B6">
              <w:rPr>
                <w:color w:val="000000"/>
                <w:sz w:val="18"/>
                <w:szCs w:val="18"/>
                <w:highlight w:val="green"/>
              </w:rPr>
              <w:t>19 (17.9%)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22 (17.7%)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3079C9">
              <w:rPr>
                <w:color w:val="000000"/>
                <w:sz w:val="18"/>
                <w:szCs w:val="18"/>
                <w:highlight w:val="green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 (11.1%)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3079C9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green"/>
              </w:rPr>
            </w:pPr>
            <w:r w:rsidRPr="003079C9">
              <w:rPr>
                <w:color w:val="000000"/>
                <w:sz w:val="18"/>
                <w:szCs w:val="18"/>
                <w:highlight w:val="green"/>
              </w:rPr>
              <w:t>11 (10.4%)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13 (10.5%)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A43BD4">
              <w:rPr>
                <w:color w:val="000000"/>
                <w:sz w:val="18"/>
                <w:szCs w:val="18"/>
                <w:highlight w:val="green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A43BD4">
              <w:rPr>
                <w:color w:val="000000"/>
                <w:sz w:val="18"/>
                <w:szCs w:val="18"/>
                <w:highlight w:val="green"/>
              </w:rPr>
              <w:t>10 (9.4%)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11 (8.9%)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CF7603">
              <w:rPr>
                <w:color w:val="000000"/>
                <w:sz w:val="18"/>
                <w:szCs w:val="18"/>
                <w:highlight w:val="cyan"/>
              </w:rPr>
              <w:t>Action planned prior to infusion start</w:t>
            </w:r>
            <w:r w:rsidRPr="00CF7603">
              <w:rPr>
                <w:color w:val="000000"/>
                <w:sz w:val="18"/>
                <w:szCs w:val="18"/>
                <w:highlight w:val="cyan"/>
              </w:rPr>
              <w:br/>
              <w:t>Infusion skipped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F7603">
              <w:rPr>
                <w:color w:val="000000"/>
                <w:sz w:val="18"/>
                <w:szCs w:val="18"/>
                <w:highlight w:val="cyan"/>
              </w:rPr>
              <w:t>12 (11.3%)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13 (10.5%)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CF7603">
              <w:rPr>
                <w:color w:val="000000"/>
                <w:sz w:val="18"/>
                <w:szCs w:val="18"/>
                <w:highlight w:val="cyan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CF7603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CF7603">
              <w:rPr>
                <w:color w:val="000000"/>
                <w:sz w:val="18"/>
                <w:szCs w:val="18"/>
                <w:highlight w:val="cyan"/>
              </w:rPr>
              <w:t>11 (10.4%)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12 (9.7%)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  Infusion delayed within a cycle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  Study drug permanently discontinued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 (1.9%)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2 (1.6%)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Action taken during infusion</w:t>
            </w:r>
            <w:r w:rsidRPr="00FE443A">
              <w:rPr>
                <w:color w:val="000000"/>
                <w:sz w:val="18"/>
                <w:szCs w:val="18"/>
              </w:rPr>
              <w:br/>
            </w:r>
            <w:r w:rsidRPr="00CF7603">
              <w:rPr>
                <w:color w:val="000000"/>
                <w:sz w:val="18"/>
                <w:szCs w:val="18"/>
                <w:highlight w:val="magenta"/>
              </w:rPr>
              <w:t>Infusion interrupted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CF7603">
              <w:rPr>
                <w:color w:val="000000"/>
                <w:sz w:val="18"/>
                <w:szCs w:val="18"/>
                <w:highlight w:val="magenta"/>
              </w:rPr>
              <w:t>38 (35.8%)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45 (36.3%)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CF7603">
              <w:rPr>
                <w:color w:val="000000"/>
                <w:sz w:val="18"/>
                <w:szCs w:val="18"/>
                <w:highlight w:val="darkGray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7 (38.9%)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CF7603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highlight w:val="darkGray"/>
              </w:rPr>
            </w:pPr>
            <w:r w:rsidRPr="00CF7603">
              <w:rPr>
                <w:color w:val="000000"/>
                <w:sz w:val="18"/>
                <w:szCs w:val="18"/>
                <w:highlight w:val="darkGray"/>
              </w:rPr>
              <w:t>34 (32.1%)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41 (33.1%)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  </w:t>
            </w:r>
            <w:r w:rsidRPr="00DC298B">
              <w:rPr>
                <w:color w:val="000000"/>
                <w:sz w:val="18"/>
                <w:szCs w:val="18"/>
                <w:highlight w:val="red"/>
              </w:rPr>
              <w:t>Infusion rate decreased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C298B">
              <w:rPr>
                <w:color w:val="000000"/>
                <w:sz w:val="18"/>
                <w:szCs w:val="18"/>
                <w:highlight w:val="red"/>
              </w:rPr>
              <w:t>11 (10.4%)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14 (11.3%)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DC298B">
              <w:rPr>
                <w:color w:val="000000"/>
                <w:sz w:val="18"/>
                <w:szCs w:val="18"/>
                <w:highlight w:val="red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3 (16.7%)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DC298B">
              <w:rPr>
                <w:color w:val="000000"/>
                <w:sz w:val="18"/>
                <w:szCs w:val="18"/>
                <w:highlight w:val="red"/>
              </w:rPr>
              <w:t>10 (9.4%)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13 (10.5%)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8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  Infusion aborted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5 (4.0%)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Adverse event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(5.6%)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3 (2.8%)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4 (3.2%)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ind w:left="267" w:hanging="8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(0.9%)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E6A7C" w:rsidRPr="00FE443A" w:rsidRDefault="004E6A7C" w:rsidP="000C43D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1 (0.8%)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keepNext/>
              <w:autoSpaceDE w:val="0"/>
              <w:autoSpaceDN w:val="0"/>
              <w:adjustRightInd w:val="0"/>
              <w:spacing w:before="67" w:after="67"/>
              <w:rPr>
                <w:color w:val="000000"/>
                <w:sz w:val="18"/>
                <w:szCs w:val="18"/>
              </w:rPr>
            </w:pPr>
            <w:r w:rsidRPr="00FE443A">
              <w:rPr>
                <w:color w:val="000000"/>
                <w:sz w:val="18"/>
                <w:szCs w:val="18"/>
              </w:rPr>
              <w:t>Percentages are calculated with the number of subjects in each group as denominator.</w:t>
            </w:r>
          </w:p>
        </w:tc>
      </w:tr>
      <w:tr w:rsidR="004E6A7C" w:rsidRPr="00FE443A" w:rsidTr="000C43D8">
        <w:trPr>
          <w:cantSplit/>
          <w:jc w:val="center"/>
        </w:trPr>
        <w:tc>
          <w:tcPr>
            <w:tcW w:w="923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E6A7C" w:rsidRPr="00FE443A" w:rsidRDefault="004E6A7C" w:rsidP="000C43D8">
            <w:pPr>
              <w:keepNext/>
              <w:autoSpaceDE w:val="0"/>
              <w:autoSpaceDN w:val="0"/>
              <w:adjustRightInd w:val="0"/>
              <w:spacing w:after="67"/>
              <w:jc w:val="right"/>
              <w:rPr>
                <w:color w:val="000000"/>
                <w:sz w:val="16"/>
                <w:szCs w:val="16"/>
              </w:rPr>
            </w:pPr>
            <w:r w:rsidRPr="00FE443A">
              <w:rPr>
                <w:color w:val="000000"/>
                <w:sz w:val="16"/>
                <w:szCs w:val="16"/>
              </w:rPr>
              <w:t>[TSIEXP02.rtf] [JNJ-54767414\MMY2002\DBR_CSR\RE_CSR\tsiexp02.sas] 13FEB2015, 14:07</w:t>
            </w:r>
          </w:p>
        </w:tc>
      </w:tr>
    </w:tbl>
    <w:p w:rsidR="004E6A7C" w:rsidRDefault="004E6A7C" w:rsidP="004E6A7C">
      <w:pPr>
        <w:pStyle w:val="BodyText12"/>
      </w:pPr>
    </w:p>
    <w:p w:rsidR="009056E9" w:rsidRPr="00C41727" w:rsidRDefault="009056E9" w:rsidP="009056E9">
      <w:pPr>
        <w:pStyle w:val="Basic11"/>
      </w:pPr>
    </w:p>
    <w:p w:rsidR="00EC7EBD" w:rsidRDefault="00EC7EBD" w:rsidP="003E494B">
      <w:r>
        <w:br w:type="page"/>
      </w:r>
    </w:p>
    <w:sectPr w:rsidR="00EC7EBD" w:rsidSect="003E494B">
      <w:pgSz w:w="12240" w:h="15840" w:code="1"/>
      <w:pgMar w:top="1151" w:right="1440" w:bottom="1151" w:left="1440" w:header="5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6D7" w:rsidRDefault="000736D7" w:rsidP="003E494B">
      <w:r>
        <w:separator/>
      </w:r>
    </w:p>
  </w:endnote>
  <w:endnote w:type="continuationSeparator" w:id="0">
    <w:p w:rsidR="000736D7" w:rsidRDefault="000736D7" w:rsidP="003E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6D7" w:rsidRDefault="000736D7" w:rsidP="003E494B">
      <w:r>
        <w:separator/>
      </w:r>
    </w:p>
  </w:footnote>
  <w:footnote w:type="continuationSeparator" w:id="0">
    <w:p w:rsidR="000736D7" w:rsidRDefault="000736D7" w:rsidP="003E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A50821C"/>
    <w:lvl w:ilvl="0">
      <w:start w:val="1"/>
      <w:numFmt w:val="none"/>
      <w:pStyle w:val="Heading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821"/>
        </w:tabs>
        <w:ind w:left="821" w:hanging="821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821"/>
        </w:tabs>
        <w:ind w:left="821" w:hanging="821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397"/>
        </w:tabs>
        <w:ind w:left="1397" w:hanging="1397"/>
      </w:pPr>
      <w:rPr>
        <w:rFonts w:hint="default"/>
      </w:rPr>
    </w:lvl>
    <w:lvl w:ilvl="4">
      <w:start w:val="1"/>
      <w:numFmt w:val="decimal"/>
      <w:pStyle w:val="Heading4"/>
      <w:lvlText w:val="%2.%3.%4.%5."/>
      <w:lvlJc w:val="left"/>
      <w:pPr>
        <w:tabs>
          <w:tab w:val="num" w:pos="1397"/>
        </w:tabs>
        <w:ind w:left="1397" w:hanging="1397"/>
      </w:pPr>
      <w:rPr>
        <w:rFonts w:hint="default"/>
      </w:rPr>
    </w:lvl>
    <w:lvl w:ilvl="5">
      <w:start w:val="1"/>
      <w:numFmt w:val="decimal"/>
      <w:pStyle w:val="Heading5"/>
      <w:lvlText w:val="%2.%3.%4.%5.%6."/>
      <w:lvlJc w:val="left"/>
      <w:pPr>
        <w:tabs>
          <w:tab w:val="num" w:pos="1487"/>
        </w:tabs>
        <w:ind w:left="1487" w:hanging="1397"/>
      </w:pPr>
      <w:rPr>
        <w:rFonts w:hint="default"/>
      </w:rPr>
    </w:lvl>
    <w:lvl w:ilvl="6">
      <w:start w:val="1"/>
      <w:numFmt w:val="decimal"/>
      <w:pStyle w:val="Heading6"/>
      <w:lvlText w:val="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Heading7"/>
      <w:lvlText w:val="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pStyle w:val="Heading8"/>
      <w:lvlText w:val="%2.%3.%4.%5.%6.%7.%8.%9."/>
      <w:lvlJc w:val="left"/>
      <w:pPr>
        <w:tabs>
          <w:tab w:val="num" w:pos="2430"/>
        </w:tabs>
        <w:ind w:left="243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9"/>
  <w:drawingGridVerticalSpacing w:val="164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91"/>
    <w:rsid w:val="000144F2"/>
    <w:rsid w:val="0005276B"/>
    <w:rsid w:val="000706DF"/>
    <w:rsid w:val="000736D7"/>
    <w:rsid w:val="00080F4B"/>
    <w:rsid w:val="0009451A"/>
    <w:rsid w:val="000B6A84"/>
    <w:rsid w:val="000E01B2"/>
    <w:rsid w:val="001A477C"/>
    <w:rsid w:val="00240FCE"/>
    <w:rsid w:val="0025563C"/>
    <w:rsid w:val="002D2BFF"/>
    <w:rsid w:val="003079C9"/>
    <w:rsid w:val="0031303B"/>
    <w:rsid w:val="00372CEC"/>
    <w:rsid w:val="00376CFB"/>
    <w:rsid w:val="0039799F"/>
    <w:rsid w:val="003E494B"/>
    <w:rsid w:val="0042734D"/>
    <w:rsid w:val="00432ECE"/>
    <w:rsid w:val="004A78E1"/>
    <w:rsid w:val="004C439F"/>
    <w:rsid w:val="004D46E1"/>
    <w:rsid w:val="004E6A7C"/>
    <w:rsid w:val="00540BA2"/>
    <w:rsid w:val="005B0C90"/>
    <w:rsid w:val="00602BA8"/>
    <w:rsid w:val="00624A5E"/>
    <w:rsid w:val="0068156B"/>
    <w:rsid w:val="006A4FFF"/>
    <w:rsid w:val="006D199A"/>
    <w:rsid w:val="00701B3E"/>
    <w:rsid w:val="00754548"/>
    <w:rsid w:val="0077384B"/>
    <w:rsid w:val="007B27BE"/>
    <w:rsid w:val="007D219A"/>
    <w:rsid w:val="007E2643"/>
    <w:rsid w:val="007E3E06"/>
    <w:rsid w:val="00826965"/>
    <w:rsid w:val="0084566E"/>
    <w:rsid w:val="0085221A"/>
    <w:rsid w:val="008566CB"/>
    <w:rsid w:val="009056E9"/>
    <w:rsid w:val="00975E19"/>
    <w:rsid w:val="00981919"/>
    <w:rsid w:val="00993919"/>
    <w:rsid w:val="009C10B6"/>
    <w:rsid w:val="00A33091"/>
    <w:rsid w:val="00A43BD4"/>
    <w:rsid w:val="00AC7700"/>
    <w:rsid w:val="00AD61CB"/>
    <w:rsid w:val="00B062A4"/>
    <w:rsid w:val="00B07168"/>
    <w:rsid w:val="00BC3067"/>
    <w:rsid w:val="00C22103"/>
    <w:rsid w:val="00C45167"/>
    <w:rsid w:val="00C5358D"/>
    <w:rsid w:val="00CE3738"/>
    <w:rsid w:val="00CF7603"/>
    <w:rsid w:val="00D37B4C"/>
    <w:rsid w:val="00D51ADF"/>
    <w:rsid w:val="00D67C90"/>
    <w:rsid w:val="00D770E8"/>
    <w:rsid w:val="00DC298B"/>
    <w:rsid w:val="00DD3334"/>
    <w:rsid w:val="00E24994"/>
    <w:rsid w:val="00E91037"/>
    <w:rsid w:val="00EC7EBD"/>
    <w:rsid w:val="00ED01C7"/>
    <w:rsid w:val="00F05681"/>
    <w:rsid w:val="00F521F0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DF070-8782-475A-92EF-98EA2FB1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39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next w:val="BodyText12"/>
    <w:link w:val="Heading1Char"/>
    <w:qFormat/>
    <w:rsid w:val="0077384B"/>
    <w:pPr>
      <w:keepNext/>
      <w:keepLines/>
      <w:numPr>
        <w:ilvl w:val="1"/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  <w:lang w:eastAsia="en-US"/>
    </w:rPr>
  </w:style>
  <w:style w:type="paragraph" w:styleId="Heading2">
    <w:name w:val="heading 2"/>
    <w:next w:val="BodyText12"/>
    <w:link w:val="Heading2Char"/>
    <w:qFormat/>
    <w:rsid w:val="0077384B"/>
    <w:pPr>
      <w:keepNext/>
      <w:keepLines/>
      <w:numPr>
        <w:ilvl w:val="2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3">
    <w:name w:val="heading 3"/>
    <w:next w:val="BodyText12"/>
    <w:link w:val="Heading3Char"/>
    <w:qFormat/>
    <w:rsid w:val="0077384B"/>
    <w:pPr>
      <w:keepNext/>
      <w:keepLines/>
      <w:numPr>
        <w:ilvl w:val="3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4">
    <w:name w:val="heading 4"/>
    <w:next w:val="BodyText12"/>
    <w:link w:val="Heading4Char"/>
    <w:qFormat/>
    <w:rsid w:val="0077384B"/>
    <w:pPr>
      <w:keepNext/>
      <w:keepLines/>
      <w:numPr>
        <w:ilvl w:val="4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5">
    <w:name w:val="heading 5"/>
    <w:next w:val="BodyText12"/>
    <w:link w:val="Heading5Char"/>
    <w:qFormat/>
    <w:rsid w:val="0077384B"/>
    <w:pPr>
      <w:keepNext/>
      <w:keepLines/>
      <w:numPr>
        <w:ilvl w:val="5"/>
        <w:numId w:val="1"/>
      </w:numPr>
      <w:tabs>
        <w:tab w:val="clear" w:pos="1487"/>
        <w:tab w:val="num" w:pos="1397"/>
      </w:tabs>
      <w:spacing w:before="240" w:after="120" w:line="240" w:lineRule="auto"/>
      <w:ind w:left="1397"/>
      <w:outlineLvl w:val="4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6">
    <w:name w:val="heading 6"/>
    <w:next w:val="BodyText12"/>
    <w:link w:val="Heading6Char"/>
    <w:qFormat/>
    <w:rsid w:val="0077384B"/>
    <w:pPr>
      <w:keepNext/>
      <w:keepLines/>
      <w:numPr>
        <w:ilvl w:val="6"/>
        <w:numId w:val="1"/>
      </w:numPr>
      <w:spacing w:before="240" w:after="12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7">
    <w:name w:val="heading 7"/>
    <w:next w:val="BodyText12"/>
    <w:link w:val="Heading7Char"/>
    <w:qFormat/>
    <w:rsid w:val="0077384B"/>
    <w:pPr>
      <w:keepNext/>
      <w:keepLines/>
      <w:numPr>
        <w:ilvl w:val="7"/>
        <w:numId w:val="1"/>
      </w:numPr>
      <w:spacing w:before="240" w:after="120" w:line="240" w:lineRule="auto"/>
      <w:outlineLvl w:val="6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8">
    <w:name w:val="heading 8"/>
    <w:next w:val="BodyText12"/>
    <w:link w:val="Heading8Char"/>
    <w:qFormat/>
    <w:rsid w:val="0077384B"/>
    <w:pPr>
      <w:keepNext/>
      <w:keepLines/>
      <w:numPr>
        <w:ilvl w:val="8"/>
        <w:numId w:val="1"/>
      </w:numPr>
      <w:spacing w:before="240" w:after="120" w:line="240" w:lineRule="auto"/>
      <w:outlineLvl w:val="7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9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94B"/>
  </w:style>
  <w:style w:type="paragraph" w:styleId="Footer">
    <w:name w:val="footer"/>
    <w:basedOn w:val="Normal"/>
    <w:link w:val="FooterChar"/>
    <w:uiPriority w:val="99"/>
    <w:unhideWhenUsed/>
    <w:rsid w:val="003E49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94B"/>
  </w:style>
  <w:style w:type="paragraph" w:customStyle="1" w:styleId="BodyText12">
    <w:name w:val="Body Text 12"/>
    <w:link w:val="BodyText12Char"/>
    <w:qFormat/>
    <w:rsid w:val="004C439F"/>
    <w:pPr>
      <w:spacing w:after="24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asic11">
    <w:name w:val="Basic 11"/>
    <w:qFormat/>
    <w:rsid w:val="004C439F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Caption">
    <w:name w:val="caption"/>
    <w:next w:val="Normal"/>
    <w:uiPriority w:val="99"/>
    <w:qFormat/>
    <w:rsid w:val="004C439F"/>
    <w:pPr>
      <w:keepNext/>
      <w:tabs>
        <w:tab w:val="left" w:pos="1152"/>
      </w:tabs>
      <w:spacing w:before="60" w:after="60" w:line="240" w:lineRule="auto"/>
      <w:ind w:left="1152" w:hanging="1152"/>
    </w:pPr>
    <w:rPr>
      <w:rFonts w:ascii="Times New Roman" w:eastAsia="Times New Roman" w:hAnsi="Times New Roman" w:cs="Times New Roman"/>
      <w:b/>
      <w:bCs/>
      <w:sz w:val="20"/>
      <w:szCs w:val="18"/>
      <w:lang w:eastAsia="en-US"/>
    </w:rPr>
  </w:style>
  <w:style w:type="character" w:customStyle="1" w:styleId="BodyText12Char">
    <w:name w:val="Body Text 12 Char"/>
    <w:basedOn w:val="DefaultParagraphFont"/>
    <w:link w:val="BodyText12"/>
    <w:locked/>
    <w:rsid w:val="004C439F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77384B"/>
    <w:rPr>
      <w:rFonts w:ascii="Arial" w:eastAsia="Times New Roman" w:hAnsi="Arial" w:cs="Times New Roman"/>
      <w:b/>
      <w:caps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7384B"/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Heading0">
    <w:name w:val="Heading 0"/>
    <w:next w:val="BodyText12"/>
    <w:qFormat/>
    <w:rsid w:val="0077384B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0DB6-C317-4995-B4E1-2B9F3BDE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Ling [JRDCN]</dc:creator>
  <cp:keywords/>
  <dc:description/>
  <cp:lastModifiedBy>Yu, Ling [JRDCN]</cp:lastModifiedBy>
  <cp:revision>62</cp:revision>
  <dcterms:created xsi:type="dcterms:W3CDTF">2018-01-08T02:47:00Z</dcterms:created>
  <dcterms:modified xsi:type="dcterms:W3CDTF">2018-01-08T04:03:00Z</dcterms:modified>
</cp:coreProperties>
</file>