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3A" w:rsidRPr="00E5533A" w:rsidRDefault="00E5533A" w:rsidP="0085124A">
      <w:pPr>
        <w:pStyle w:val="BodyText12"/>
        <w:keepNext/>
        <w:keepLines/>
        <w:rPr>
          <w:b/>
        </w:rPr>
      </w:pPr>
      <w:r w:rsidRPr="00E5533A">
        <w:rPr>
          <w:b/>
        </w:rPr>
        <w:t>Overall Response Rate (ORR)</w:t>
      </w:r>
    </w:p>
    <w:p w:rsidR="0085124A" w:rsidRDefault="0085124A" w:rsidP="0085124A">
      <w:pPr>
        <w:pStyle w:val="BodyText12"/>
        <w:keepNext/>
        <w:keepLines/>
      </w:pPr>
      <w:r>
        <w:t xml:space="preserve">The overall best response for all treated subjects, based on IRC assessment, is presented in </w:t>
      </w:r>
      <w:r>
        <w:fldChar w:fldCharType="begin"/>
      </w:r>
      <w:r>
        <w:instrText xml:space="preserve"> REF _Ref411763388 \h </w:instrText>
      </w:r>
      <w:r>
        <w:fldChar w:fldCharType="separate"/>
      </w:r>
      <w:r>
        <w:t>Table </w:t>
      </w:r>
      <w:r>
        <w:rPr>
          <w:noProof/>
        </w:rPr>
        <w:t>1</w:t>
      </w:r>
      <w:r>
        <w:fldChar w:fldCharType="end"/>
      </w:r>
      <w:r>
        <w:t xml:space="preserve">. The </w:t>
      </w:r>
      <w:r w:rsidRPr="00F969A0">
        <w:rPr>
          <w:highlight w:val="yellow"/>
        </w:rPr>
        <w:t>ORR (PR or better)</w:t>
      </w:r>
      <w:r>
        <w:t xml:space="preserve"> among all subjects treated with </w:t>
      </w:r>
      <w:r w:rsidRPr="00F969A0">
        <w:rPr>
          <w:highlight w:val="yellow"/>
        </w:rPr>
        <w:t>16 mg/kg</w:t>
      </w:r>
      <w:r>
        <w:t xml:space="preserve"> was </w:t>
      </w:r>
      <w:r w:rsidRPr="00F969A0">
        <w:rPr>
          <w:highlight w:val="yellow"/>
        </w:rPr>
        <w:t>29%</w:t>
      </w:r>
      <w:r>
        <w:t xml:space="preserve">, including </w:t>
      </w:r>
      <w:r w:rsidRPr="00502CAC">
        <w:rPr>
          <w:highlight w:val="green"/>
        </w:rPr>
        <w:t>3</w:t>
      </w:r>
      <w:r>
        <w:t> </w:t>
      </w:r>
      <w:r w:rsidRPr="00502CAC">
        <w:rPr>
          <w:highlight w:val="green"/>
        </w:rPr>
        <w:t>stringent CRs</w:t>
      </w:r>
      <w:r w:rsidRPr="00EA77FB">
        <w:t xml:space="preserve"> and </w:t>
      </w:r>
      <w:r w:rsidRPr="00502CAC">
        <w:rPr>
          <w:highlight w:val="cyan"/>
        </w:rPr>
        <w:t>10 VGPRs</w:t>
      </w:r>
      <w:r>
        <w:t xml:space="preserve">; ie, </w:t>
      </w:r>
      <w:r w:rsidRPr="005B293D">
        <w:rPr>
          <w:highlight w:val="magenta"/>
        </w:rPr>
        <w:t>VGPR or better</w:t>
      </w:r>
      <w:r w:rsidRPr="007576DE">
        <w:t xml:space="preserve"> was observed in </w:t>
      </w:r>
      <w:r w:rsidRPr="005B293D">
        <w:rPr>
          <w:highlight w:val="magenta"/>
        </w:rPr>
        <w:t>13</w:t>
      </w:r>
      <w:r w:rsidRPr="007576DE">
        <w:t xml:space="preserve"> of 106 </w:t>
      </w:r>
      <w:r w:rsidRPr="005B293D">
        <w:rPr>
          <w:highlight w:val="magenta"/>
        </w:rPr>
        <w:t>(12%)</w:t>
      </w:r>
      <w:r w:rsidRPr="007576DE">
        <w:t xml:space="preserve"> </w:t>
      </w:r>
      <w:r>
        <w:t xml:space="preserve">subjects </w:t>
      </w:r>
      <w:r w:rsidRPr="007576DE">
        <w:t xml:space="preserve">treated with 16 mg/kg </w:t>
      </w:r>
      <w:r w:rsidRPr="007D1A72">
        <w:t>and 13 of 31 responders (42%). The ORR</w:t>
      </w:r>
      <w:r w:rsidRPr="007576DE">
        <w:t xml:space="preserve"> among subjects treated with </w:t>
      </w:r>
      <w:r w:rsidRPr="005B293D">
        <w:rPr>
          <w:highlight w:val="yellow"/>
        </w:rPr>
        <w:t>8 mg/kg</w:t>
      </w:r>
      <w:r w:rsidRPr="007576DE">
        <w:t xml:space="preserve"> daratumumab was </w:t>
      </w:r>
      <w:r w:rsidRPr="005B293D">
        <w:rPr>
          <w:highlight w:val="yellow"/>
        </w:rPr>
        <w:t>11%</w:t>
      </w:r>
      <w:r w:rsidRPr="007576DE">
        <w:t>, which did not meet the protocol specified criteria for continuation.</w:t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962"/>
        <w:gridCol w:w="1233"/>
        <w:gridCol w:w="1233"/>
        <w:gridCol w:w="1233"/>
        <w:gridCol w:w="1233"/>
        <w:gridCol w:w="1233"/>
        <w:gridCol w:w="1233"/>
        <w:gridCol w:w="1233"/>
        <w:gridCol w:w="1243"/>
      </w:tblGrid>
      <w:tr w:rsidR="0085124A" w:rsidRPr="009F582C" w:rsidTr="000C43D8">
        <w:trPr>
          <w:cantSplit/>
          <w:tblHeader/>
          <w:jc w:val="center"/>
        </w:trPr>
        <w:tc>
          <w:tcPr>
            <w:tcW w:w="12836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Style w:val="Caption"/>
              <w:keepNext w:val="0"/>
              <w:rPr>
                <w:color w:val="000000"/>
              </w:rPr>
            </w:pPr>
            <w:bookmarkStart w:id="0" w:name="_Ref411763388"/>
            <w:bookmarkStart w:id="1" w:name="_Toc419922887"/>
            <w:r>
              <w:t>Table 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bookmarkEnd w:id="0"/>
            <w:r>
              <w:t>:</w:t>
            </w:r>
            <w:r w:rsidRPr="009F582C">
              <w:rPr>
                <w:color w:val="000000"/>
              </w:rPr>
              <w:tab/>
              <w:t>Overall Best Response based on IRC Assessment; All Treated Analysis Set (Study 54767414MMY2002)</w:t>
            </w:r>
            <w:bookmarkEnd w:id="1"/>
          </w:p>
        </w:tc>
      </w:tr>
      <w:tr w:rsidR="0085124A" w:rsidRPr="009F582C" w:rsidTr="000C43D8">
        <w:trPr>
          <w:cantSplit/>
          <w:tblHeader/>
          <w:jc w:val="center"/>
        </w:trPr>
        <w:tc>
          <w:tcPr>
            <w:tcW w:w="54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F969A0">
              <w:rPr>
                <w:color w:val="000000"/>
                <w:sz w:val="16"/>
                <w:szCs w:val="16"/>
                <w:highlight w:val="yellow"/>
              </w:rPr>
              <w:t>16 mg/kg</w:t>
            </w:r>
            <w:r w:rsidRPr="009F582C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85124A" w:rsidRPr="009F582C" w:rsidTr="000C43D8">
        <w:trPr>
          <w:cantSplit/>
          <w:tblHeader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5B293D">
              <w:rPr>
                <w:color w:val="000000"/>
                <w:sz w:val="16"/>
                <w:szCs w:val="16"/>
                <w:highlight w:val="yellow"/>
              </w:rPr>
              <w:t>8 mg/kg</w:t>
            </w:r>
            <w:r w:rsidRPr="009F582C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Part 1 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Part 2 </w:t>
            </w:r>
          </w:p>
        </w:tc>
        <w:tc>
          <w:tcPr>
            <w:tcW w:w="2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Total </w:t>
            </w:r>
          </w:p>
        </w:tc>
      </w:tr>
      <w:tr w:rsidR="0085124A" w:rsidRPr="009F582C" w:rsidTr="000C43D8">
        <w:trPr>
          <w:cantSplit/>
          <w:tblHeader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n (%)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95% CI for %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n (%)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95% CI for %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n (%)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95% CI for %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n (%)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95% CI for % 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Analysis set: all treated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-</w:t>
            </w:r>
          </w:p>
        </w:tc>
      </w:tr>
      <w:tr w:rsidR="0085124A" w:rsidRPr="009F582C" w:rsidTr="000C43D8">
        <w:trPr>
          <w:cantSplit/>
          <w:trHeight w:val="351"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Best response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</w:rPr>
            </w:pPr>
            <w:r w:rsidRPr="00502CAC">
              <w:rPr>
                <w:color w:val="000000"/>
                <w:sz w:val="16"/>
                <w:szCs w:val="16"/>
                <w:highlight w:val="green"/>
              </w:rPr>
              <w:t>Stringent complete response (sCR)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2 (4.9%)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(0.6%, 16.5%)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(0.0%, 8.3%)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502CAC">
              <w:rPr>
                <w:color w:val="000000"/>
                <w:sz w:val="16"/>
                <w:szCs w:val="16"/>
                <w:highlight w:val="green"/>
              </w:rPr>
              <w:t>3</w:t>
            </w:r>
            <w:r w:rsidRPr="009F582C">
              <w:rPr>
                <w:color w:val="000000"/>
                <w:sz w:val="16"/>
                <w:szCs w:val="16"/>
              </w:rPr>
              <w:t xml:space="preserve"> (2.8%)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(0.6%, 8.0%)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Complete response (CR)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-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502CAC" w:rsidRDefault="0085124A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  <w:highlight w:val="cyan"/>
              </w:rPr>
            </w:pPr>
            <w:r w:rsidRPr="00502CAC">
              <w:rPr>
                <w:color w:val="000000"/>
                <w:sz w:val="16"/>
                <w:szCs w:val="16"/>
                <w:highlight w:val="cyan"/>
              </w:rPr>
              <w:t>Very good partial response (VGPR)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 (5.6%)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(0.1%, 27.3%)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6 (14.6%)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(5.6%, 29.2%)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4 (6.2%)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(1.7%, 15.0%)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502CAC">
              <w:rPr>
                <w:color w:val="000000"/>
                <w:sz w:val="16"/>
                <w:szCs w:val="16"/>
                <w:highlight w:val="cyan"/>
              </w:rPr>
              <w:t>10</w:t>
            </w:r>
            <w:r w:rsidRPr="009F582C">
              <w:rPr>
                <w:color w:val="000000"/>
                <w:sz w:val="16"/>
                <w:szCs w:val="16"/>
              </w:rPr>
              <w:t xml:space="preserve"> (9.4%)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(4.6%, 16.7%)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Partial response (PR)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 (5.6%)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(0.1%, 27.3%)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5 (12.2%)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(4.1%, 26.2%)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13 (20.0%)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(11.1%, 31.8%)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18 (17.0%)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(10.4%, 25.5%)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Minimal response (MR)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2 (11.1%)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(1.4%, 34.7%)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5 (7.7%)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(2.5%, 17.0%)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5 (4.7%)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(1.5%, 10.7%)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Stable disease (SD)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10 (55.6%)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(30.8%, 78.5%)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16 (39.0%)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(24.2%, 55.5%)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30 (46.2%)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(33.7%, 59.0%)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46 (43.4%)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(33.8%, 53.4%)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Progressive disease (PD)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 (5.6%)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(0.1%, 27.3%)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9 (22.0%)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(10.6%, 37.6%)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9 (13.8%)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(6.5%, 24.7%)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18 (17.0%)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(10.4%, 25.5%)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Not evaluable (NE)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3 (16.7%)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(3.6%, 41.4%)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3 (7.3%)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(1.5%, 19.9%)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3 (4.6%)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(1.0%, 12.9%)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6 (5.7%)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(2.1%, 11.9%)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878" w:hanging="87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6"/>
                <w:szCs w:val="16"/>
              </w:rPr>
            </w:pPr>
            <w:r w:rsidRPr="00F969A0">
              <w:rPr>
                <w:color w:val="000000"/>
                <w:sz w:val="16"/>
                <w:szCs w:val="16"/>
                <w:highlight w:val="yellow"/>
              </w:rPr>
              <w:t>Overall response (sCR+CR+VGPR+PR)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2 (</w:t>
            </w:r>
            <w:r w:rsidRPr="005B293D">
              <w:rPr>
                <w:color w:val="000000"/>
                <w:sz w:val="16"/>
                <w:szCs w:val="16"/>
                <w:highlight w:val="yellow"/>
              </w:rPr>
              <w:t>11.1%)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(1.4%, 34.7%)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13 (31.7%)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(18.1%, 48.1%)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18 (27.7%)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(17.3%, 40.2%)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 xml:space="preserve">31 </w:t>
            </w:r>
            <w:r w:rsidRPr="00F969A0">
              <w:rPr>
                <w:color w:val="000000"/>
                <w:sz w:val="16"/>
                <w:szCs w:val="16"/>
                <w:highlight w:val="yellow"/>
              </w:rPr>
              <w:t>(29.2%)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(20.8%, 38.9%)</w:t>
            </w:r>
          </w:p>
        </w:tc>
      </w:tr>
      <w:tr w:rsidR="0085124A" w:rsidRPr="009F582C" w:rsidTr="000C43D8">
        <w:trPr>
          <w:cantSplit/>
          <w:trHeight w:val="207"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878" w:hanging="87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Clinical benefit (Overall response + MR)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4 (22.2%)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(6.4%, 47.6%)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13 (31.7%)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(18.1%, 48.1%)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23 (35.4%)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(23.9%, 48.2%)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36 (34.0%)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(25.0%, 43.8%)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878" w:hanging="87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5B293D" w:rsidRDefault="0085124A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6"/>
                <w:szCs w:val="16"/>
                <w:highlight w:val="magenta"/>
              </w:rPr>
            </w:pPr>
            <w:r w:rsidRPr="005B293D">
              <w:rPr>
                <w:color w:val="000000"/>
                <w:sz w:val="16"/>
                <w:szCs w:val="16"/>
                <w:highlight w:val="magenta"/>
              </w:rPr>
              <w:t>VGPR or better (sCR + CR + VGPR)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 (5.6%)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(0.1%, 27.3%)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8 (19.5%)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(8.8%, 34.9%)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5 (7.7%)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(2.5%, 17.0%)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5B293D">
              <w:rPr>
                <w:color w:val="000000"/>
                <w:sz w:val="16"/>
                <w:szCs w:val="16"/>
                <w:highlight w:val="magenta"/>
              </w:rPr>
              <w:t>13 (12.3%)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(6.7%, 20.1%)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878" w:hanging="87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5124A" w:rsidRPr="009F582C" w:rsidTr="000C43D8">
        <w:trPr>
          <w:cantSplit/>
          <w:jc w:val="center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CR or better (sCR + CR)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2 (4.9%)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(0.6%, 16.5%)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(0.0%, 8.3%)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3 (2.8%)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124A" w:rsidRPr="009F582C" w:rsidRDefault="0085124A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(0.6%, 8.0%)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128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br/>
              <w:t>Keys: IRC = independent review committee; CI = confidence interval.</w:t>
            </w:r>
            <w:r w:rsidRPr="009F582C">
              <w:rPr>
                <w:color w:val="000000"/>
                <w:sz w:val="16"/>
                <w:szCs w:val="16"/>
              </w:rPr>
              <w:br/>
              <w:t>Note: Response was assessed by independent review committee, based on international Uniform Response Criteria Consensus Recommendations</w:t>
            </w:r>
            <w:r w:rsidRPr="009F582C">
              <w:rPr>
                <w:color w:val="000000"/>
                <w:sz w:val="16"/>
                <w:szCs w:val="16"/>
              </w:rPr>
              <w:br/>
              <w:t>Note: Percentages are calculated with the number of subjects in each group as denominator.</w:t>
            </w:r>
            <w:r w:rsidRPr="009F582C">
              <w:rPr>
                <w:color w:val="000000"/>
                <w:sz w:val="16"/>
                <w:szCs w:val="16"/>
              </w:rPr>
              <w:br/>
              <w:t>Note: Exact 95% confidence intervals are provided.</w:t>
            </w:r>
          </w:p>
        </w:tc>
      </w:tr>
      <w:tr w:rsidR="0085124A" w:rsidRPr="009F582C" w:rsidTr="000C43D8">
        <w:trPr>
          <w:cantSplit/>
          <w:jc w:val="center"/>
        </w:trPr>
        <w:tc>
          <w:tcPr>
            <w:tcW w:w="12836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5124A" w:rsidRPr="009F582C" w:rsidRDefault="0085124A" w:rsidP="000C43D8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9F582C">
              <w:rPr>
                <w:color w:val="000000"/>
                <w:sz w:val="16"/>
                <w:szCs w:val="16"/>
              </w:rPr>
              <w:t>[TEFRSP01A.rtf] [JNJ-54767414\MMY2002\DBR_CSR\RE_CSR\tefrsp01a.sas] 13FEB2015, 14:33</w:t>
            </w:r>
          </w:p>
        </w:tc>
      </w:tr>
    </w:tbl>
    <w:p w:rsidR="0085124A" w:rsidRDefault="0085124A"/>
    <w:p w:rsidR="0085124A" w:rsidRDefault="0085124A">
      <w:pPr>
        <w:sectPr w:rsidR="0085124A" w:rsidSect="0085124A">
          <w:pgSz w:w="15840" w:h="12240" w:orient="landscape" w:code="1"/>
          <w:pgMar w:top="1440" w:right="1151" w:bottom="1440" w:left="1151" w:header="544" w:footer="720" w:gutter="0"/>
          <w:cols w:space="708"/>
          <w:docGrid w:linePitch="360"/>
        </w:sectPr>
      </w:pPr>
    </w:p>
    <w:p w:rsidR="00B46C41" w:rsidRDefault="00B46C41" w:rsidP="00B46C41">
      <w:pPr>
        <w:pStyle w:val="BodyText12"/>
      </w:pPr>
      <w:r w:rsidRPr="0072760A">
        <w:lastRenderedPageBreak/>
        <w:t xml:space="preserve">After a median duration of follow-up of 9.3 months (Attachment TSIFUP01), the </w:t>
      </w:r>
      <w:r w:rsidRPr="00096761">
        <w:rPr>
          <w:highlight w:val="yellow"/>
        </w:rPr>
        <w:t>median duration of response</w:t>
      </w:r>
      <w:r w:rsidRPr="007D1A72">
        <w:t xml:space="preserve"> was </w:t>
      </w:r>
      <w:r w:rsidRPr="00096761">
        <w:rPr>
          <w:highlight w:val="yellow"/>
        </w:rPr>
        <w:t>7.4 months</w:t>
      </w:r>
      <w:r w:rsidRPr="007D1A72">
        <w:t xml:space="preserve">, and among the </w:t>
      </w:r>
      <w:r w:rsidRPr="007A30EA">
        <w:rPr>
          <w:highlight w:val="green"/>
        </w:rPr>
        <w:t>31</w:t>
      </w:r>
      <w:r w:rsidRPr="007D1A72">
        <w:t xml:space="preserve"> confirmed </w:t>
      </w:r>
      <w:r w:rsidRPr="007A30EA">
        <w:rPr>
          <w:highlight w:val="green"/>
        </w:rPr>
        <w:t>responders in the 16 mg/kg</w:t>
      </w:r>
      <w:r w:rsidRPr="007D1A72">
        <w:t xml:space="preserve"> group, </w:t>
      </w:r>
      <w:r w:rsidRPr="007D1606">
        <w:rPr>
          <w:highlight w:val="magenta"/>
        </w:rPr>
        <w:t>17 (55%)</w:t>
      </w:r>
      <w:r w:rsidRPr="007D1A72">
        <w:t xml:space="preserve"> have progressed, based on IRC assessment. Based on the Kaplan-Meier estimate, </w:t>
      </w:r>
      <w:r w:rsidRPr="00BE3ECE">
        <w:rPr>
          <w:highlight w:val="cyan"/>
        </w:rPr>
        <w:t>59% (95% CI: 39%, 75%)</w:t>
      </w:r>
      <w:r w:rsidRPr="007D1A72">
        <w:t xml:space="preserve"> of the responders remained progression free and </w:t>
      </w:r>
      <w:r w:rsidRPr="00BE3ECE">
        <w:rPr>
          <w:highlight w:val="cyan"/>
        </w:rPr>
        <w:t>alive at 6 months</w:t>
      </w:r>
      <w:r w:rsidRPr="007D1A72">
        <w:t xml:space="preserve"> and </w:t>
      </w:r>
      <w:r w:rsidRPr="00BE3ECE">
        <w:rPr>
          <w:highlight w:val="lightGray"/>
        </w:rPr>
        <w:t>38% (95% CI: 20%, 56%)</w:t>
      </w:r>
      <w:r w:rsidRPr="007D1A72">
        <w:t xml:space="preserve"> of the responders remained progression free and alive at the </w:t>
      </w:r>
      <w:r w:rsidRPr="00BE3ECE">
        <w:rPr>
          <w:highlight w:val="lightGray"/>
        </w:rPr>
        <w:t>12 months</w:t>
      </w:r>
      <w:r w:rsidRPr="007D1A72">
        <w:t xml:space="preserve"> (</w:t>
      </w:r>
      <w:r w:rsidRPr="007D1A72">
        <w:fldChar w:fldCharType="begin"/>
      </w:r>
      <w:r w:rsidRPr="007D1A72">
        <w:instrText xml:space="preserve"> REF _Ref411763722 \h </w:instrText>
      </w:r>
      <w:r>
        <w:instrText xml:space="preserve"> \* MERGEFORMAT </w:instrText>
      </w:r>
      <w:r w:rsidRPr="007D1A72">
        <w:fldChar w:fldCharType="separate"/>
      </w:r>
      <w:r>
        <w:t xml:space="preserve">Table </w:t>
      </w:r>
      <w:r>
        <w:rPr>
          <w:noProof/>
        </w:rPr>
        <w:t>2</w:t>
      </w:r>
      <w:r w:rsidRPr="007D1A72">
        <w:fldChar w:fldCharType="end"/>
      </w:r>
      <w:r w:rsidRPr="007D1A72">
        <w:t>).</w:t>
      </w:r>
    </w:p>
    <w:p w:rsidR="00EF091E" w:rsidRDefault="00EF091E" w:rsidP="00B46C41">
      <w:pPr>
        <w:pStyle w:val="BodyText12"/>
      </w:pP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385"/>
        <w:gridCol w:w="4167"/>
      </w:tblGrid>
      <w:tr w:rsidR="00B46C41" w:rsidRPr="00BE47AA" w:rsidTr="000C43D8">
        <w:trPr>
          <w:cantSplit/>
          <w:tblHeader/>
          <w:jc w:val="center"/>
        </w:trPr>
        <w:tc>
          <w:tcPr>
            <w:tcW w:w="85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pStyle w:val="Caption"/>
              <w:rPr>
                <w:color w:val="000000"/>
              </w:rPr>
            </w:pPr>
            <w:bookmarkStart w:id="2" w:name="_Ref411763722"/>
            <w:bookmarkStart w:id="3" w:name="_Toc419922888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bookmarkEnd w:id="2"/>
            <w:r>
              <w:t>:</w:t>
            </w:r>
            <w:r w:rsidRPr="00BE47AA">
              <w:rPr>
                <w:color w:val="000000"/>
              </w:rPr>
              <w:tab/>
            </w:r>
            <w:r w:rsidRPr="00096761">
              <w:rPr>
                <w:color w:val="000000"/>
                <w:highlight w:val="yellow"/>
              </w:rPr>
              <w:t>Duration of Response based on IRC Assessment</w:t>
            </w:r>
            <w:r w:rsidRPr="00BE47AA">
              <w:rPr>
                <w:color w:val="000000"/>
              </w:rPr>
              <w:t>; Responders in All Treated Analysis Set (Study 54767414MMY2002)</w:t>
            </w:r>
            <w:bookmarkEnd w:id="3"/>
          </w:p>
        </w:tc>
      </w:tr>
      <w:tr w:rsidR="00B46C41" w:rsidRPr="00BE47AA" w:rsidTr="000C43D8">
        <w:trPr>
          <w:cantSplit/>
          <w:tblHeader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A30EA">
              <w:rPr>
                <w:color w:val="000000"/>
                <w:sz w:val="18"/>
                <w:szCs w:val="18"/>
                <w:highlight w:val="green"/>
              </w:rPr>
              <w:t>16 mg/kg</w:t>
            </w:r>
            <w:r w:rsidRPr="00BE47AA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B46C41" w:rsidRPr="00BE47AA" w:rsidTr="000C43D8">
        <w:trPr>
          <w:cantSplit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t xml:space="preserve">Analysis set: </w:t>
            </w:r>
            <w:r w:rsidRPr="007A30EA">
              <w:rPr>
                <w:color w:val="000000"/>
                <w:sz w:val="18"/>
                <w:szCs w:val="18"/>
                <w:highlight w:val="green"/>
              </w:rPr>
              <w:t>responders</w:t>
            </w:r>
            <w:r w:rsidRPr="00BE47AA">
              <w:rPr>
                <w:color w:val="000000"/>
                <w:sz w:val="18"/>
                <w:szCs w:val="18"/>
              </w:rPr>
              <w:t xml:space="preserve"> in all treated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A30EA">
              <w:rPr>
                <w:color w:val="000000"/>
                <w:sz w:val="18"/>
                <w:szCs w:val="18"/>
                <w:highlight w:val="green"/>
              </w:rPr>
              <w:t>31</w:t>
            </w:r>
          </w:p>
        </w:tc>
      </w:tr>
      <w:tr w:rsidR="00B46C41" w:rsidRPr="00BE47AA" w:rsidTr="000C43D8">
        <w:trPr>
          <w:cantSplit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096761">
              <w:rPr>
                <w:color w:val="000000"/>
                <w:sz w:val="18"/>
                <w:szCs w:val="18"/>
                <w:highlight w:val="yellow"/>
              </w:rPr>
              <w:t>Duration of response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46C41" w:rsidRPr="00BE47AA" w:rsidTr="000C43D8">
        <w:trPr>
          <w:cantSplit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t>Number of events (%)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7D1606" w:rsidRDefault="00B46C41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magenta"/>
              </w:rPr>
            </w:pPr>
            <w:r w:rsidRPr="007D1606">
              <w:rPr>
                <w:color w:val="000000"/>
                <w:sz w:val="18"/>
                <w:szCs w:val="18"/>
                <w:highlight w:val="magenta"/>
              </w:rPr>
              <w:t>17 (54.8%)</w:t>
            </w:r>
          </w:p>
        </w:tc>
      </w:tr>
      <w:tr w:rsidR="00B46C41" w:rsidRPr="00BE47AA" w:rsidTr="000C43D8">
        <w:trPr>
          <w:cantSplit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t>Number of censored (%)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t>14 (45.2%)</w:t>
            </w:r>
          </w:p>
        </w:tc>
      </w:tr>
      <w:tr w:rsidR="00B46C41" w:rsidRPr="00BE47AA" w:rsidTr="000C43D8">
        <w:trPr>
          <w:cantSplit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t>Kaplan-Meier estimate (</w:t>
            </w:r>
            <w:r w:rsidRPr="0015508E">
              <w:rPr>
                <w:color w:val="000000"/>
                <w:sz w:val="18"/>
                <w:szCs w:val="18"/>
                <w:highlight w:val="yellow"/>
              </w:rPr>
              <w:t>months</w:t>
            </w:r>
            <w:r w:rsidRPr="00BE47AA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46C41" w:rsidRPr="00BE47AA" w:rsidTr="000C43D8">
        <w:trPr>
          <w:cantSplit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t>25% quantile (95% CI)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t>4.0 (1.9, 5.6)</w:t>
            </w:r>
          </w:p>
        </w:tc>
      </w:tr>
      <w:tr w:rsidR="00B46C41" w:rsidRPr="00BE47AA" w:rsidTr="000C43D8">
        <w:trPr>
          <w:cantSplit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096761">
              <w:rPr>
                <w:color w:val="000000"/>
                <w:sz w:val="18"/>
                <w:szCs w:val="18"/>
                <w:highlight w:val="yellow"/>
              </w:rPr>
              <w:t>Median</w:t>
            </w:r>
            <w:r w:rsidRPr="00BE47AA">
              <w:rPr>
                <w:color w:val="000000"/>
                <w:sz w:val="18"/>
                <w:szCs w:val="18"/>
              </w:rPr>
              <w:t xml:space="preserve"> (95% CI)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96761">
              <w:rPr>
                <w:color w:val="000000"/>
                <w:sz w:val="18"/>
                <w:szCs w:val="18"/>
                <w:highlight w:val="yellow"/>
              </w:rPr>
              <w:t>7.4</w:t>
            </w:r>
            <w:r w:rsidRPr="00BE47AA">
              <w:rPr>
                <w:color w:val="000000"/>
                <w:sz w:val="18"/>
                <w:szCs w:val="18"/>
              </w:rPr>
              <w:t xml:space="preserve"> (5.5, NE)</w:t>
            </w:r>
          </w:p>
        </w:tc>
      </w:tr>
      <w:tr w:rsidR="00B46C41" w:rsidRPr="00BE47AA" w:rsidTr="000C43D8">
        <w:trPr>
          <w:cantSplit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t>75% quantile (95% CI)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t>NE (7.5, NE)</w:t>
            </w:r>
          </w:p>
        </w:tc>
      </w:tr>
      <w:tr w:rsidR="00B46C41" w:rsidRPr="00BE47AA" w:rsidTr="000C43D8">
        <w:trPr>
          <w:cantSplit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t>3-month duration of response rate % (95% CI)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t>87.1 (69.2, 95.0)</w:t>
            </w:r>
          </w:p>
        </w:tc>
      </w:tr>
      <w:tr w:rsidR="00B46C41" w:rsidRPr="00BE47AA" w:rsidTr="000C43D8">
        <w:trPr>
          <w:cantSplit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3ECE" w:rsidRDefault="00B46C41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cyan"/>
              </w:rPr>
            </w:pPr>
            <w:r w:rsidRPr="00BE3ECE">
              <w:rPr>
                <w:color w:val="000000"/>
                <w:sz w:val="18"/>
                <w:szCs w:val="18"/>
                <w:highlight w:val="cyan"/>
              </w:rPr>
              <w:t>6-month duration of response rate % (95% CI)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E3ECE">
              <w:rPr>
                <w:color w:val="000000"/>
                <w:sz w:val="18"/>
                <w:szCs w:val="18"/>
                <w:highlight w:val="cyan"/>
              </w:rPr>
              <w:t>59.2 (39.3, 74.5)</w:t>
            </w:r>
          </w:p>
        </w:tc>
      </w:tr>
      <w:tr w:rsidR="00B46C41" w:rsidRPr="00BE47AA" w:rsidTr="000C43D8">
        <w:trPr>
          <w:cantSplit/>
          <w:jc w:val="center"/>
        </w:trPr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E3ECE">
              <w:rPr>
                <w:color w:val="000000"/>
                <w:sz w:val="18"/>
                <w:szCs w:val="18"/>
                <w:highlight w:val="lightGray"/>
              </w:rPr>
              <w:t>12-month duration of response rate % (95% CI)</w:t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6C41" w:rsidRPr="00BE47AA" w:rsidRDefault="00B46C41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E3ECE">
              <w:rPr>
                <w:color w:val="000000"/>
                <w:sz w:val="18"/>
                <w:szCs w:val="18"/>
                <w:highlight w:val="lightGray"/>
              </w:rPr>
              <w:t>37.8 (19.6, 55.9)</w:t>
            </w:r>
          </w:p>
        </w:tc>
      </w:tr>
      <w:tr w:rsidR="00B46C41" w:rsidRPr="00BE47AA" w:rsidTr="000C43D8">
        <w:trPr>
          <w:cantSplit/>
          <w:jc w:val="center"/>
        </w:trPr>
        <w:tc>
          <w:tcPr>
            <w:tcW w:w="8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C41" w:rsidRPr="00BE47AA" w:rsidRDefault="00B46C41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BE47AA">
              <w:rPr>
                <w:color w:val="000000"/>
                <w:sz w:val="18"/>
                <w:szCs w:val="18"/>
              </w:rPr>
              <w:br/>
              <w:t>Keys: IRC = independent review committee; CI = confidence interval; NE = not estimable.</w:t>
            </w:r>
            <w:r w:rsidRPr="00BE47AA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  <w:tr w:rsidR="00B46C41" w:rsidRPr="0072760A" w:rsidTr="000C43D8">
        <w:trPr>
          <w:cantSplit/>
          <w:jc w:val="center"/>
        </w:trPr>
        <w:tc>
          <w:tcPr>
            <w:tcW w:w="855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46C41" w:rsidRPr="0072760A" w:rsidRDefault="00B46C41" w:rsidP="000C43D8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72760A">
              <w:rPr>
                <w:sz w:val="16"/>
                <w:szCs w:val="16"/>
              </w:rPr>
              <w:t xml:space="preserve">Modified from Attachment TEFDOR01A </w:t>
            </w:r>
          </w:p>
        </w:tc>
      </w:tr>
    </w:tbl>
    <w:p w:rsidR="00B46C41" w:rsidRPr="006757F5" w:rsidRDefault="00B46C41" w:rsidP="00B46C41">
      <w:pPr>
        <w:pStyle w:val="BodyText12"/>
      </w:pPr>
    </w:p>
    <w:p w:rsidR="000B6A84" w:rsidRDefault="000B6A84"/>
    <w:p w:rsidR="0085124A" w:rsidRDefault="0085124A">
      <w:pPr>
        <w:sectPr w:rsidR="0085124A" w:rsidSect="009062A2">
          <w:pgSz w:w="12240" w:h="15840" w:code="1"/>
          <w:pgMar w:top="1151" w:right="1440" w:bottom="1151" w:left="1440" w:header="544" w:footer="720" w:gutter="0"/>
          <w:cols w:space="708"/>
          <w:docGrid w:linePitch="360"/>
        </w:sectPr>
      </w:pPr>
    </w:p>
    <w:p w:rsidR="000D7376" w:rsidRDefault="000D7376" w:rsidP="000D7376">
      <w:pPr>
        <w:pStyle w:val="BodyText12"/>
      </w:pPr>
      <w:r w:rsidRPr="007F1DA8">
        <w:lastRenderedPageBreak/>
        <w:t xml:space="preserve">Based on the </w:t>
      </w:r>
      <w:r>
        <w:t>IRC assessment</w:t>
      </w:r>
      <w:r w:rsidRPr="007F1DA8">
        <w:t xml:space="preserve">, </w:t>
      </w:r>
      <w:r>
        <w:t>t</w:t>
      </w:r>
      <w:r w:rsidRPr="007F1DA8">
        <w:t>he</w:t>
      </w:r>
      <w:r w:rsidRPr="0094564F">
        <w:t xml:space="preserve"> median </w:t>
      </w:r>
      <w:r w:rsidRPr="00AD150C">
        <w:rPr>
          <w:highlight w:val="yellow"/>
        </w:rPr>
        <w:t>time to response</w:t>
      </w:r>
      <w:r w:rsidRPr="0094564F">
        <w:t xml:space="preserve"> </w:t>
      </w:r>
      <w:r>
        <w:t xml:space="preserve">for the </w:t>
      </w:r>
      <w:r w:rsidRPr="00AD150C">
        <w:rPr>
          <w:highlight w:val="yellow"/>
        </w:rPr>
        <w:t>16 mg/kg group</w:t>
      </w:r>
      <w:r>
        <w:t xml:space="preserve"> </w:t>
      </w:r>
      <w:r w:rsidRPr="0094564F">
        <w:t xml:space="preserve">was </w:t>
      </w:r>
      <w:r w:rsidRPr="00AD150C">
        <w:rPr>
          <w:highlight w:val="yellow"/>
        </w:rPr>
        <w:t>1 month</w:t>
      </w:r>
      <w:r>
        <w:t xml:space="preserve">, and the </w:t>
      </w:r>
      <w:r w:rsidRPr="00AD150C">
        <w:rPr>
          <w:highlight w:val="green"/>
        </w:rPr>
        <w:t>median time to best response</w:t>
      </w:r>
      <w:r>
        <w:t xml:space="preserve"> was </w:t>
      </w:r>
      <w:r w:rsidRPr="00AD150C">
        <w:rPr>
          <w:highlight w:val="green"/>
        </w:rPr>
        <w:t>1.9 months</w:t>
      </w:r>
      <w:r>
        <w:t xml:space="preserve"> (</w:t>
      </w:r>
      <w:r>
        <w:fldChar w:fldCharType="begin"/>
      </w:r>
      <w:r>
        <w:instrText xml:space="preserve"> REF _Ref413673689 \h </w:instrText>
      </w:r>
      <w:r>
        <w:fldChar w:fldCharType="separate"/>
      </w:r>
      <w:r w:rsidRPr="00413A8C">
        <w:t xml:space="preserve">Table </w:t>
      </w:r>
      <w:r>
        <w:rPr>
          <w:noProof/>
        </w:rPr>
        <w:t>3</w:t>
      </w:r>
      <w:r>
        <w:fldChar w:fldCharType="end"/>
      </w:r>
      <w:r>
        <w:t>)</w:t>
      </w:r>
      <w:r w:rsidRPr="004B35F9">
        <w:t xml:space="preserve">. </w:t>
      </w:r>
      <w:r w:rsidRPr="00AD150C">
        <w:rPr>
          <w:highlight w:val="cyan"/>
        </w:rPr>
        <w:t>The median time to VGPR</w:t>
      </w:r>
      <w:r>
        <w:t xml:space="preserve"> was 1.8 months. </w:t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042"/>
        <w:gridCol w:w="2592"/>
        <w:gridCol w:w="2602"/>
      </w:tblGrid>
      <w:tr w:rsidR="000D7376" w:rsidRPr="000D74B1" w:rsidTr="000C43D8">
        <w:trPr>
          <w:cantSplit/>
          <w:tblHeader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pStyle w:val="Caption"/>
              <w:rPr>
                <w:color w:val="000000"/>
              </w:rPr>
            </w:pPr>
            <w:bookmarkStart w:id="4" w:name="_Ref413673689"/>
            <w:bookmarkStart w:id="5" w:name="_Toc419922890"/>
            <w:r w:rsidRPr="00413A8C"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bookmarkEnd w:id="4"/>
            <w:r w:rsidRPr="00413A8C">
              <w:t>:</w:t>
            </w:r>
            <w:r w:rsidRPr="00413A8C">
              <w:rPr>
                <w:color w:val="000000"/>
              </w:rPr>
              <w:tab/>
              <w:t>Descriptive</w:t>
            </w:r>
            <w:r w:rsidRPr="000D74B1">
              <w:rPr>
                <w:color w:val="000000"/>
              </w:rPr>
              <w:t xml:space="preserve"> Summaries for Time to Response based on IRC Assessment; Responders in All Treated Analysis Set (Study 54767414MMY2002)</w:t>
            </w:r>
            <w:bookmarkEnd w:id="5"/>
          </w:p>
        </w:tc>
      </w:tr>
      <w:tr w:rsidR="000D7376" w:rsidRPr="000D74B1" w:rsidTr="000C43D8">
        <w:trPr>
          <w:cantSplit/>
          <w:tblHeader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D150C">
              <w:rPr>
                <w:color w:val="000000"/>
                <w:sz w:val="18"/>
                <w:szCs w:val="18"/>
                <w:highlight w:val="yellow"/>
              </w:rPr>
              <w:t>16 mg/kg</w:t>
            </w:r>
            <w:r w:rsidRPr="000D74B1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Analysis set: responders in all treated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31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AD150C">
              <w:rPr>
                <w:color w:val="000000"/>
                <w:sz w:val="18"/>
                <w:szCs w:val="18"/>
                <w:highlight w:val="yellow"/>
              </w:rPr>
              <w:t>Time to first response (months)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31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0.99 (0.046)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1.67 (1.162)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D150C">
              <w:rPr>
                <w:color w:val="000000"/>
                <w:sz w:val="18"/>
                <w:szCs w:val="18"/>
                <w:highlight w:val="yellow"/>
              </w:rPr>
              <w:t>Median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D150C">
              <w:rPr>
                <w:color w:val="000000"/>
                <w:sz w:val="18"/>
                <w:szCs w:val="18"/>
                <w:highlight w:val="yellow"/>
              </w:rPr>
              <w:t>0.99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(1.0; 1.0)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(0.9; 5.6)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AD150C">
              <w:rPr>
                <w:color w:val="000000"/>
                <w:sz w:val="18"/>
                <w:szCs w:val="18"/>
                <w:highlight w:val="green"/>
              </w:rPr>
              <w:t>Time to best response (months)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31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5.59 (6.551)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2.48 (1.875)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D150C">
              <w:rPr>
                <w:color w:val="000000"/>
                <w:sz w:val="18"/>
                <w:szCs w:val="18"/>
                <w:highlight w:val="green"/>
              </w:rPr>
              <w:t>Median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5.59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D150C">
              <w:rPr>
                <w:color w:val="000000"/>
                <w:sz w:val="18"/>
                <w:szCs w:val="18"/>
                <w:highlight w:val="green"/>
              </w:rPr>
              <w:t>1.87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(1.0; 10.2)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(0.9; 7.4)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AD150C" w:rsidRDefault="000D7376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cyan"/>
              </w:rPr>
            </w:pPr>
            <w:r w:rsidRPr="00AD150C">
              <w:rPr>
                <w:color w:val="000000"/>
                <w:sz w:val="18"/>
                <w:szCs w:val="18"/>
                <w:highlight w:val="cyan"/>
              </w:rPr>
              <w:t>Time to VGPR or better (months)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13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10.22 (-)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2.49 (2.109)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AD150C" w:rsidRDefault="000D737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cyan"/>
              </w:rPr>
            </w:pPr>
            <w:r w:rsidRPr="00AD150C">
              <w:rPr>
                <w:color w:val="000000"/>
                <w:sz w:val="18"/>
                <w:szCs w:val="18"/>
                <w:highlight w:val="cyan"/>
              </w:rPr>
              <w:t>Median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10.22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D150C">
              <w:rPr>
                <w:color w:val="000000"/>
                <w:sz w:val="18"/>
                <w:szCs w:val="18"/>
                <w:highlight w:val="cyan"/>
              </w:rPr>
              <w:t>1.84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(10.2; 10.2)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D7376" w:rsidRPr="000D74B1" w:rsidRDefault="000D737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t>(0.9; 7.4)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9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0D74B1">
              <w:rPr>
                <w:color w:val="000000"/>
                <w:sz w:val="18"/>
                <w:szCs w:val="18"/>
              </w:rPr>
              <w:br/>
              <w:t>Keys: IRC = independent review committee; VGPR = very good partial response.</w:t>
            </w:r>
          </w:p>
        </w:tc>
      </w:tr>
      <w:tr w:rsidR="000D7376" w:rsidRPr="000D74B1" w:rsidTr="000C43D8">
        <w:trPr>
          <w:cantSplit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D7376" w:rsidRPr="000D74B1" w:rsidRDefault="000D7376" w:rsidP="000C43D8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0D74B1">
              <w:rPr>
                <w:color w:val="000000"/>
                <w:sz w:val="16"/>
                <w:szCs w:val="16"/>
              </w:rPr>
              <w:t>[TEFTTR02A.rtf] [JNJ-54767414\MMY2002\DBR_CSR\RE_CSR\tefttr02a.sas] 04MAR2015, 14:43</w:t>
            </w:r>
          </w:p>
        </w:tc>
      </w:tr>
    </w:tbl>
    <w:p w:rsidR="0085124A" w:rsidRDefault="0085124A"/>
    <w:p w:rsidR="005875CD" w:rsidRDefault="005875CD">
      <w:r>
        <w:br w:type="page"/>
      </w:r>
    </w:p>
    <w:p w:rsidR="008C0D07" w:rsidRDefault="004C3BD4" w:rsidP="008C0D07">
      <w:pPr>
        <w:pStyle w:val="BodyText12"/>
        <w:keepNext/>
        <w:keepLines/>
      </w:pPr>
      <w:r>
        <w:lastRenderedPageBreak/>
        <w:t xml:space="preserve">In the 16 mg/kg group, </w:t>
      </w:r>
      <w:r w:rsidR="008C0D07" w:rsidRPr="00232AB8">
        <w:rPr>
          <w:highlight w:val="yellow"/>
        </w:rPr>
        <w:t>69%</w:t>
      </w:r>
      <w:r w:rsidR="008C0D07" w:rsidRPr="008B139B">
        <w:t xml:space="preserve"> </w:t>
      </w:r>
      <w:r w:rsidR="008C0D07">
        <w:t xml:space="preserve">of subjects </w:t>
      </w:r>
      <w:r w:rsidR="008C0D07" w:rsidRPr="008B139B">
        <w:t xml:space="preserve">had </w:t>
      </w:r>
      <w:r w:rsidR="008C0D07">
        <w:t xml:space="preserve">experienced </w:t>
      </w:r>
      <w:r w:rsidR="008C0D07" w:rsidRPr="00232AB8">
        <w:rPr>
          <w:highlight w:val="yellow"/>
        </w:rPr>
        <w:t>disease progression</w:t>
      </w:r>
      <w:r w:rsidR="004974A4" w:rsidRPr="004974A4">
        <w:t xml:space="preserve"> </w:t>
      </w:r>
      <w:r w:rsidR="004974A4">
        <w:t>a</w:t>
      </w:r>
      <w:r w:rsidR="004974A4" w:rsidRPr="00510589">
        <w:t>t the time of the primary analysis</w:t>
      </w:r>
      <w:r w:rsidR="008C0D07" w:rsidRPr="008B139B">
        <w:t xml:space="preserve">. The </w:t>
      </w:r>
      <w:r w:rsidR="008C0D07" w:rsidRPr="00214FC2">
        <w:rPr>
          <w:highlight w:val="green"/>
        </w:rPr>
        <w:t>median</w:t>
      </w:r>
      <w:r w:rsidR="008C0D07" w:rsidRPr="008B139B">
        <w:t xml:space="preserve"> time to progression was </w:t>
      </w:r>
      <w:r w:rsidR="008C0D07" w:rsidRPr="00214FC2">
        <w:rPr>
          <w:highlight w:val="green"/>
        </w:rPr>
        <w:t>3.7</w:t>
      </w:r>
      <w:r w:rsidR="008C0D07" w:rsidRPr="007D1A72">
        <w:t xml:space="preserve"> months. Based on the Kaplan Meier estimate, </w:t>
      </w:r>
      <w:r w:rsidR="008C0D07" w:rsidRPr="00B07FBF">
        <w:rPr>
          <w:highlight w:val="cyan"/>
        </w:rPr>
        <w:t>37% (95% CI: 28%, 47%)</w:t>
      </w:r>
      <w:r w:rsidR="008C0D07" w:rsidRPr="007100BF">
        <w:t xml:space="preserve"> of subjects were </w:t>
      </w:r>
      <w:r w:rsidR="008C0D07" w:rsidRPr="00B07FBF">
        <w:rPr>
          <w:highlight w:val="cyan"/>
        </w:rPr>
        <w:t>progression-free and at 6 months</w:t>
      </w:r>
      <w:r w:rsidR="008C0D07">
        <w:t xml:space="preserve"> and</w:t>
      </w:r>
      <w:r w:rsidR="008C0D07" w:rsidRPr="007100BF">
        <w:t xml:space="preserve"> </w:t>
      </w:r>
      <w:r w:rsidR="008C0D07" w:rsidRPr="00B07FBF">
        <w:rPr>
          <w:highlight w:val="magenta"/>
        </w:rPr>
        <w:t>19% (95% CI: 11%, 28%)</w:t>
      </w:r>
      <w:r w:rsidR="008C0D07" w:rsidRPr="007100BF">
        <w:t xml:space="preserve"> </w:t>
      </w:r>
      <w:r w:rsidR="008C0D07">
        <w:t xml:space="preserve">of subjects </w:t>
      </w:r>
      <w:r w:rsidR="008C0D07" w:rsidRPr="007100BF">
        <w:t xml:space="preserve">were </w:t>
      </w:r>
      <w:r w:rsidR="008C0D07" w:rsidRPr="00B07FBF">
        <w:rPr>
          <w:highlight w:val="magenta"/>
        </w:rPr>
        <w:t>progression-free at 12 months</w:t>
      </w:r>
      <w:r w:rsidR="008C0D07">
        <w:t xml:space="preserve"> (</w:t>
      </w:r>
      <w:r w:rsidR="008C0D07">
        <w:fldChar w:fldCharType="begin"/>
      </w:r>
      <w:r w:rsidR="008C0D07">
        <w:instrText xml:space="preserve"> REF _Ref411806192 \h </w:instrText>
      </w:r>
      <w:r w:rsidR="008C0D07">
        <w:fldChar w:fldCharType="separate"/>
      </w:r>
      <w:r w:rsidR="008C0D07">
        <w:t xml:space="preserve">Table </w:t>
      </w:r>
      <w:r w:rsidR="008C0D07">
        <w:rPr>
          <w:noProof/>
        </w:rPr>
        <w:t>4</w:t>
      </w:r>
      <w:r w:rsidR="008C0D07">
        <w:fldChar w:fldCharType="end"/>
      </w:r>
      <w:r w:rsidR="008C0D07">
        <w:t>)</w:t>
      </w:r>
      <w:r w:rsidR="008C0D07" w:rsidRPr="007100BF">
        <w:t>.</w:t>
      </w:r>
      <w:r w:rsidR="008C0D07">
        <w:t xml:space="preserve"> </w:t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042"/>
        <w:gridCol w:w="2592"/>
        <w:gridCol w:w="2602"/>
      </w:tblGrid>
      <w:tr w:rsidR="008C0D07" w:rsidRPr="00E60E36" w:rsidTr="000C43D8">
        <w:trPr>
          <w:cantSplit/>
          <w:tblHeader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pStyle w:val="Caption"/>
              <w:rPr>
                <w:color w:val="000000"/>
              </w:rPr>
            </w:pPr>
            <w:bookmarkStart w:id="6" w:name="_Ref411806192"/>
            <w:bookmarkStart w:id="7" w:name="_Toc419922891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bookmarkEnd w:id="6"/>
            <w:r>
              <w:t>:</w:t>
            </w:r>
            <w:r w:rsidRPr="00E60E36">
              <w:rPr>
                <w:color w:val="000000"/>
              </w:rPr>
              <w:tab/>
            </w:r>
            <w:r w:rsidRPr="00214FC2">
              <w:rPr>
                <w:color w:val="000000"/>
                <w:highlight w:val="yellow"/>
              </w:rPr>
              <w:t>Time to Disease Progression</w:t>
            </w:r>
            <w:r w:rsidRPr="00E60E36">
              <w:rPr>
                <w:color w:val="000000"/>
              </w:rPr>
              <w:t xml:space="preserve"> based on IRC Assessment; </w:t>
            </w:r>
            <w:r>
              <w:rPr>
                <w:color w:val="000000"/>
              </w:rPr>
              <w:t>All Treated Analysis Set (Study </w:t>
            </w:r>
            <w:r w:rsidRPr="00E60E36">
              <w:rPr>
                <w:color w:val="000000"/>
              </w:rPr>
              <w:t>54767414MMY2002)</w:t>
            </w:r>
            <w:bookmarkEnd w:id="7"/>
          </w:p>
        </w:tc>
      </w:tr>
      <w:tr w:rsidR="008C0D07" w:rsidRPr="00E60E36" w:rsidTr="000C43D8">
        <w:trPr>
          <w:cantSplit/>
          <w:tblHeader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232AB8">
              <w:rPr>
                <w:color w:val="000000"/>
                <w:sz w:val="18"/>
                <w:szCs w:val="18"/>
                <w:highlight w:val="yellow"/>
              </w:rPr>
              <w:t>16 mg/kg</w:t>
            </w:r>
            <w:r w:rsidRPr="00E60E36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106</w:t>
            </w: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 xml:space="preserve">Time to </w:t>
            </w:r>
            <w:r w:rsidRPr="00232AB8">
              <w:rPr>
                <w:color w:val="000000"/>
                <w:sz w:val="18"/>
                <w:szCs w:val="18"/>
                <w:highlight w:val="yellow"/>
              </w:rPr>
              <w:t>disease progression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Number of events (%)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73 (</w:t>
            </w:r>
            <w:r w:rsidRPr="00232AB8">
              <w:rPr>
                <w:color w:val="000000"/>
                <w:sz w:val="18"/>
                <w:szCs w:val="18"/>
                <w:highlight w:val="yellow"/>
              </w:rPr>
              <w:t>68.9%)</w:t>
            </w: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Number of censored (%)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33 (31.1%)</w:t>
            </w: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Kaplan-Meier estimate (</w:t>
            </w:r>
            <w:r w:rsidRPr="00232AB8">
              <w:rPr>
                <w:color w:val="000000"/>
                <w:sz w:val="18"/>
                <w:szCs w:val="18"/>
                <w:highlight w:val="green"/>
              </w:rPr>
              <w:t>months</w:t>
            </w:r>
            <w:r w:rsidRPr="00E60E36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25% quantile (95% CI)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1.87 (0.99, 4.86)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1.84 (0.95, 2.33)</w:t>
            </w: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232AB8">
              <w:rPr>
                <w:color w:val="000000"/>
                <w:sz w:val="18"/>
                <w:szCs w:val="18"/>
                <w:highlight w:val="green"/>
              </w:rPr>
              <w:t>Median</w:t>
            </w:r>
            <w:r w:rsidRPr="00E60E36">
              <w:rPr>
                <w:color w:val="000000"/>
                <w:sz w:val="18"/>
                <w:szCs w:val="18"/>
              </w:rPr>
              <w:t xml:space="preserve"> (95% CI)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4.86 (1.84, NE)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232AB8">
              <w:rPr>
                <w:color w:val="000000"/>
                <w:sz w:val="18"/>
                <w:szCs w:val="18"/>
                <w:highlight w:val="green"/>
              </w:rPr>
              <w:t>3.71</w:t>
            </w:r>
            <w:r w:rsidRPr="00E60E36">
              <w:rPr>
                <w:color w:val="000000"/>
                <w:sz w:val="18"/>
                <w:szCs w:val="18"/>
              </w:rPr>
              <w:t xml:space="preserve"> (2.79, 5.39)</w:t>
            </w: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75% quantile (95% CI)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NE (3.32, NE)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7.66 (6.51, NE)</w:t>
            </w: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3-month disease progression free rate % (95% CI)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63.5 (28.9, 84.7)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51.2 (40.7, 60.7)</w:t>
            </w: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B07FBF" w:rsidRDefault="008C0D07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cyan"/>
              </w:rPr>
            </w:pPr>
            <w:r w:rsidRPr="00B07FBF">
              <w:rPr>
                <w:color w:val="000000"/>
                <w:sz w:val="18"/>
                <w:szCs w:val="18"/>
                <w:highlight w:val="cyan"/>
              </w:rPr>
              <w:t>6-month disease progression free rate % (95% CI)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25.4 (1.6, 63.7)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7FBF">
              <w:rPr>
                <w:color w:val="000000"/>
                <w:sz w:val="18"/>
                <w:szCs w:val="18"/>
                <w:highlight w:val="cyan"/>
              </w:rPr>
              <w:t>37.4 (27.6, 47.2)</w:t>
            </w:r>
          </w:p>
        </w:tc>
      </w:tr>
      <w:tr w:rsidR="008C0D07" w:rsidRPr="00E60E36" w:rsidTr="000C43D8">
        <w:trPr>
          <w:cantSplit/>
          <w:jc w:val="center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B07FBF" w:rsidRDefault="008C0D07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magenta"/>
              </w:rPr>
            </w:pPr>
            <w:r w:rsidRPr="00B07FBF">
              <w:rPr>
                <w:color w:val="000000"/>
                <w:sz w:val="18"/>
                <w:szCs w:val="18"/>
                <w:highlight w:val="magenta"/>
              </w:rPr>
              <w:t>12-month disease progression free rate % (95% CI)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t>25.4 (1.6, 63.7)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C0D07" w:rsidRPr="00E60E36" w:rsidRDefault="008C0D07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7FBF">
              <w:rPr>
                <w:color w:val="000000"/>
                <w:sz w:val="18"/>
                <w:szCs w:val="18"/>
                <w:highlight w:val="magenta"/>
              </w:rPr>
              <w:t>18.7 (11.0, 28.0)</w:t>
            </w:r>
          </w:p>
        </w:tc>
      </w:tr>
      <w:tr w:rsidR="008C0D07" w:rsidRPr="00E60E36" w:rsidTr="000C43D8">
        <w:trPr>
          <w:cantSplit/>
          <w:jc w:val="center"/>
        </w:trPr>
        <w:tc>
          <w:tcPr>
            <w:tcW w:w="9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E60E36">
              <w:rPr>
                <w:color w:val="000000"/>
                <w:sz w:val="18"/>
                <w:szCs w:val="18"/>
              </w:rPr>
              <w:br/>
              <w:t>Keys: IRC = independent review committee; CI = confidence interval; NE = not estimable.</w:t>
            </w:r>
            <w:r w:rsidRPr="00E60E36">
              <w:rPr>
                <w:color w:val="000000"/>
                <w:sz w:val="18"/>
                <w:szCs w:val="18"/>
              </w:rPr>
              <w:br/>
              <w:t>Note: Percentages are calculated with the number of subjects in each group as denominator.</w:t>
            </w:r>
          </w:p>
        </w:tc>
      </w:tr>
      <w:tr w:rsidR="008C0D07" w:rsidRPr="00E60E36" w:rsidTr="000C43D8">
        <w:trPr>
          <w:cantSplit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C0D07" w:rsidRPr="00E60E36" w:rsidRDefault="008C0D07" w:rsidP="000C43D8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E60E36">
              <w:rPr>
                <w:color w:val="000000"/>
                <w:sz w:val="16"/>
                <w:szCs w:val="16"/>
              </w:rPr>
              <w:t>[TEFTTP01A.rtf] [JNJ-54767414\MMY2002\DBR_CSR\RE_CSR\tefttp01a.sas] 13FEB2015, 14:37</w:t>
            </w:r>
          </w:p>
        </w:tc>
      </w:tr>
    </w:tbl>
    <w:p w:rsidR="00C97B18" w:rsidRDefault="00C97B18" w:rsidP="008C0D07">
      <w:pPr>
        <w:pStyle w:val="BodyText12"/>
      </w:pPr>
      <w:r>
        <w:br w:type="page"/>
      </w:r>
    </w:p>
    <w:p w:rsidR="00236FC6" w:rsidRPr="00236FC6" w:rsidRDefault="00236FC6" w:rsidP="00A62E49">
      <w:pPr>
        <w:pStyle w:val="BodyText12"/>
        <w:rPr>
          <w:b/>
        </w:rPr>
      </w:pPr>
      <w:r w:rsidRPr="00236FC6">
        <w:rPr>
          <w:b/>
        </w:rPr>
        <w:lastRenderedPageBreak/>
        <w:t>Find incidence &gt;10%</w:t>
      </w:r>
    </w:p>
    <w:p w:rsidR="00A62E49" w:rsidRDefault="00A62E49" w:rsidP="00A62E49">
      <w:pPr>
        <w:pStyle w:val="BodyText12"/>
      </w:pPr>
      <w:r>
        <w:t xml:space="preserve">In the 16 mg/kg group, an </w:t>
      </w:r>
      <w:r w:rsidRPr="00236FC6">
        <w:rPr>
          <w:highlight w:val="yellow"/>
        </w:rPr>
        <w:t>increase in serum M-protein (45%</w:t>
      </w:r>
      <w:r>
        <w:t xml:space="preserve">), </w:t>
      </w:r>
      <w:r w:rsidRPr="00236FC6">
        <w:rPr>
          <w:highlight w:val="yellow"/>
        </w:rPr>
        <w:t>increase in urinary light chain excretion (24%</w:t>
      </w:r>
      <w:r>
        <w:t xml:space="preserve">) and </w:t>
      </w:r>
      <w:r w:rsidRPr="00236FC6">
        <w:rPr>
          <w:highlight w:val="yellow"/>
        </w:rPr>
        <w:t>development of new soft tissue plasmacytomas (18%</w:t>
      </w:r>
      <w:r>
        <w:t xml:space="preserve">) were the most frequent </w:t>
      </w:r>
      <w:r w:rsidRPr="00236FC6">
        <w:rPr>
          <w:highlight w:val="yellow"/>
        </w:rPr>
        <w:t>reasons for disease progression</w:t>
      </w:r>
      <w:r>
        <w:t>, based on IRC assessment (</w:t>
      </w:r>
      <w:r>
        <w:fldChar w:fldCharType="begin"/>
      </w:r>
      <w:r>
        <w:instrText xml:space="preserve"> REF _Ref411806543 \h </w:instrText>
      </w:r>
      <w:r>
        <w:fldChar w:fldCharType="separate"/>
      </w:r>
      <w:r w:rsidR="00236FC6">
        <w:t xml:space="preserve">Table </w:t>
      </w:r>
      <w:r w:rsidR="00236FC6">
        <w:rPr>
          <w:noProof/>
        </w:rPr>
        <w:t>5</w:t>
      </w:r>
      <w:r>
        <w:fldChar w:fldCharType="end"/>
      </w:r>
      <w:r>
        <w:t>).</w:t>
      </w:r>
    </w:p>
    <w:p w:rsidR="00A62E49" w:rsidRDefault="00A62E49" w:rsidP="00A62E49">
      <w:pPr>
        <w:pStyle w:val="Basic11"/>
        <w:keepNext/>
        <w:keepLines/>
      </w:pP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5770"/>
        <w:gridCol w:w="1728"/>
        <w:gridCol w:w="1738"/>
      </w:tblGrid>
      <w:tr w:rsidR="00A62E49" w:rsidRPr="006779FD" w:rsidTr="000C43D8">
        <w:trPr>
          <w:cantSplit/>
          <w:tblHeader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pStyle w:val="Caption"/>
              <w:rPr>
                <w:color w:val="000000"/>
              </w:rPr>
            </w:pPr>
            <w:bookmarkStart w:id="8" w:name="_Ref411806543"/>
            <w:bookmarkStart w:id="9" w:name="_Toc419922892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 w:rsidR="00236FC6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bookmarkEnd w:id="8"/>
            <w:r>
              <w:t>:</w:t>
            </w:r>
            <w:r w:rsidRPr="006779FD">
              <w:rPr>
                <w:color w:val="000000"/>
              </w:rPr>
              <w:tab/>
            </w:r>
            <w:r w:rsidRPr="00236FC6">
              <w:rPr>
                <w:color w:val="000000"/>
                <w:highlight w:val="yellow"/>
              </w:rPr>
              <w:t>Reasons for Disease Progression based on IRC Assessment</w:t>
            </w:r>
            <w:r w:rsidRPr="006779FD">
              <w:rPr>
                <w:color w:val="000000"/>
              </w:rPr>
              <w:t xml:space="preserve">; </w:t>
            </w:r>
            <w:r>
              <w:rPr>
                <w:color w:val="000000"/>
              </w:rPr>
              <w:t>All Treated Analysis Set (Study </w:t>
            </w:r>
            <w:r w:rsidRPr="006779FD">
              <w:rPr>
                <w:color w:val="000000"/>
              </w:rPr>
              <w:t>54767414MMY2002)</w:t>
            </w:r>
            <w:bookmarkEnd w:id="9"/>
          </w:p>
        </w:tc>
      </w:tr>
      <w:tr w:rsidR="00A62E49" w:rsidRPr="006779FD" w:rsidTr="000C43D8">
        <w:trPr>
          <w:cantSplit/>
          <w:tblHeader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73B0D">
              <w:rPr>
                <w:color w:val="000000"/>
                <w:sz w:val="18"/>
                <w:szCs w:val="18"/>
                <w:highlight w:val="yellow"/>
              </w:rPr>
              <w:t>16 mg/kg</w:t>
            </w:r>
            <w:r w:rsidRPr="006779F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106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PD/Reasons for PD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Yes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67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236FC6" w:rsidRDefault="00A62E49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yellow"/>
              </w:rPr>
            </w:pPr>
            <w:r w:rsidRPr="00236FC6">
              <w:rPr>
                <w:color w:val="000000"/>
                <w:sz w:val="18"/>
                <w:szCs w:val="18"/>
                <w:highlight w:val="yellow"/>
              </w:rPr>
              <w:t>Increase in serum monoclonal paraprotein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2 (33.3%)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30 (</w:t>
            </w:r>
            <w:r w:rsidRPr="00236FC6">
              <w:rPr>
                <w:color w:val="000000"/>
                <w:sz w:val="18"/>
                <w:szCs w:val="18"/>
                <w:highlight w:val="yellow"/>
              </w:rPr>
              <w:t>44.8%)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236FC6">
              <w:rPr>
                <w:color w:val="000000"/>
                <w:sz w:val="18"/>
                <w:szCs w:val="18"/>
                <w:highlight w:val="yellow"/>
              </w:rPr>
              <w:t>Increase in urinary light chain excretion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1 (16.7%)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16 (</w:t>
            </w:r>
            <w:r w:rsidRPr="00236FC6">
              <w:rPr>
                <w:color w:val="000000"/>
                <w:sz w:val="18"/>
                <w:szCs w:val="18"/>
                <w:highlight w:val="yellow"/>
              </w:rPr>
              <w:t>23.9%)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Increase in a bone marrow plasma cells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2 (3.0%)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Increase in size of existing lytic bone lesions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2 (3.0%)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Increase in size of existing soft tissue plasmacytomas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4 (6.0%)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Development of new bone lesions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4 (6.0%)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236FC6" w:rsidRDefault="00A62E49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yellow"/>
              </w:rPr>
            </w:pPr>
            <w:r w:rsidRPr="00236FC6">
              <w:rPr>
                <w:color w:val="000000"/>
                <w:sz w:val="18"/>
                <w:szCs w:val="18"/>
                <w:highlight w:val="yellow"/>
              </w:rPr>
              <w:t>Development of new soft tissue plasmacytomas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1 (16.7%)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12 (</w:t>
            </w:r>
            <w:r w:rsidRPr="00236FC6">
              <w:rPr>
                <w:color w:val="000000"/>
                <w:sz w:val="18"/>
                <w:szCs w:val="18"/>
                <w:highlight w:val="yellow"/>
              </w:rPr>
              <w:t>17.9%)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Development of hypercalcemia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1 (16.7%)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3 (4.5%)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5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Increase of FLC levels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1 (16.7%)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2E49" w:rsidRPr="006779FD" w:rsidRDefault="00A62E49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6 (9.0%)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9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6779FD">
              <w:rPr>
                <w:color w:val="000000"/>
                <w:sz w:val="18"/>
                <w:szCs w:val="18"/>
              </w:rPr>
              <w:t>Keys: IRC = independent review committee; PD = progressive disease.</w:t>
            </w:r>
            <w:r w:rsidRPr="006779FD">
              <w:rPr>
                <w:color w:val="000000"/>
                <w:sz w:val="18"/>
                <w:szCs w:val="18"/>
              </w:rPr>
              <w:br/>
              <w:t>Note: Response was assessed by independent review committee, based on international Uniform Response Criteria Consensus Recommendations.</w:t>
            </w:r>
            <w:r w:rsidRPr="006779FD">
              <w:rPr>
                <w:color w:val="000000"/>
                <w:sz w:val="18"/>
                <w:szCs w:val="18"/>
              </w:rPr>
              <w:br/>
              <w:t>Percentages are calculated with the number of subjects with progressive disease as denominator.</w:t>
            </w:r>
            <w:r w:rsidRPr="006779FD">
              <w:rPr>
                <w:color w:val="000000"/>
                <w:sz w:val="18"/>
                <w:szCs w:val="18"/>
              </w:rPr>
              <w:br/>
              <w:t>A subject may have more than one reason for progressive disease.</w:t>
            </w:r>
          </w:p>
        </w:tc>
      </w:tr>
      <w:tr w:rsidR="00A62E49" w:rsidRPr="006779FD" w:rsidTr="000C43D8">
        <w:trPr>
          <w:cantSplit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62E49" w:rsidRPr="006779FD" w:rsidRDefault="00A62E49" w:rsidP="000C43D8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6779FD">
              <w:rPr>
                <w:color w:val="000000"/>
                <w:sz w:val="16"/>
                <w:szCs w:val="16"/>
              </w:rPr>
              <w:t>[TEFTTP03A.rtf] [JNJ-54767414\MMY2002\DBR_CSR\RE_CSR\tefttp03a.sas] 13FEB2015, 14:38</w:t>
            </w:r>
          </w:p>
        </w:tc>
      </w:tr>
    </w:tbl>
    <w:p w:rsidR="00A62E49" w:rsidRPr="0072760A" w:rsidRDefault="00A62E49" w:rsidP="00A62E49">
      <w:pPr>
        <w:pStyle w:val="BodyText12"/>
      </w:pPr>
    </w:p>
    <w:p w:rsidR="008C0D07" w:rsidRDefault="008C0D07" w:rsidP="008C0D07">
      <w:pPr>
        <w:pStyle w:val="BodyText12"/>
      </w:pPr>
    </w:p>
    <w:p w:rsidR="00FE3B52" w:rsidRDefault="00FE3B52">
      <w:r>
        <w:br w:type="page"/>
      </w:r>
    </w:p>
    <w:p w:rsidR="00E516FC" w:rsidRDefault="008C2577" w:rsidP="00E516FC">
      <w:pPr>
        <w:pStyle w:val="BodyText12"/>
      </w:pPr>
      <w:r>
        <w:lastRenderedPageBreak/>
        <w:t>In the 16 mg/kg group,</w:t>
      </w:r>
      <w:r>
        <w:t xml:space="preserve"> a</w:t>
      </w:r>
      <w:r w:rsidR="00E516FC" w:rsidRPr="0072760A">
        <w:t xml:space="preserve">t the time of the primary analysis, </w:t>
      </w:r>
      <w:r w:rsidR="00E516FC" w:rsidRPr="008C2577">
        <w:rPr>
          <w:highlight w:val="yellow"/>
        </w:rPr>
        <w:t>71%</w:t>
      </w:r>
      <w:r w:rsidR="00E516FC" w:rsidRPr="0072760A">
        <w:t xml:space="preserve"> of subjects had </w:t>
      </w:r>
      <w:r w:rsidR="00E516FC" w:rsidRPr="008C2577">
        <w:rPr>
          <w:highlight w:val="yellow"/>
        </w:rPr>
        <w:t>PFS events</w:t>
      </w:r>
      <w:r w:rsidR="00E516FC">
        <w:t xml:space="preserve"> (</w:t>
      </w:r>
      <w:r w:rsidR="00E516FC" w:rsidRPr="0072760A">
        <w:t>progressed or died</w:t>
      </w:r>
      <w:r w:rsidR="00E516FC">
        <w:t>)</w:t>
      </w:r>
      <w:r w:rsidR="00E516FC" w:rsidRPr="0072760A">
        <w:t>, based on IRC assessment (</w:t>
      </w:r>
      <w:r w:rsidR="00E516FC" w:rsidRPr="0072760A">
        <w:fldChar w:fldCharType="begin"/>
      </w:r>
      <w:r w:rsidR="00E516FC" w:rsidRPr="0072760A">
        <w:instrText xml:space="preserve"> REF _Ref413570692 \h </w:instrText>
      </w:r>
      <w:r w:rsidR="00E516FC" w:rsidRPr="0072760A">
        <w:fldChar w:fldCharType="separate"/>
      </w:r>
      <w:r w:rsidR="00E516FC">
        <w:t xml:space="preserve">Table </w:t>
      </w:r>
      <w:r w:rsidR="00E516FC">
        <w:rPr>
          <w:noProof/>
        </w:rPr>
        <w:t>6</w:t>
      </w:r>
      <w:r w:rsidR="00E516FC" w:rsidRPr="0072760A">
        <w:fldChar w:fldCharType="end"/>
      </w:r>
      <w:r w:rsidR="00E516FC" w:rsidRPr="0072760A">
        <w:t xml:space="preserve">). At the time of the primary analysis, the </w:t>
      </w:r>
      <w:r w:rsidR="00E516FC" w:rsidRPr="009836FD">
        <w:rPr>
          <w:highlight w:val="yellow"/>
        </w:rPr>
        <w:t>median PFS</w:t>
      </w:r>
      <w:r w:rsidR="00E516FC" w:rsidRPr="0072760A">
        <w:t xml:space="preserve"> (Kaplan-Meier estimate) was </w:t>
      </w:r>
      <w:r w:rsidR="00E516FC" w:rsidRPr="009836FD">
        <w:rPr>
          <w:highlight w:val="green"/>
        </w:rPr>
        <w:t>3.7 months (95% CI: 2.8, 4.6</w:t>
      </w:r>
      <w:r w:rsidR="00E516FC" w:rsidRPr="0072760A">
        <w:t xml:space="preserve">). The 6-month PFS rate was </w:t>
      </w:r>
      <w:r w:rsidR="00E516FC" w:rsidRPr="009836FD">
        <w:rPr>
          <w:highlight w:val="cyan"/>
        </w:rPr>
        <w:t>37% (95% CI: 27%, 46%)</w:t>
      </w:r>
      <w:r w:rsidR="00E516FC" w:rsidRPr="0072760A">
        <w:t xml:space="preserve">. The 12-month PFS rate was </w:t>
      </w:r>
      <w:r w:rsidR="00E516FC" w:rsidRPr="009836FD">
        <w:rPr>
          <w:highlight w:val="magenta"/>
        </w:rPr>
        <w:t>18% (95% CI: 11%, 28%)</w:t>
      </w:r>
      <w:r w:rsidR="00E516FC" w:rsidRPr="0072760A">
        <w:t xml:space="preserve"> for the 16 mg/kg group. The Kaplan-Meier PFS curve is provided in Attachment GEFPFS01A.</w:t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330"/>
        <w:gridCol w:w="2448"/>
        <w:gridCol w:w="2458"/>
      </w:tblGrid>
      <w:tr w:rsidR="00E516FC" w:rsidRPr="00BD7EDA" w:rsidTr="000C43D8">
        <w:trPr>
          <w:cantSplit/>
          <w:tblHeader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pStyle w:val="Caption"/>
              <w:rPr>
                <w:color w:val="000000"/>
              </w:rPr>
            </w:pPr>
            <w:bookmarkStart w:id="10" w:name="_Ref413570692"/>
            <w:bookmarkStart w:id="11" w:name="_Toc419922893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bookmarkEnd w:id="10"/>
            <w:r>
              <w:t>:</w:t>
            </w:r>
            <w:r w:rsidRPr="00BD7EDA">
              <w:rPr>
                <w:color w:val="000000"/>
              </w:rPr>
              <w:tab/>
              <w:t xml:space="preserve">Progression Free Survival based on IRC Assessment; </w:t>
            </w:r>
            <w:r>
              <w:rPr>
                <w:color w:val="000000"/>
              </w:rPr>
              <w:t>All Treated Analysis Set (Study </w:t>
            </w:r>
            <w:r w:rsidRPr="00BD7EDA">
              <w:rPr>
                <w:color w:val="000000"/>
              </w:rPr>
              <w:t>54767414MMY2002)</w:t>
            </w:r>
            <w:bookmarkEnd w:id="11"/>
          </w:p>
        </w:tc>
      </w:tr>
      <w:tr w:rsidR="00E516FC" w:rsidRPr="00BD7EDA" w:rsidTr="000C43D8">
        <w:trPr>
          <w:cantSplit/>
          <w:tblHeader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8C2577">
              <w:rPr>
                <w:color w:val="000000"/>
                <w:sz w:val="18"/>
                <w:szCs w:val="18"/>
                <w:highlight w:val="yellow"/>
              </w:rPr>
              <w:t>16 mg/kg</w:t>
            </w:r>
            <w:r w:rsidRPr="00BD7EDA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E516FC" w:rsidRPr="00BD7EDA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106</w:t>
            </w:r>
          </w:p>
        </w:tc>
      </w:tr>
      <w:tr w:rsidR="00E516FC" w:rsidRPr="00BD7EDA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8C2577" w:rsidRDefault="00E516F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yellow"/>
              </w:rPr>
            </w:pPr>
            <w:r w:rsidRPr="008C2577">
              <w:rPr>
                <w:color w:val="000000"/>
                <w:sz w:val="18"/>
                <w:szCs w:val="18"/>
                <w:highlight w:val="yellow"/>
              </w:rPr>
              <w:t>Progression-free survival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16FC" w:rsidRPr="00BD7EDA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 xml:space="preserve">Number of </w:t>
            </w:r>
            <w:r w:rsidRPr="008C2577">
              <w:rPr>
                <w:color w:val="000000"/>
                <w:sz w:val="18"/>
                <w:szCs w:val="18"/>
                <w:highlight w:val="yellow"/>
              </w:rPr>
              <w:t>events</w:t>
            </w:r>
            <w:r w:rsidRPr="00BD7EDA">
              <w:rPr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75 (</w:t>
            </w:r>
            <w:r w:rsidRPr="008C2577">
              <w:rPr>
                <w:color w:val="000000"/>
                <w:sz w:val="18"/>
                <w:szCs w:val="18"/>
                <w:highlight w:val="yellow"/>
              </w:rPr>
              <w:t>70.8%)</w:t>
            </w:r>
          </w:p>
        </w:tc>
      </w:tr>
      <w:tr w:rsidR="00E516FC" w:rsidRPr="00BD7EDA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Number of censored (%)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31 (29.2%)</w:t>
            </w:r>
          </w:p>
        </w:tc>
      </w:tr>
      <w:tr w:rsidR="00E516FC" w:rsidRPr="00BD7EDA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Kaplan-Meier estimate (months)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16FC" w:rsidRPr="00BD7EDA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25% quantile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1.87 (0.99, 4.86)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1.61 (0.95, 1.97)</w:t>
            </w:r>
          </w:p>
        </w:tc>
      </w:tr>
      <w:tr w:rsidR="00E516FC" w:rsidRPr="00BD7EDA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9836FD" w:rsidRDefault="00E516F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yellow"/>
              </w:rPr>
            </w:pPr>
            <w:r w:rsidRPr="009836FD">
              <w:rPr>
                <w:color w:val="000000"/>
                <w:sz w:val="18"/>
                <w:szCs w:val="18"/>
                <w:highlight w:val="green"/>
              </w:rPr>
              <w:t>Median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4.86 (1.84, NE)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836FD">
              <w:rPr>
                <w:color w:val="000000"/>
                <w:sz w:val="18"/>
                <w:szCs w:val="18"/>
                <w:highlight w:val="green"/>
              </w:rPr>
              <w:t>3.65 (2.76, 4.63)</w:t>
            </w:r>
          </w:p>
        </w:tc>
      </w:tr>
      <w:tr w:rsidR="00E516FC" w:rsidRPr="00BD7EDA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75% quantile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NE (3.32, NE)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7.66 (6.47, NE)</w:t>
            </w:r>
          </w:p>
        </w:tc>
      </w:tr>
      <w:tr w:rsidR="00E516FC" w:rsidRPr="00BD7EDA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3-month progression free survival rate %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63.5 (28.9, 84.7)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50.2 (39.8, 59.6)</w:t>
            </w:r>
          </w:p>
        </w:tc>
      </w:tr>
      <w:tr w:rsidR="00E516FC" w:rsidRPr="00BD7EDA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9836FD" w:rsidRDefault="00E516F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cyan"/>
              </w:rPr>
            </w:pPr>
            <w:r w:rsidRPr="009836FD">
              <w:rPr>
                <w:color w:val="000000"/>
                <w:sz w:val="18"/>
                <w:szCs w:val="18"/>
                <w:highlight w:val="cyan"/>
              </w:rPr>
              <w:t>6-month progression free survival rate %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25.4 (1.6, 63.7)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836FD">
              <w:rPr>
                <w:color w:val="000000"/>
                <w:sz w:val="18"/>
                <w:szCs w:val="18"/>
                <w:highlight w:val="cyan"/>
              </w:rPr>
              <w:t>36.7 (27.0, 46.4)</w:t>
            </w:r>
          </w:p>
        </w:tc>
      </w:tr>
      <w:tr w:rsidR="00E516FC" w:rsidRPr="00BD7EDA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9836FD" w:rsidRDefault="00E516F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magenta"/>
              </w:rPr>
            </w:pPr>
            <w:r w:rsidRPr="009836FD">
              <w:rPr>
                <w:color w:val="000000"/>
                <w:sz w:val="18"/>
                <w:szCs w:val="18"/>
                <w:highlight w:val="magenta"/>
              </w:rPr>
              <w:t>12-month progression free survival rate %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25.4 (1.6, 63.7)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16FC" w:rsidRPr="00BD7EDA" w:rsidRDefault="00E516F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836FD">
              <w:rPr>
                <w:color w:val="000000"/>
                <w:sz w:val="18"/>
                <w:szCs w:val="18"/>
                <w:highlight w:val="magenta"/>
              </w:rPr>
              <w:t>18.3 (10.7, 27.5)</w:t>
            </w:r>
          </w:p>
        </w:tc>
      </w:tr>
      <w:tr w:rsidR="00E516FC" w:rsidRPr="00BD7EDA" w:rsidTr="000C43D8">
        <w:trPr>
          <w:cantSplit/>
          <w:jc w:val="center"/>
        </w:trPr>
        <w:tc>
          <w:tcPr>
            <w:tcW w:w="9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6FC" w:rsidRPr="00BD7EDA" w:rsidRDefault="00E516FC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Keys: IRC = independent review committee; CI = confidence interval; NE = not estimable.</w:t>
            </w:r>
            <w:r w:rsidRPr="00BD7EDA">
              <w:rPr>
                <w:color w:val="000000"/>
                <w:sz w:val="18"/>
                <w:szCs w:val="18"/>
              </w:rPr>
              <w:br/>
              <w:t>Note: Percentages are calculated with the number of subjects in each group as denominator.</w:t>
            </w:r>
          </w:p>
        </w:tc>
      </w:tr>
      <w:tr w:rsidR="00E516FC" w:rsidRPr="00BD7EDA" w:rsidTr="000C43D8">
        <w:trPr>
          <w:cantSplit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516FC" w:rsidRPr="00BD7EDA" w:rsidRDefault="00E516FC" w:rsidP="000C43D8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BD7EDA">
              <w:rPr>
                <w:color w:val="000000"/>
                <w:sz w:val="16"/>
                <w:szCs w:val="16"/>
              </w:rPr>
              <w:t>[TEFPFS01A.rtf] [JNJ-54767414\MMY2002\DBR_CSR\RE_CSR\tefpfs01a.sas] 13FEB2015, 14:39</w:t>
            </w:r>
          </w:p>
        </w:tc>
      </w:tr>
    </w:tbl>
    <w:p w:rsidR="00E516FC" w:rsidRDefault="00E516FC" w:rsidP="00E516FC">
      <w:pPr>
        <w:pStyle w:val="Basic11"/>
      </w:pPr>
    </w:p>
    <w:p w:rsidR="00991C68" w:rsidRDefault="00991C68">
      <w:r>
        <w:br w:type="page"/>
      </w:r>
    </w:p>
    <w:p w:rsidR="006825AC" w:rsidRDefault="006825AC" w:rsidP="006825AC">
      <w:pPr>
        <w:pStyle w:val="BodyText12"/>
      </w:pPr>
      <w:r w:rsidRPr="007576DE">
        <w:lastRenderedPageBreak/>
        <w:t xml:space="preserve">At the time of the primary analysis, </w:t>
      </w:r>
      <w:r w:rsidRPr="000E78E3">
        <w:rPr>
          <w:highlight w:val="yellow"/>
        </w:rPr>
        <w:t>55%</w:t>
      </w:r>
      <w:r w:rsidRPr="007576DE">
        <w:t xml:space="preserve"> of the responders had </w:t>
      </w:r>
      <w:r w:rsidR="000E78E3" w:rsidRPr="008C2577">
        <w:rPr>
          <w:highlight w:val="yellow"/>
        </w:rPr>
        <w:t>PFS events</w:t>
      </w:r>
      <w:r w:rsidR="000E78E3" w:rsidRPr="007576DE">
        <w:t xml:space="preserve"> </w:t>
      </w:r>
      <w:r w:rsidR="000E78E3">
        <w:t>(</w:t>
      </w:r>
      <w:r w:rsidRPr="007576DE">
        <w:t>progressed or died</w:t>
      </w:r>
      <w:r w:rsidR="000E78E3">
        <w:t>)</w:t>
      </w:r>
      <w:r w:rsidRPr="007576DE">
        <w:t>, based on IRC assessment (</w:t>
      </w:r>
      <w:r w:rsidRPr="007576DE">
        <w:fldChar w:fldCharType="begin"/>
      </w:r>
      <w:r w:rsidRPr="007576DE">
        <w:instrText xml:space="preserve"> REF _Ref415180819 \h  \* MERGEFORMAT </w:instrText>
      </w:r>
      <w:r w:rsidRPr="007576DE">
        <w:fldChar w:fldCharType="separate"/>
      </w:r>
      <w:r>
        <w:t xml:space="preserve">Table </w:t>
      </w:r>
      <w:r>
        <w:rPr>
          <w:noProof/>
        </w:rPr>
        <w:t>7</w:t>
      </w:r>
      <w:r w:rsidRPr="007576DE">
        <w:fldChar w:fldCharType="end"/>
      </w:r>
      <w:r w:rsidRPr="007576DE">
        <w:t xml:space="preserve">). At the time of primary analysis, the </w:t>
      </w:r>
      <w:r w:rsidRPr="007C29FC">
        <w:rPr>
          <w:highlight w:val="green"/>
        </w:rPr>
        <w:t>median PFS</w:t>
      </w:r>
      <w:r w:rsidRPr="007576DE">
        <w:t xml:space="preserve"> (Kaplan-Meier estimate) was </w:t>
      </w:r>
      <w:r w:rsidRPr="007C29FC">
        <w:rPr>
          <w:highlight w:val="green"/>
        </w:rPr>
        <w:t>8.3 months (95% CI: 6.5, NE</w:t>
      </w:r>
      <w:r w:rsidRPr="007576DE">
        <w:t xml:space="preserve">). </w:t>
      </w:r>
      <w:r w:rsidRPr="007C29FC">
        <w:rPr>
          <w:highlight w:val="cyan"/>
        </w:rPr>
        <w:t>The 6-month PFS rate was 74% (95% CI: 55%, 86%)</w:t>
      </w:r>
      <w:r w:rsidRPr="007576DE">
        <w:t xml:space="preserve">. </w:t>
      </w:r>
      <w:r w:rsidRPr="007C29FC">
        <w:rPr>
          <w:highlight w:val="magenta"/>
        </w:rPr>
        <w:t>The 12-month PFS rate was 42% (95% CI: 24%, 59%)</w:t>
      </w:r>
      <w:r w:rsidRPr="007576DE">
        <w:t xml:space="preserve"> for the 16 mg/kg group. </w:t>
      </w:r>
    </w:p>
    <w:p w:rsidR="006825AC" w:rsidRDefault="006825AC" w:rsidP="006825AC">
      <w:pPr>
        <w:pStyle w:val="Basic11"/>
      </w:pP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330"/>
        <w:gridCol w:w="2448"/>
        <w:gridCol w:w="2458"/>
      </w:tblGrid>
      <w:tr w:rsidR="006825AC" w:rsidRPr="00482AB5" w:rsidTr="000C43D8">
        <w:trPr>
          <w:cantSplit/>
          <w:tblHeader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pStyle w:val="Caption"/>
              <w:keepNext w:val="0"/>
              <w:rPr>
                <w:b w:val="0"/>
                <w:bCs w:val="0"/>
                <w:color w:val="000000"/>
              </w:rPr>
            </w:pPr>
            <w:bookmarkStart w:id="12" w:name="_Ref415180819"/>
            <w:bookmarkStart w:id="13" w:name="_Toc419922894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bookmarkEnd w:id="12"/>
            <w:r>
              <w:t>:</w:t>
            </w:r>
            <w:r w:rsidRPr="00482AB5">
              <w:rPr>
                <w:b w:val="0"/>
                <w:bCs w:val="0"/>
                <w:color w:val="000000"/>
              </w:rPr>
              <w:tab/>
            </w:r>
            <w:r w:rsidRPr="00CD16CA">
              <w:rPr>
                <w:bCs w:val="0"/>
                <w:color w:val="000000"/>
              </w:rPr>
              <w:t>Progression Free Survival based on IRC Assessment: Responder vs. Non-responder; All Treated - 16 mg/kg Group (Study 54767414MMY2002)</w:t>
            </w:r>
            <w:bookmarkEnd w:id="13"/>
          </w:p>
        </w:tc>
      </w:tr>
      <w:tr w:rsidR="006825AC" w:rsidRPr="00482AB5" w:rsidTr="000C43D8">
        <w:trPr>
          <w:cantSplit/>
          <w:tblHeader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 xml:space="preserve">16 mg/kg </w:t>
            </w:r>
          </w:p>
        </w:tc>
      </w:tr>
      <w:tr w:rsidR="006825AC" w:rsidRPr="00482AB5" w:rsidTr="000C43D8">
        <w:trPr>
          <w:cantSplit/>
          <w:tblHeader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E78E3">
              <w:rPr>
                <w:color w:val="000000"/>
                <w:sz w:val="18"/>
                <w:szCs w:val="18"/>
                <w:highlight w:val="yellow"/>
              </w:rPr>
              <w:t>Responder</w:t>
            </w:r>
            <w:r w:rsidRPr="00482AB5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 xml:space="preserve">Non-Responder </w:t>
            </w:r>
          </w:p>
        </w:tc>
      </w:tr>
      <w:tr w:rsidR="006825AC" w:rsidRPr="00482AB5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75</w:t>
            </w:r>
          </w:p>
        </w:tc>
      </w:tr>
      <w:tr w:rsidR="006825AC" w:rsidRPr="00482AB5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0E78E3">
              <w:rPr>
                <w:color w:val="000000"/>
                <w:sz w:val="18"/>
                <w:szCs w:val="18"/>
                <w:highlight w:val="yellow"/>
              </w:rPr>
              <w:t>Progression-free survival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825AC" w:rsidRPr="00482AB5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 xml:space="preserve">Number of </w:t>
            </w:r>
            <w:r w:rsidRPr="000E78E3">
              <w:rPr>
                <w:color w:val="000000"/>
                <w:sz w:val="18"/>
                <w:szCs w:val="18"/>
                <w:highlight w:val="yellow"/>
              </w:rPr>
              <w:t>events (%)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17 (</w:t>
            </w:r>
            <w:r w:rsidRPr="000E78E3">
              <w:rPr>
                <w:color w:val="000000"/>
                <w:sz w:val="18"/>
                <w:szCs w:val="18"/>
                <w:highlight w:val="yellow"/>
              </w:rPr>
              <w:t>54.8%)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58 (77.3%)</w:t>
            </w:r>
          </w:p>
        </w:tc>
      </w:tr>
      <w:tr w:rsidR="006825AC" w:rsidRPr="00482AB5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Number of censored (%)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14 (45.2%)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17 (22.7%)</w:t>
            </w:r>
          </w:p>
        </w:tc>
      </w:tr>
      <w:tr w:rsidR="006825AC" w:rsidRPr="00482AB5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Kaplan-Meier estimate (</w:t>
            </w:r>
            <w:r w:rsidRPr="007C29FC">
              <w:rPr>
                <w:color w:val="000000"/>
                <w:sz w:val="18"/>
                <w:szCs w:val="18"/>
                <w:highlight w:val="green"/>
              </w:rPr>
              <w:t>months)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825AC" w:rsidRPr="00482AB5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25% quantile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5.55 (3.71, 7.39)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0.95 (0.92, 1.41)</w:t>
            </w:r>
          </w:p>
        </w:tc>
      </w:tr>
      <w:tr w:rsidR="006825AC" w:rsidRPr="00482AB5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CD16CA" w:rsidRDefault="006825A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7C29FC">
              <w:rPr>
                <w:color w:val="000000"/>
                <w:sz w:val="18"/>
                <w:szCs w:val="18"/>
                <w:highlight w:val="green"/>
              </w:rPr>
              <w:t>Median</w:t>
            </w:r>
            <w:r w:rsidRPr="00CD16CA">
              <w:rPr>
                <w:color w:val="000000"/>
                <w:sz w:val="18"/>
                <w:szCs w:val="18"/>
              </w:rPr>
              <w:t xml:space="preserve">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CD16CA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C29FC">
              <w:rPr>
                <w:color w:val="000000"/>
                <w:sz w:val="18"/>
                <w:szCs w:val="18"/>
                <w:highlight w:val="green"/>
              </w:rPr>
              <w:t>8.34</w:t>
            </w:r>
            <w:r w:rsidRPr="00CD16CA">
              <w:rPr>
                <w:color w:val="000000"/>
                <w:sz w:val="18"/>
                <w:szCs w:val="18"/>
              </w:rPr>
              <w:t xml:space="preserve"> </w:t>
            </w:r>
            <w:r w:rsidRPr="007C29FC">
              <w:rPr>
                <w:color w:val="000000"/>
                <w:sz w:val="18"/>
                <w:szCs w:val="18"/>
                <w:highlight w:val="green"/>
              </w:rPr>
              <w:t>(6.51, NE)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CD16CA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D16CA">
              <w:rPr>
                <w:color w:val="000000"/>
                <w:sz w:val="18"/>
                <w:szCs w:val="18"/>
              </w:rPr>
              <w:t>2.10 (1.64, 2.79)</w:t>
            </w:r>
          </w:p>
        </w:tc>
      </w:tr>
      <w:tr w:rsidR="006825AC" w:rsidRPr="00482AB5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CD16CA" w:rsidRDefault="006825A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CD16CA">
              <w:rPr>
                <w:color w:val="000000"/>
                <w:sz w:val="18"/>
                <w:szCs w:val="18"/>
              </w:rPr>
              <w:t>75% quantile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CD16CA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D16CA">
              <w:rPr>
                <w:color w:val="000000"/>
                <w:sz w:val="18"/>
                <w:szCs w:val="18"/>
              </w:rPr>
              <w:t>NE (8.54, NE)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CD16CA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D16CA">
              <w:rPr>
                <w:color w:val="000000"/>
                <w:sz w:val="18"/>
                <w:szCs w:val="18"/>
              </w:rPr>
              <w:t>3.71 (2.79, 7.39)</w:t>
            </w:r>
          </w:p>
        </w:tc>
      </w:tr>
      <w:tr w:rsidR="006825AC" w:rsidRPr="00482AB5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3-month progression free survival rate %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93.5 (76.6, 98.3)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29.2 (18.5, 40.8)</w:t>
            </w:r>
          </w:p>
        </w:tc>
      </w:tr>
      <w:tr w:rsidR="006825AC" w:rsidRPr="00482AB5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7C29FC" w:rsidRDefault="006825A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cyan"/>
              </w:rPr>
            </w:pPr>
            <w:r w:rsidRPr="007C29FC">
              <w:rPr>
                <w:color w:val="000000"/>
                <w:sz w:val="18"/>
                <w:szCs w:val="18"/>
                <w:highlight w:val="cyan"/>
              </w:rPr>
              <w:t>6-month progression free survival rate %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7C29FC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7C29FC">
              <w:rPr>
                <w:color w:val="000000"/>
                <w:sz w:val="18"/>
                <w:szCs w:val="18"/>
                <w:highlight w:val="cyan"/>
              </w:rPr>
              <w:t>74.2 (55.0, 86.2)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18.2 (9.6, 29.1)</w:t>
            </w:r>
          </w:p>
        </w:tc>
      </w:tr>
      <w:tr w:rsidR="006825AC" w:rsidRPr="00482AB5" w:rsidTr="000C43D8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7C29FC" w:rsidRDefault="006825A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magenta"/>
              </w:rPr>
            </w:pPr>
            <w:r w:rsidRPr="007C29FC">
              <w:rPr>
                <w:color w:val="000000"/>
                <w:sz w:val="18"/>
                <w:szCs w:val="18"/>
                <w:highlight w:val="magenta"/>
              </w:rPr>
              <w:t>12-month progression free survival rate %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7C29FC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magenta"/>
              </w:rPr>
            </w:pPr>
            <w:r w:rsidRPr="007C29FC">
              <w:rPr>
                <w:color w:val="000000"/>
                <w:sz w:val="18"/>
                <w:szCs w:val="18"/>
                <w:highlight w:val="magenta"/>
              </w:rPr>
              <w:t>42.4 (24.2, 59.4)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NE (NE, NE)</w:t>
            </w:r>
          </w:p>
        </w:tc>
      </w:tr>
      <w:tr w:rsidR="006825AC" w:rsidRPr="00482AB5" w:rsidTr="000C43D8">
        <w:trPr>
          <w:cantSplit/>
          <w:jc w:val="center"/>
        </w:trPr>
        <w:tc>
          <w:tcPr>
            <w:tcW w:w="9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482AB5">
              <w:rPr>
                <w:color w:val="000000"/>
                <w:sz w:val="18"/>
                <w:szCs w:val="18"/>
              </w:rPr>
              <w:t>Keys: IRC = independent review committee; CI = confidence interval; NE = not estimable.</w:t>
            </w:r>
            <w:r w:rsidRPr="00482AB5">
              <w:rPr>
                <w:color w:val="000000"/>
                <w:sz w:val="18"/>
                <w:szCs w:val="18"/>
              </w:rPr>
              <w:br/>
              <w:t>Note: Percentages are calculated with the number of subjects in each group as denominator.</w:t>
            </w:r>
          </w:p>
        </w:tc>
      </w:tr>
      <w:tr w:rsidR="006825AC" w:rsidRPr="00482AB5" w:rsidTr="000C43D8">
        <w:trPr>
          <w:cantSplit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825AC" w:rsidRPr="00482AB5" w:rsidRDefault="006825AC" w:rsidP="000C43D8">
            <w:pPr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482AB5">
              <w:rPr>
                <w:color w:val="000000"/>
                <w:sz w:val="16"/>
                <w:szCs w:val="16"/>
              </w:rPr>
              <w:t>[TEFPFS01B1.rtf] [JNJ-54767414\MMY2002\DBR_CSR\RE_CSR\tefpfs01b1.sas] 25MAR2015, 16:52</w:t>
            </w:r>
          </w:p>
        </w:tc>
      </w:tr>
    </w:tbl>
    <w:p w:rsidR="006825AC" w:rsidRDefault="006825AC">
      <w:r>
        <w:br w:type="page"/>
      </w:r>
    </w:p>
    <w:p w:rsidR="00E96B4E" w:rsidRDefault="00E96B4E" w:rsidP="00E96B4E">
      <w:pPr>
        <w:pStyle w:val="BodyText12"/>
      </w:pPr>
      <w:r>
        <w:lastRenderedPageBreak/>
        <w:t xml:space="preserve">The OS was calculated for all treated subjects and the results are summarized in </w:t>
      </w:r>
      <w:r>
        <w:fldChar w:fldCharType="begin"/>
      </w:r>
      <w:r>
        <w:instrText xml:space="preserve"> REF _Ref411807752 \h </w:instrText>
      </w:r>
      <w:r>
        <w:fldChar w:fldCharType="separate"/>
      </w:r>
      <w:r>
        <w:t xml:space="preserve">Table </w:t>
      </w:r>
      <w:r>
        <w:rPr>
          <w:noProof/>
        </w:rPr>
        <w:t>8</w:t>
      </w:r>
      <w:r>
        <w:fldChar w:fldCharType="end"/>
      </w:r>
      <w:r>
        <w:t xml:space="preserve">. After a median follow-up of 9.3 months, the </w:t>
      </w:r>
      <w:r w:rsidRPr="00834E10">
        <w:rPr>
          <w:highlight w:val="yellow"/>
        </w:rPr>
        <w:t>median OS</w:t>
      </w:r>
      <w:r>
        <w:t xml:space="preserve"> </w:t>
      </w:r>
      <w:r w:rsidRPr="005E1001">
        <w:t xml:space="preserve">was </w:t>
      </w:r>
      <w:r w:rsidRPr="00834E10">
        <w:rPr>
          <w:highlight w:val="yellow"/>
        </w:rPr>
        <w:t>not estimable (NE) (95% CI: 13.7, NE)</w:t>
      </w:r>
      <w:r>
        <w:t xml:space="preserve">, however the </w:t>
      </w:r>
      <w:r w:rsidRPr="009230A3">
        <w:t>estimated</w:t>
      </w:r>
      <w:r>
        <w:t xml:space="preserve"> </w:t>
      </w:r>
      <w:r w:rsidRPr="00834E10">
        <w:rPr>
          <w:highlight w:val="green"/>
        </w:rPr>
        <w:t>6</w:t>
      </w:r>
      <w:r w:rsidRPr="00834E10">
        <w:rPr>
          <w:highlight w:val="green"/>
        </w:rPr>
        <w:noBreakHyphen/>
        <w:t>month</w:t>
      </w:r>
      <w:r>
        <w:t xml:space="preserve"> and </w:t>
      </w:r>
      <w:r w:rsidRPr="00834E10">
        <w:rPr>
          <w:highlight w:val="cyan"/>
        </w:rPr>
        <w:t>12-month OS rates</w:t>
      </w:r>
      <w:r>
        <w:t xml:space="preserve"> were </w:t>
      </w:r>
      <w:r w:rsidRPr="00834E10">
        <w:rPr>
          <w:highlight w:val="green"/>
        </w:rPr>
        <w:t>83% (95% CI: 74%, 89%)</w:t>
      </w:r>
      <w:r>
        <w:t xml:space="preserve"> and </w:t>
      </w:r>
      <w:r w:rsidRPr="00834E10">
        <w:rPr>
          <w:highlight w:val="cyan"/>
        </w:rPr>
        <w:t>65% (95% CI: 51%, 76%)</w:t>
      </w:r>
      <w:r>
        <w:t xml:space="preserve">, respectively. </w:t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696"/>
        <w:gridCol w:w="4211"/>
      </w:tblGrid>
      <w:tr w:rsidR="00E96B4E" w:rsidRPr="00215078" w:rsidTr="000C43D8">
        <w:trPr>
          <w:cantSplit/>
          <w:tblHeader/>
          <w:jc w:val="center"/>
        </w:trPr>
        <w:tc>
          <w:tcPr>
            <w:tcW w:w="89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pStyle w:val="Caption"/>
              <w:rPr>
                <w:color w:val="000000"/>
              </w:rPr>
            </w:pPr>
            <w:bookmarkStart w:id="14" w:name="_Ref411807752"/>
            <w:bookmarkStart w:id="15" w:name="_Toc419922895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bookmarkEnd w:id="14"/>
            <w:r>
              <w:t>:</w:t>
            </w:r>
            <w:r w:rsidRPr="00215078">
              <w:rPr>
                <w:color w:val="000000"/>
              </w:rPr>
              <w:tab/>
              <w:t>Overall Survival; All Treated Analysis Set (Study 54767414MMY2002)</w:t>
            </w:r>
            <w:bookmarkEnd w:id="15"/>
          </w:p>
        </w:tc>
      </w:tr>
      <w:tr w:rsidR="00E96B4E" w:rsidRPr="00215078" w:rsidTr="000C43D8">
        <w:trPr>
          <w:cantSplit/>
          <w:tblHeader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 xml:space="preserve">16 mg/kg </w:t>
            </w: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106</w:t>
            </w: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Overall survival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Number of events (%)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31 (29.2%)</w:t>
            </w: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Number of censored (%)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75 (70.8%)</w:t>
            </w: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Kaplan-Meier estimate (months)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25% quantile (95% CI)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7.66 (5.95, 13.67)</w:t>
            </w: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834E10">
              <w:rPr>
                <w:color w:val="000000"/>
                <w:sz w:val="18"/>
                <w:szCs w:val="18"/>
                <w:highlight w:val="yellow"/>
              </w:rPr>
              <w:t>Median (95% CI)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834E10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834E10">
              <w:rPr>
                <w:color w:val="000000"/>
                <w:sz w:val="18"/>
                <w:szCs w:val="18"/>
                <w:highlight w:val="yellow"/>
              </w:rPr>
              <w:t>NE (13.67, NE)</w:t>
            </w: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75% quantile (95% CI)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t>NE (NE, NE)</w:t>
            </w: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834E10" w:rsidRDefault="00E96B4E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green"/>
              </w:rPr>
            </w:pPr>
            <w:r w:rsidRPr="00834E10">
              <w:rPr>
                <w:color w:val="000000"/>
                <w:sz w:val="18"/>
                <w:szCs w:val="18"/>
                <w:highlight w:val="green"/>
              </w:rPr>
              <w:t>6-month overall survival rate % (95% CI)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834E10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green"/>
              </w:rPr>
            </w:pPr>
            <w:r w:rsidRPr="00834E10">
              <w:rPr>
                <w:color w:val="000000"/>
                <w:sz w:val="18"/>
                <w:szCs w:val="18"/>
                <w:highlight w:val="green"/>
              </w:rPr>
              <w:t>82.8 (74.0, 88.8)</w:t>
            </w:r>
          </w:p>
        </w:tc>
      </w:tr>
      <w:tr w:rsidR="00E96B4E" w:rsidRPr="00215078" w:rsidTr="000C43D8">
        <w:trPr>
          <w:cantSplit/>
          <w:jc w:val="center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834E10" w:rsidRDefault="00E96B4E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cyan"/>
              </w:rPr>
            </w:pPr>
            <w:r w:rsidRPr="00834E10">
              <w:rPr>
                <w:color w:val="000000"/>
                <w:sz w:val="18"/>
                <w:szCs w:val="18"/>
                <w:highlight w:val="cyan"/>
              </w:rPr>
              <w:t>12-month overall survival rate % (95% CI)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B4E" w:rsidRPr="00215078" w:rsidRDefault="00E96B4E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834E10">
              <w:rPr>
                <w:color w:val="000000"/>
                <w:sz w:val="18"/>
                <w:szCs w:val="18"/>
                <w:highlight w:val="cyan"/>
              </w:rPr>
              <w:t>64.8 (51.2, 75.5)</w:t>
            </w:r>
          </w:p>
        </w:tc>
      </w:tr>
      <w:tr w:rsidR="00E96B4E" w:rsidRPr="00215078" w:rsidTr="000C43D8">
        <w:trPr>
          <w:cantSplit/>
          <w:jc w:val="center"/>
        </w:trPr>
        <w:tc>
          <w:tcPr>
            <w:tcW w:w="8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6B4E" w:rsidRPr="00215078" w:rsidRDefault="00E96B4E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215078">
              <w:rPr>
                <w:color w:val="000000"/>
                <w:sz w:val="18"/>
                <w:szCs w:val="18"/>
              </w:rPr>
              <w:br/>
              <w:t>Keys: CI = confidence interval; NE = not estimable.</w:t>
            </w:r>
            <w:r w:rsidRPr="00215078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  <w:tr w:rsidR="00E96B4E" w:rsidRPr="0072760A" w:rsidTr="000C43D8">
        <w:trPr>
          <w:cantSplit/>
          <w:jc w:val="center"/>
        </w:trPr>
        <w:tc>
          <w:tcPr>
            <w:tcW w:w="89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96B4E" w:rsidRPr="0072760A" w:rsidRDefault="00E96B4E" w:rsidP="000C43D8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72760A">
              <w:rPr>
                <w:sz w:val="16"/>
                <w:szCs w:val="16"/>
              </w:rPr>
              <w:t>Modified from Attachment TEFOS01</w:t>
            </w:r>
          </w:p>
        </w:tc>
      </w:tr>
    </w:tbl>
    <w:p w:rsidR="00E96B4E" w:rsidRDefault="00643B91" w:rsidP="00E96B4E">
      <w:pPr>
        <w:pStyle w:val="BodyText12"/>
        <w:spacing w:before="120"/>
      </w:pPr>
      <w:r>
        <w:br w:type="page"/>
      </w:r>
      <w:bookmarkStart w:id="16" w:name="_GoBack"/>
      <w:bookmarkEnd w:id="16"/>
    </w:p>
    <w:p w:rsidR="005875CD" w:rsidRDefault="005875CD"/>
    <w:sectPr w:rsidR="005875CD" w:rsidSect="009062A2">
      <w:pgSz w:w="12240" w:h="15840" w:code="1"/>
      <w:pgMar w:top="1151" w:right="1440" w:bottom="1151" w:left="1440" w:header="54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A68" w:rsidRDefault="006A7A68" w:rsidP="00252246">
      <w:r>
        <w:separator/>
      </w:r>
    </w:p>
  </w:endnote>
  <w:endnote w:type="continuationSeparator" w:id="0">
    <w:p w:rsidR="006A7A68" w:rsidRDefault="006A7A68" w:rsidP="0025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A68" w:rsidRDefault="006A7A68" w:rsidP="00252246">
      <w:r>
        <w:separator/>
      </w:r>
    </w:p>
  </w:footnote>
  <w:footnote w:type="continuationSeparator" w:id="0">
    <w:p w:rsidR="006A7A68" w:rsidRDefault="006A7A68" w:rsidP="00252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0F"/>
    <w:rsid w:val="00096761"/>
    <w:rsid w:val="000B6A84"/>
    <w:rsid w:val="000D7376"/>
    <w:rsid w:val="000E01B2"/>
    <w:rsid w:val="000E78E3"/>
    <w:rsid w:val="0015508E"/>
    <w:rsid w:val="00214FC2"/>
    <w:rsid w:val="00232AB8"/>
    <w:rsid w:val="00236FC6"/>
    <w:rsid w:val="00252246"/>
    <w:rsid w:val="002F72A4"/>
    <w:rsid w:val="004929C9"/>
    <w:rsid w:val="004974A4"/>
    <w:rsid w:val="004C3BD4"/>
    <w:rsid w:val="00502CAC"/>
    <w:rsid w:val="00556D4C"/>
    <w:rsid w:val="005875CD"/>
    <w:rsid w:val="005A346B"/>
    <w:rsid w:val="005B293D"/>
    <w:rsid w:val="005C68E9"/>
    <w:rsid w:val="00643B91"/>
    <w:rsid w:val="006825AC"/>
    <w:rsid w:val="0069130F"/>
    <w:rsid w:val="006A7A68"/>
    <w:rsid w:val="007A30EA"/>
    <w:rsid w:val="007C29FC"/>
    <w:rsid w:val="007D1606"/>
    <w:rsid w:val="00834E10"/>
    <w:rsid w:val="0085124A"/>
    <w:rsid w:val="008C0D07"/>
    <w:rsid w:val="008C2577"/>
    <w:rsid w:val="009062A2"/>
    <w:rsid w:val="009540FC"/>
    <w:rsid w:val="00973B0D"/>
    <w:rsid w:val="009836FD"/>
    <w:rsid w:val="00991C68"/>
    <w:rsid w:val="00994972"/>
    <w:rsid w:val="00A62E49"/>
    <w:rsid w:val="00AC4BAC"/>
    <w:rsid w:val="00AD150C"/>
    <w:rsid w:val="00B062A4"/>
    <w:rsid w:val="00B07FBF"/>
    <w:rsid w:val="00B46C41"/>
    <w:rsid w:val="00BE3ECE"/>
    <w:rsid w:val="00C330CF"/>
    <w:rsid w:val="00C45167"/>
    <w:rsid w:val="00C97B18"/>
    <w:rsid w:val="00E516FC"/>
    <w:rsid w:val="00E5533A"/>
    <w:rsid w:val="00E65D95"/>
    <w:rsid w:val="00E96B4E"/>
    <w:rsid w:val="00EF091E"/>
    <w:rsid w:val="00F80E0F"/>
    <w:rsid w:val="00F969A0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071E1"/>
  <w15:chartTrackingRefBased/>
  <w15:docId w15:val="{7F8EA839-27C2-45CC-96BC-E8DB5B03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24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246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2246"/>
  </w:style>
  <w:style w:type="paragraph" w:styleId="Footer">
    <w:name w:val="footer"/>
    <w:basedOn w:val="Normal"/>
    <w:link w:val="FooterChar"/>
    <w:uiPriority w:val="99"/>
    <w:unhideWhenUsed/>
    <w:rsid w:val="00252246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52246"/>
  </w:style>
  <w:style w:type="paragraph" w:customStyle="1" w:styleId="BodyText12">
    <w:name w:val="Body Text 12"/>
    <w:link w:val="BodyText12Char"/>
    <w:qFormat/>
    <w:rsid w:val="0085124A"/>
    <w:pPr>
      <w:spacing w:after="24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12Char">
    <w:name w:val="Body Text 12 Char"/>
    <w:basedOn w:val="DefaultParagraphFont"/>
    <w:link w:val="BodyText12"/>
    <w:locked/>
    <w:rsid w:val="0085124A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Caption">
    <w:name w:val="caption"/>
    <w:next w:val="Normal"/>
    <w:uiPriority w:val="99"/>
    <w:qFormat/>
    <w:rsid w:val="0085124A"/>
    <w:pPr>
      <w:keepNext/>
      <w:tabs>
        <w:tab w:val="left" w:pos="1152"/>
      </w:tabs>
      <w:spacing w:before="60" w:after="60" w:line="240" w:lineRule="auto"/>
      <w:ind w:left="1152" w:hanging="1152"/>
    </w:pPr>
    <w:rPr>
      <w:rFonts w:ascii="Times New Roman" w:eastAsia="Times New Roman" w:hAnsi="Times New Roman" w:cs="Times New Roman"/>
      <w:b/>
      <w:bCs/>
      <w:sz w:val="20"/>
      <w:szCs w:val="18"/>
      <w:lang w:eastAsia="en-US"/>
    </w:rPr>
  </w:style>
  <w:style w:type="paragraph" w:customStyle="1" w:styleId="Basic11">
    <w:name w:val="Basic 11"/>
    <w:qFormat/>
    <w:rsid w:val="00A62E49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character" w:styleId="Hyperlink">
    <w:name w:val="Hyperlink"/>
    <w:basedOn w:val="DefaultParagraphFont"/>
    <w:uiPriority w:val="99"/>
    <w:rsid w:val="00E96B4E"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Ling [JRDCN]</dc:creator>
  <cp:keywords/>
  <dc:description/>
  <cp:lastModifiedBy>Yu, Ling [JRDCN]</cp:lastModifiedBy>
  <cp:revision>52</cp:revision>
  <dcterms:created xsi:type="dcterms:W3CDTF">2018-01-08T04:04:00Z</dcterms:created>
  <dcterms:modified xsi:type="dcterms:W3CDTF">2018-01-08T05:46:00Z</dcterms:modified>
</cp:coreProperties>
</file>