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6C" w:rsidRPr="007D1A72" w:rsidRDefault="00E1336C" w:rsidP="00E1336C">
      <w:pPr>
        <w:pStyle w:val="BodyText12"/>
      </w:pPr>
      <w:r>
        <w:t xml:space="preserve">An overview of TEAEs by treatment received during the study is presented in </w:t>
      </w:r>
      <w:r>
        <w:fldChar w:fldCharType="begin"/>
      </w:r>
      <w:r>
        <w:instrText xml:space="preserve"> REF _Ref412755784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BF6647">
        <w:rPr>
          <w:highlight w:val="yellow"/>
        </w:rPr>
        <w:t>All but 1 subject had 1 or more reported TEAE (99%)</w:t>
      </w:r>
      <w:r w:rsidRPr="00045048">
        <w:t>. Of all treated subjects</w:t>
      </w:r>
      <w:r w:rsidRPr="00A33A87">
        <w:rPr>
          <w:highlight w:val="green"/>
        </w:rPr>
        <w:t>, 95 (77%)</w:t>
      </w:r>
      <w:r w:rsidRPr="00045048">
        <w:t xml:space="preserve"> had TEAEs that were considered by the investigator to</w:t>
      </w:r>
      <w:r w:rsidRPr="00E408E7">
        <w:t xml:space="preserve"> be </w:t>
      </w:r>
      <w:r w:rsidRPr="00A33A87">
        <w:rPr>
          <w:highlight w:val="green"/>
        </w:rPr>
        <w:t>related to daratumumab</w:t>
      </w:r>
      <w:r>
        <w:t xml:space="preserve">; </w:t>
      </w:r>
      <w:r w:rsidRPr="00A33A87">
        <w:rPr>
          <w:highlight w:val="cyan"/>
        </w:rPr>
        <w:t>14 subjects (78%) in the 8 mg/kg</w:t>
      </w:r>
      <w:r w:rsidRPr="00E408E7">
        <w:t xml:space="preserve"> and </w:t>
      </w:r>
      <w:r w:rsidRPr="00A33A87">
        <w:rPr>
          <w:highlight w:val="cyan"/>
        </w:rPr>
        <w:t>81 subjects (76%) in the 16 mg/kg group</w:t>
      </w:r>
      <w:r w:rsidRPr="00E408E7">
        <w:t xml:space="preserve">. </w:t>
      </w:r>
      <w:r>
        <w:t xml:space="preserve">Of all treated subjects, </w:t>
      </w:r>
      <w:r w:rsidRPr="00224287">
        <w:rPr>
          <w:highlight w:val="magenta"/>
        </w:rPr>
        <w:t>38 (31%)</w:t>
      </w:r>
      <w:r w:rsidRPr="00E408E7">
        <w:t xml:space="preserve"> subjects experienced 1 or more </w:t>
      </w:r>
      <w:r w:rsidRPr="00224287">
        <w:rPr>
          <w:highlight w:val="magenta"/>
        </w:rPr>
        <w:t>serious TEAEs</w:t>
      </w:r>
      <w:r w:rsidRPr="007D1A72">
        <w:t xml:space="preserve">; </w:t>
      </w:r>
      <w:r w:rsidRPr="00763EE6">
        <w:rPr>
          <w:highlight w:val="red"/>
        </w:rPr>
        <w:t>8 subjects (7%)</w:t>
      </w:r>
      <w:r w:rsidRPr="007D1A72">
        <w:t xml:space="preserve"> had </w:t>
      </w:r>
      <w:r w:rsidRPr="00AB3A36">
        <w:rPr>
          <w:highlight w:val="red"/>
        </w:rPr>
        <w:t>serious TEAEs</w:t>
      </w:r>
      <w:r w:rsidRPr="007D1A72">
        <w:t xml:space="preserve"> that were considered by the investigator to be </w:t>
      </w:r>
      <w:r w:rsidRPr="000B2515">
        <w:rPr>
          <w:highlight w:val="red"/>
        </w:rPr>
        <w:t>drug</w:t>
      </w:r>
      <w:r w:rsidRPr="000B2515">
        <w:rPr>
          <w:highlight w:val="red"/>
        </w:rPr>
        <w:noBreakHyphen/>
        <w:t>related</w:t>
      </w:r>
      <w:r w:rsidRPr="007D1A72">
        <w:t xml:space="preserve">. </w:t>
      </w:r>
      <w:r w:rsidRPr="00F60EE6">
        <w:rPr>
          <w:highlight w:val="darkGray"/>
        </w:rPr>
        <w:t>Six subjects (33%)</w:t>
      </w:r>
      <w:r w:rsidRPr="007D1A72">
        <w:t xml:space="preserve"> in the 8 mg/kg group and </w:t>
      </w:r>
      <w:r w:rsidRPr="00F60EE6">
        <w:rPr>
          <w:highlight w:val="lightGray"/>
        </w:rPr>
        <w:t>32 subjects (30%)</w:t>
      </w:r>
      <w:r w:rsidRPr="007D1A72">
        <w:t xml:space="preserve"> in the 16 mg/kg group experienced 1 or more serious TEAEs. </w:t>
      </w:r>
      <w:r w:rsidRPr="009D2526">
        <w:rPr>
          <w:highlight w:val="darkGray"/>
        </w:rPr>
        <w:t>No</w:t>
      </w:r>
      <w:r w:rsidRPr="007D1A72">
        <w:t xml:space="preserve"> subject in the 8 mg/kg group </w:t>
      </w:r>
      <w:r w:rsidRPr="009D2526">
        <w:rPr>
          <w:highlight w:val="lightGray"/>
        </w:rPr>
        <w:t>and 8 subjects (8%)</w:t>
      </w:r>
      <w:r w:rsidRPr="007D1A72">
        <w:t xml:space="preserve"> in the 16 mg/kg group had serious TEAEs considered by the investigator to be related to daratumumab.</w:t>
      </w:r>
    </w:p>
    <w:p w:rsidR="00E1336C" w:rsidRPr="006757F5" w:rsidRDefault="00E1336C" w:rsidP="00E1336C">
      <w:pPr>
        <w:pStyle w:val="BodyText12"/>
      </w:pPr>
      <w:r w:rsidRPr="007576DE">
        <w:t xml:space="preserve">In the 16 mg/kg group, </w:t>
      </w:r>
      <w:r w:rsidRPr="00BC402F">
        <w:rPr>
          <w:highlight w:val="yellow"/>
        </w:rPr>
        <w:t>9 subjects (9%)</w:t>
      </w:r>
      <w:r w:rsidRPr="007576DE">
        <w:t xml:space="preserve"> had TEAEs with an outcome of death (</w:t>
      </w:r>
      <w:r w:rsidRPr="00BC402F">
        <w:rPr>
          <w:highlight w:val="yellow"/>
        </w:rPr>
        <w:t>Grade 5</w:t>
      </w:r>
      <w:r w:rsidRPr="007576DE">
        <w:t xml:space="preserve">). </w:t>
      </w: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101"/>
        <w:gridCol w:w="1455"/>
        <w:gridCol w:w="1449"/>
        <w:gridCol w:w="1449"/>
        <w:gridCol w:w="1453"/>
        <w:gridCol w:w="1453"/>
      </w:tblGrid>
      <w:tr w:rsidR="00E1336C" w:rsidRPr="00B00D1C" w:rsidTr="004C3D8F">
        <w:trPr>
          <w:cantSplit/>
          <w:tblHeader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pStyle w:val="Caption"/>
              <w:rPr>
                <w:color w:val="000000"/>
              </w:rPr>
            </w:pPr>
            <w:bookmarkStart w:id="0" w:name="_Ref412755784"/>
            <w:bookmarkStart w:id="1" w:name="_Toc419922897"/>
            <w:r>
              <w:t xml:space="preserve">Table </w:t>
            </w:r>
            <w:fldSimple w:instr=" SEQ Table \* ARABIC ">
              <w:r>
                <w:rPr>
                  <w:noProof/>
                </w:rPr>
                <w:t>1</w:t>
              </w:r>
            </w:fldSimple>
            <w:bookmarkEnd w:id="0"/>
            <w:r>
              <w:t>:</w:t>
            </w:r>
            <w:r w:rsidRPr="00B00D1C">
              <w:rPr>
                <w:color w:val="000000"/>
              </w:rPr>
              <w:tab/>
              <w:t xml:space="preserve">Overview of Treatment-emergent Adverse Events; </w:t>
            </w:r>
            <w:r>
              <w:rPr>
                <w:color w:val="000000"/>
              </w:rPr>
              <w:t>All Treated Analysis Set (Study </w:t>
            </w:r>
            <w:r w:rsidRPr="00B00D1C">
              <w:rPr>
                <w:color w:val="000000"/>
              </w:rPr>
              <w:t>54767414MMY2002)</w:t>
            </w:r>
            <w:bookmarkEnd w:id="1"/>
          </w:p>
        </w:tc>
      </w:tr>
      <w:tr w:rsidR="00E1336C" w:rsidRPr="00B00D1C" w:rsidTr="004C3D8F">
        <w:trPr>
          <w:cantSplit/>
          <w:tblHeader/>
          <w:jc w:val="center"/>
        </w:trPr>
        <w:tc>
          <w:tcPr>
            <w:tcW w:w="19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3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33A87">
              <w:rPr>
                <w:color w:val="000000"/>
                <w:sz w:val="18"/>
                <w:szCs w:val="18"/>
                <w:highlight w:val="cyan"/>
              </w:rPr>
              <w:t>16 mg/kg</w:t>
            </w:r>
            <w:r w:rsidRPr="00B00D1C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1336C" w:rsidRPr="00B00D1C" w:rsidTr="00E1336C">
        <w:trPr>
          <w:cantSplit/>
          <w:tblHeader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A33A87" w:rsidRDefault="00E1336C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A33A87">
              <w:rPr>
                <w:color w:val="000000"/>
                <w:sz w:val="18"/>
                <w:szCs w:val="18"/>
                <w:highlight w:val="cyan"/>
              </w:rPr>
              <w:t xml:space="preserve">8 mg/kg 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 xml:space="preserve">Part 1 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 xml:space="preserve">Part 2 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ind w:left="87" w:hanging="87"/>
              <w:rPr>
                <w:b/>
                <w:color w:val="000000"/>
                <w:sz w:val="18"/>
                <w:szCs w:val="18"/>
              </w:rPr>
            </w:pPr>
            <w:r w:rsidRPr="00B36E22">
              <w:rPr>
                <w:b/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B36E22">
              <w:rPr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B36E22">
              <w:rPr>
                <w:b/>
                <w:color w:val="000000"/>
                <w:sz w:val="18"/>
                <w:szCs w:val="18"/>
              </w:rPr>
              <w:t>41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B36E22">
              <w:rPr>
                <w:b/>
                <w:color w:val="000000"/>
                <w:sz w:val="18"/>
                <w:szCs w:val="18"/>
              </w:rPr>
              <w:t>65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B36E22">
              <w:rPr>
                <w:b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BF6647">
              <w:rPr>
                <w:b/>
                <w:color w:val="000000"/>
                <w:sz w:val="18"/>
                <w:szCs w:val="18"/>
                <w:highlight w:val="yellow"/>
              </w:rPr>
              <w:t>124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ind w:left="87" w:hanging="87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36E22" w:rsidRDefault="00E1336C" w:rsidP="004C3D8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Any TEAE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40 (97.6%)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65 (100.0%)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105 (99.1%)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F6647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BF6647">
              <w:rPr>
                <w:color w:val="000000"/>
                <w:sz w:val="18"/>
                <w:szCs w:val="18"/>
                <w:highlight w:val="yellow"/>
              </w:rPr>
              <w:t>123 (99.2%)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33A87">
              <w:rPr>
                <w:color w:val="000000"/>
                <w:sz w:val="18"/>
                <w:szCs w:val="18"/>
                <w:highlight w:val="green"/>
              </w:rPr>
              <w:t>Drug-related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33A87">
              <w:rPr>
                <w:color w:val="000000"/>
                <w:sz w:val="18"/>
                <w:szCs w:val="18"/>
                <w:highlight w:val="cyan"/>
              </w:rPr>
              <w:t>14 (77.8%)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27 (65.9%)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54 (83.1%)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A33A87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A33A87">
              <w:rPr>
                <w:color w:val="000000"/>
                <w:sz w:val="18"/>
                <w:szCs w:val="18"/>
                <w:highlight w:val="cyan"/>
              </w:rPr>
              <w:t>81 (76.4%)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33A87">
              <w:rPr>
                <w:color w:val="000000"/>
                <w:sz w:val="18"/>
                <w:szCs w:val="18"/>
                <w:highlight w:val="green"/>
              </w:rPr>
              <w:t>95 (76.6%)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224287" w:rsidRDefault="00E1336C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magenta"/>
              </w:rPr>
            </w:pPr>
            <w:r w:rsidRPr="00224287">
              <w:rPr>
                <w:color w:val="000000"/>
                <w:sz w:val="18"/>
                <w:szCs w:val="18"/>
                <w:highlight w:val="magenta"/>
              </w:rPr>
              <w:t>Any serious TEAE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60EE6">
              <w:rPr>
                <w:color w:val="000000"/>
                <w:sz w:val="18"/>
                <w:szCs w:val="18"/>
                <w:highlight w:val="darkGray"/>
              </w:rPr>
              <w:t>6 (33.3%)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11 (26.8%)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21 (32.3%)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60EE6">
              <w:rPr>
                <w:color w:val="000000"/>
                <w:sz w:val="18"/>
                <w:szCs w:val="18"/>
                <w:highlight w:val="lightGray"/>
              </w:rPr>
              <w:t>32 (30.2%)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224287">
              <w:rPr>
                <w:color w:val="000000"/>
                <w:sz w:val="18"/>
                <w:szCs w:val="18"/>
                <w:highlight w:val="magenta"/>
              </w:rPr>
              <w:t>38 (30.6%)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63EE6">
              <w:rPr>
                <w:color w:val="000000"/>
                <w:sz w:val="18"/>
                <w:szCs w:val="18"/>
                <w:highlight w:val="red"/>
              </w:rPr>
              <w:t>Drug-related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D2526">
              <w:rPr>
                <w:color w:val="000000"/>
                <w:sz w:val="18"/>
                <w:szCs w:val="18"/>
                <w:highlight w:val="darkGray"/>
              </w:rPr>
              <w:t>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2 (4.9%)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6 (9.2%)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D2526">
              <w:rPr>
                <w:color w:val="000000"/>
                <w:sz w:val="18"/>
                <w:szCs w:val="18"/>
                <w:highlight w:val="lightGray"/>
              </w:rPr>
              <w:t>8 (7.5%)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63EE6">
              <w:rPr>
                <w:color w:val="000000"/>
                <w:sz w:val="18"/>
                <w:szCs w:val="18"/>
                <w:highlight w:val="red"/>
              </w:rPr>
              <w:t>8 (6.5%)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Maximum severity of any TEAE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Grade 1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5 (12.2%)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3 (4.6%)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8 (7.5%)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10 (8.1%)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Grade 2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5 (27.8%)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5 (12.2%)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21 (32.3%)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26 (24.5%)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31 (25.0%)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Grade 3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22 (53.7%)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26 (40.0%)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48 (45.3%)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56 (45.2%)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Grade 4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4 (9.8%)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10 (15.4%)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14 (13.2%)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17 (13.7%)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C402F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yellow"/>
              </w:rPr>
            </w:pPr>
            <w:r w:rsidRPr="00BC402F">
              <w:rPr>
                <w:color w:val="000000"/>
                <w:sz w:val="18"/>
                <w:szCs w:val="18"/>
                <w:highlight w:val="yellow"/>
              </w:rPr>
              <w:t>Grade 5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4 (9.8%)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5 (7.7%)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C402F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BC402F">
              <w:rPr>
                <w:color w:val="000000"/>
                <w:sz w:val="18"/>
                <w:szCs w:val="18"/>
                <w:highlight w:val="yellow"/>
              </w:rPr>
              <w:t>9 (8.5%)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9 (7.3%)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Treatment discontinuation due to TEAE</w:t>
            </w:r>
            <w:r w:rsidRPr="00B00D1C"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1 (2.4%)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4 (6.2%)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5 (4.0%)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Drug-related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C58C8" w:rsidRDefault="00E1336C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C58C8">
              <w:rPr>
                <w:color w:val="000000"/>
                <w:sz w:val="18"/>
                <w:szCs w:val="18"/>
              </w:rPr>
              <w:t>Death due to TEAE</w:t>
            </w:r>
            <w:r w:rsidRPr="00BC58C8">
              <w:rPr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C58C8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C58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C58C8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C58C8">
              <w:rPr>
                <w:color w:val="000000"/>
                <w:sz w:val="18"/>
                <w:szCs w:val="18"/>
              </w:rPr>
              <w:t>1 (2.4%)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C58C8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C58C8">
              <w:rPr>
                <w:color w:val="000000"/>
                <w:sz w:val="18"/>
                <w:szCs w:val="18"/>
              </w:rPr>
              <w:t>1 (1.5%)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C58C8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C58C8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E1336C" w:rsidRPr="00B00D1C" w:rsidTr="00E1336C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Drug-related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336C" w:rsidRPr="00B00D1C" w:rsidRDefault="00E1336C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0</w:t>
            </w:r>
          </w:p>
        </w:tc>
      </w:tr>
      <w:tr w:rsidR="00E1336C" w:rsidRPr="00B00D1C" w:rsidTr="004C3D8F">
        <w:trPr>
          <w:cantSplit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336C" w:rsidRPr="00B00D1C" w:rsidRDefault="00E1336C" w:rsidP="004C3D8F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B00D1C">
              <w:rPr>
                <w:color w:val="000000"/>
                <w:sz w:val="18"/>
                <w:szCs w:val="18"/>
              </w:rPr>
              <w:t>Keys: TEAE = treatment-emergent adverse event.</w:t>
            </w:r>
            <w:r w:rsidRPr="00B00D1C">
              <w:rPr>
                <w:color w:val="000000"/>
                <w:sz w:val="18"/>
                <w:szCs w:val="18"/>
              </w:rPr>
              <w:br/>
            </w:r>
            <w:r w:rsidRPr="00B00D1C">
              <w:rPr>
                <w:color w:val="000000"/>
                <w:sz w:val="18"/>
                <w:szCs w:val="18"/>
                <w:vertAlign w:val="superscript"/>
              </w:rPr>
              <w:t xml:space="preserve"> a</w:t>
            </w:r>
            <w:r w:rsidRPr="00B00D1C">
              <w:rPr>
                <w:color w:val="000000"/>
                <w:sz w:val="18"/>
                <w:szCs w:val="18"/>
              </w:rPr>
              <w:t>Treatment discontinuation due to adverse event on the end of treatment CRF page.</w:t>
            </w:r>
            <w:r w:rsidRPr="00B00D1C">
              <w:rPr>
                <w:color w:val="000000"/>
                <w:sz w:val="18"/>
                <w:szCs w:val="18"/>
              </w:rPr>
              <w:br/>
            </w:r>
            <w:r w:rsidRPr="00B00D1C">
              <w:rPr>
                <w:color w:val="000000"/>
                <w:sz w:val="18"/>
                <w:szCs w:val="18"/>
                <w:vertAlign w:val="superscript"/>
              </w:rPr>
              <w:t xml:space="preserve"> </w:t>
            </w:r>
            <w:r>
              <w:rPr>
                <w:color w:val="000000"/>
                <w:sz w:val="18"/>
                <w:szCs w:val="18"/>
                <w:vertAlign w:val="superscript"/>
              </w:rPr>
              <w:t>b</w:t>
            </w:r>
            <w:r w:rsidRPr="00B00D1C">
              <w:rPr>
                <w:color w:val="000000"/>
                <w:sz w:val="18"/>
                <w:szCs w:val="18"/>
              </w:rPr>
              <w:t>Death due to adverse event on the death CRF page.</w:t>
            </w:r>
            <w:r w:rsidRPr="00B00D1C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E1336C" w:rsidRPr="0072760A" w:rsidTr="004C3D8F">
        <w:trPr>
          <w:cantSplit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E1336C" w:rsidRPr="0072760A" w:rsidRDefault="00E1336C" w:rsidP="004C3D8F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72760A">
              <w:rPr>
                <w:sz w:val="16"/>
                <w:szCs w:val="16"/>
              </w:rPr>
              <w:t>Modified from Attachment TSFAE01</w:t>
            </w:r>
          </w:p>
        </w:tc>
      </w:tr>
    </w:tbl>
    <w:p w:rsidR="00592FF4" w:rsidRDefault="00592FF4">
      <w:r>
        <w:br w:type="page"/>
      </w:r>
    </w:p>
    <w:p w:rsidR="00140B50" w:rsidRPr="00140B50" w:rsidRDefault="00140B50" w:rsidP="003D7EC1">
      <w:pPr>
        <w:pStyle w:val="BodyText12"/>
        <w:rPr>
          <w:b/>
        </w:rPr>
      </w:pPr>
      <w:r w:rsidRPr="00140B50">
        <w:rPr>
          <w:b/>
        </w:rPr>
        <w:lastRenderedPageBreak/>
        <w:t>Find incidence ≥20%</w:t>
      </w:r>
      <w:r w:rsidR="00E535DB">
        <w:rPr>
          <w:b/>
        </w:rPr>
        <w:t xml:space="preserve"> by prefer</w:t>
      </w:r>
      <w:r w:rsidR="00CA6DFF">
        <w:rPr>
          <w:b/>
        </w:rPr>
        <w:t>red</w:t>
      </w:r>
      <w:r w:rsidR="00E535DB">
        <w:rPr>
          <w:b/>
        </w:rPr>
        <w:t xml:space="preserve"> term</w:t>
      </w:r>
    </w:p>
    <w:p w:rsidR="00C87EF7" w:rsidRDefault="00C87EF7" w:rsidP="003D7EC1">
      <w:pPr>
        <w:pStyle w:val="BodyText12"/>
      </w:pPr>
      <w:r w:rsidRPr="00C87EF7">
        <w:rPr>
          <w:highlight w:val="yellow"/>
        </w:rPr>
        <w:t>Data presentation</w:t>
      </w:r>
      <w:r w:rsidR="00654367">
        <w:rPr>
          <w:highlight w:val="yellow"/>
        </w:rPr>
        <w:t xml:space="preserve"> in descending order</w:t>
      </w:r>
      <w:r w:rsidRPr="00C87EF7">
        <w:rPr>
          <w:highlight w:val="yellow"/>
        </w:rPr>
        <w:t>: xx% in all treated subjects; xx% in the 16 mg/kg group</w:t>
      </w:r>
    </w:p>
    <w:p w:rsidR="003D7EC1" w:rsidRDefault="003D7EC1" w:rsidP="003D7EC1">
      <w:pPr>
        <w:pStyle w:val="BodyText12"/>
      </w:pPr>
      <w:r w:rsidRPr="0072760A">
        <w:t>The mos</w:t>
      </w:r>
      <w:r w:rsidRPr="00622FC9">
        <w:t xml:space="preserve">t frequently reported TEAEs across all treated subjects were </w:t>
      </w:r>
      <w:r w:rsidRPr="00654367">
        <w:rPr>
          <w:highlight w:val="green"/>
        </w:rPr>
        <w:t>fatigue</w:t>
      </w:r>
      <w:r w:rsidRPr="00622FC9">
        <w:t xml:space="preserve"> (40%;</w:t>
      </w:r>
      <w:r>
        <w:t xml:space="preserve"> 40% in the 16</w:t>
      </w:r>
      <w:r w:rsidR="00C87EF7">
        <w:t> </w:t>
      </w:r>
      <w:r>
        <w:t xml:space="preserve">mg/kg group); </w:t>
      </w:r>
      <w:r w:rsidRPr="00654367">
        <w:rPr>
          <w:highlight w:val="green"/>
        </w:rPr>
        <w:t>anemia</w:t>
      </w:r>
      <w:r w:rsidRPr="00622FC9">
        <w:t xml:space="preserve"> (36%; 33% in the 16 mg/kg group), </w:t>
      </w:r>
      <w:r w:rsidRPr="00E52963">
        <w:rPr>
          <w:highlight w:val="green"/>
        </w:rPr>
        <w:t>nausea</w:t>
      </w:r>
      <w:r w:rsidRPr="00622FC9">
        <w:t xml:space="preserve"> (28%; 29% in the 16 mg/kg group); </w:t>
      </w:r>
      <w:r w:rsidRPr="00E52963">
        <w:rPr>
          <w:highlight w:val="green"/>
        </w:rPr>
        <w:t>thrombocytopenia</w:t>
      </w:r>
      <w:r w:rsidRPr="00622FC9">
        <w:t xml:space="preserve"> (27%; 26% in the 16 mg/kg group); </w:t>
      </w:r>
      <w:r w:rsidRPr="00972C46">
        <w:rPr>
          <w:highlight w:val="green"/>
        </w:rPr>
        <w:t>back pain</w:t>
      </w:r>
      <w:r w:rsidRPr="00622FC9">
        <w:t xml:space="preserve"> (23%; 22% in the 16</w:t>
      </w:r>
      <w:r>
        <w:t> </w:t>
      </w:r>
      <w:r w:rsidRPr="00622FC9">
        <w:t xml:space="preserve">mg/kg group); </w:t>
      </w:r>
      <w:r w:rsidRPr="004D48D1">
        <w:rPr>
          <w:highlight w:val="green"/>
        </w:rPr>
        <w:t>cough</w:t>
      </w:r>
      <w:r w:rsidRPr="00622FC9">
        <w:t xml:space="preserve"> (23%; 21% in the 16 mg/kg group); and </w:t>
      </w:r>
      <w:r w:rsidRPr="004D48D1">
        <w:rPr>
          <w:highlight w:val="green"/>
        </w:rPr>
        <w:t>neutropenia</w:t>
      </w:r>
      <w:r w:rsidRPr="00622FC9">
        <w:t xml:space="preserve"> (20%; 23% in the 16 mg/kg group) (</w:t>
      </w:r>
      <w:r w:rsidRPr="00622FC9">
        <w:fldChar w:fldCharType="begin"/>
      </w:r>
      <w:r w:rsidRPr="00622FC9">
        <w:instrText xml:space="preserve"> REF _Ref414572119 \h  \* MERGEFORMAT </w:instrText>
      </w:r>
      <w:r w:rsidRPr="00622FC9">
        <w:fldChar w:fldCharType="separate"/>
      </w:r>
      <w:r w:rsidR="00B6373E">
        <w:t xml:space="preserve">Table </w:t>
      </w:r>
      <w:r w:rsidR="00B6373E">
        <w:rPr>
          <w:noProof/>
        </w:rPr>
        <w:t>2</w:t>
      </w:r>
      <w:r w:rsidRPr="00622FC9">
        <w:fldChar w:fldCharType="end"/>
      </w:r>
      <w:r w:rsidRPr="00622FC9">
        <w:t>)</w:t>
      </w:r>
      <w:r>
        <w:t xml:space="preserve">. </w:t>
      </w: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109"/>
        <w:gridCol w:w="1208"/>
        <w:gridCol w:w="1207"/>
        <w:gridCol w:w="1207"/>
        <w:gridCol w:w="1207"/>
        <w:gridCol w:w="1207"/>
        <w:gridCol w:w="1215"/>
      </w:tblGrid>
      <w:tr w:rsidR="003D7EC1" w:rsidRPr="00525374" w:rsidTr="004C3D8F">
        <w:trPr>
          <w:cantSplit/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pStyle w:val="Caption"/>
              <w:pageBreakBefore/>
              <w:rPr>
                <w:color w:val="000000"/>
              </w:rPr>
            </w:pPr>
            <w:bookmarkStart w:id="2" w:name="_Ref414572119"/>
            <w:bookmarkStart w:id="3" w:name="_Toc419922898"/>
            <w:r>
              <w:lastRenderedPageBreak/>
              <w:t xml:space="preserve">Table </w:t>
            </w:r>
            <w:fldSimple w:instr=" SEQ Table \* ARABIC ">
              <w:r w:rsidR="00B6373E">
                <w:rPr>
                  <w:noProof/>
                </w:rPr>
                <w:t>2</w:t>
              </w:r>
            </w:fldSimple>
            <w:bookmarkEnd w:id="2"/>
            <w:r>
              <w:t>:</w:t>
            </w:r>
            <w:r w:rsidRPr="00525374">
              <w:rPr>
                <w:color w:val="000000"/>
              </w:rPr>
              <w:tab/>
              <w:t>Most Common (At Least 10%) Treatment-emergent Adverse Events by System Organ Class, Preferred Term and Grade 3/4; All Treated Analysis Set (Study 54767414MMY2002)</w:t>
            </w:r>
            <w:bookmarkEnd w:id="3"/>
          </w:p>
        </w:tc>
      </w:tr>
      <w:tr w:rsidR="003D7EC1" w:rsidRPr="00525374" w:rsidTr="003D7EC1">
        <w:trPr>
          <w:cantSplit/>
          <w:tblHeader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16 mg/kg </w:t>
            </w:r>
          </w:p>
        </w:tc>
        <w:tc>
          <w:tcPr>
            <w:tcW w:w="12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3D7EC1" w:rsidRPr="00525374" w:rsidTr="003D7EC1">
        <w:trPr>
          <w:cantSplit/>
          <w:tblHeader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Grade 3 or 4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Grade 3 or 4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Grade 3 or 4 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Total number of subjects with TEAE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11 (61.1%)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105 (99.1%)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70 (66.0%)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123 (99.2%)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81 (65.3%)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MedDRA system organ class/Preferred term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74 (69.8%)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 (6.6%)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86 (69.4%)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9 (7.3%)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654367">
              <w:rPr>
                <w:color w:val="000000"/>
                <w:sz w:val="18"/>
                <w:szCs w:val="18"/>
                <w:highlight w:val="green"/>
              </w:rPr>
              <w:t>Fatigue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 (38.9%)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42 </w:t>
            </w:r>
            <w:r w:rsidRPr="00654367">
              <w:rPr>
                <w:color w:val="000000"/>
                <w:sz w:val="18"/>
                <w:szCs w:val="18"/>
                <w:highlight w:val="green"/>
              </w:rPr>
              <w:t>(39.6%)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 xml:space="preserve">49 </w:t>
            </w:r>
            <w:r w:rsidRPr="00654367">
              <w:rPr>
                <w:color w:val="000000"/>
                <w:sz w:val="18"/>
                <w:szCs w:val="18"/>
                <w:highlight w:val="green"/>
              </w:rPr>
              <w:t>(39.5%)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Pyrexia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5 (27.8%)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17 (16.0%)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22 (17.7%)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Asthenia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12 (11.3%)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14 (11.3%)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65 (61.3%)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 (6.6%)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73 (58.9%)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8 (6.5%)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72C46">
              <w:rPr>
                <w:color w:val="000000"/>
                <w:sz w:val="18"/>
                <w:szCs w:val="18"/>
                <w:highlight w:val="green"/>
              </w:rPr>
              <w:t>Cough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22 (</w:t>
            </w:r>
            <w:r w:rsidRPr="00972C46">
              <w:rPr>
                <w:color w:val="000000"/>
                <w:sz w:val="18"/>
                <w:szCs w:val="18"/>
                <w:highlight w:val="green"/>
              </w:rPr>
              <w:t>20.8%)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28 (</w:t>
            </w:r>
            <w:r w:rsidRPr="00972C46">
              <w:rPr>
                <w:color w:val="000000"/>
                <w:sz w:val="18"/>
                <w:szCs w:val="18"/>
                <w:highlight w:val="green"/>
              </w:rPr>
              <w:t>22.6%)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Nasal Congestion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19 (17.9%)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20 (16.1%)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Dyspnoea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16 (15.1%)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19 (15.3%)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64 (60.4%)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73 (58.9%)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 (3.2%)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7D43E2">
              <w:rPr>
                <w:color w:val="000000"/>
                <w:sz w:val="18"/>
                <w:szCs w:val="18"/>
                <w:highlight w:val="green"/>
              </w:rPr>
              <w:t>Nausea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31 (</w:t>
            </w:r>
            <w:r w:rsidRPr="007D43E2">
              <w:rPr>
                <w:color w:val="000000"/>
                <w:sz w:val="18"/>
                <w:szCs w:val="18"/>
                <w:highlight w:val="green"/>
              </w:rPr>
              <w:t>29.2%)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35 (</w:t>
            </w:r>
            <w:r w:rsidRPr="007D43E2">
              <w:rPr>
                <w:color w:val="000000"/>
                <w:sz w:val="18"/>
                <w:szCs w:val="18"/>
                <w:highlight w:val="green"/>
              </w:rPr>
              <w:t>28.2%)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Vomiting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19 (17.9%)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22 (17.7%)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Diarrhoea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18 (17.0%)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22 (17.7%)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Constipation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17 (16.0%)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19 (15.3%)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10 (55.6%)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64 (60.4%)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10 (9.4%)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74 (59.7%)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12 (9.7%)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72C46">
              <w:rPr>
                <w:color w:val="000000"/>
                <w:sz w:val="18"/>
                <w:szCs w:val="18"/>
                <w:highlight w:val="green"/>
              </w:rPr>
              <w:t>Back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5 (27.8%)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23 (</w:t>
            </w:r>
            <w:r w:rsidRPr="00972C46">
              <w:rPr>
                <w:color w:val="000000"/>
                <w:sz w:val="18"/>
                <w:szCs w:val="18"/>
                <w:highlight w:val="green"/>
              </w:rPr>
              <w:t>21.7%)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28 (</w:t>
            </w:r>
            <w:r w:rsidRPr="00972C46">
              <w:rPr>
                <w:color w:val="000000"/>
                <w:sz w:val="18"/>
                <w:szCs w:val="18"/>
                <w:highlight w:val="green"/>
              </w:rPr>
              <w:t>22.6%)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5 (4.0%)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Arthralgia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20 (18.9%)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21 (16.9%)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Pain In Extremity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18 (17.0%)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19 (15.3%)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Musculoskeletal Chest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13 (12.3%)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15 (12.1%)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61 (57.5%)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44 (41.5%)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73 (58.9%)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53 (42.7%)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654367">
              <w:rPr>
                <w:color w:val="000000"/>
                <w:sz w:val="18"/>
                <w:szCs w:val="18"/>
                <w:highlight w:val="green"/>
              </w:rPr>
              <w:t>Anaemia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35 (</w:t>
            </w:r>
            <w:r w:rsidRPr="00654367">
              <w:rPr>
                <w:color w:val="000000"/>
                <w:sz w:val="18"/>
                <w:szCs w:val="18"/>
                <w:highlight w:val="green"/>
              </w:rPr>
              <w:t>33.0%</w:t>
            </w:r>
            <w:r w:rsidRPr="00525374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25 (23.6%)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44 (</w:t>
            </w:r>
            <w:r w:rsidRPr="00654367">
              <w:rPr>
                <w:color w:val="000000"/>
                <w:sz w:val="18"/>
                <w:szCs w:val="18"/>
                <w:highlight w:val="green"/>
              </w:rPr>
              <w:t>35.5%)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29 (23.4%)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E52963">
              <w:rPr>
                <w:color w:val="000000"/>
                <w:sz w:val="18"/>
                <w:szCs w:val="18"/>
                <w:highlight w:val="green"/>
              </w:rPr>
              <w:t>Thrombocytopenia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27 (</w:t>
            </w:r>
            <w:r w:rsidRPr="00E52963">
              <w:rPr>
                <w:color w:val="000000"/>
                <w:sz w:val="18"/>
                <w:szCs w:val="18"/>
                <w:highlight w:val="green"/>
              </w:rPr>
              <w:t>25.5%)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20 (18.9%)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33 (</w:t>
            </w:r>
            <w:r w:rsidRPr="00E52963">
              <w:rPr>
                <w:color w:val="000000"/>
                <w:sz w:val="18"/>
                <w:szCs w:val="18"/>
                <w:highlight w:val="green"/>
              </w:rPr>
              <w:t>26.6%)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24 (19.4%)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4D48D1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4D48D1">
              <w:rPr>
                <w:color w:val="000000"/>
                <w:sz w:val="18"/>
                <w:szCs w:val="18"/>
                <w:highlight w:val="green"/>
              </w:rPr>
              <w:t>Neutropenia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24 (</w:t>
            </w:r>
            <w:r w:rsidRPr="004D48D1">
              <w:rPr>
                <w:color w:val="000000"/>
                <w:sz w:val="18"/>
                <w:szCs w:val="18"/>
                <w:highlight w:val="green"/>
              </w:rPr>
              <w:t>22.6%)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13 (12.3%)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25 (</w:t>
            </w:r>
            <w:r w:rsidRPr="004D48D1">
              <w:rPr>
                <w:color w:val="000000"/>
                <w:sz w:val="18"/>
                <w:szCs w:val="18"/>
                <w:highlight w:val="green"/>
              </w:rPr>
              <w:t>20.2%)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14 (11.3%)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54 (50.9%)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12 (11.3%)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62 (50.0%)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12 (9.7%)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Upper Respiratory Tract Infection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19 (17.9%)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22 (17.7%)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11 (61.1%)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5 (27.8%)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53 (50.0%)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11 (10.4%)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64 (51.6%)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16 (12.9%)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Decreased Appetite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19 (17.9%)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23 (18.5%)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Hypercalcaemia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18 (17.0%)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20 (16.1%)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6 (4.8%)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Hypokalaemia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11 (10.4%)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15 (12.1%)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25 (23.6%)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9 (8.5%)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33 (26.6%)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13 (10.5%)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12 (11.3%)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 (6.6%)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20 (16.1%)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11 (8.9%)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22 (20.8%)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6 (5.7%)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31 (25.0%)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 (5.6%)</w:t>
            </w:r>
          </w:p>
        </w:tc>
      </w:tr>
      <w:tr w:rsidR="003D7EC1" w:rsidRPr="00525374" w:rsidTr="003D7EC1">
        <w:trPr>
          <w:cantSplit/>
          <w:jc w:val="center"/>
        </w:trPr>
        <w:tc>
          <w:tcPr>
            <w:tcW w:w="11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Renal Impairment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7 (38.9%)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11 (10.4%)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18 (14.5%)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7EC1" w:rsidRPr="00525374" w:rsidRDefault="003D7EC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3D7EC1" w:rsidRPr="00525374" w:rsidTr="004C3D8F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525374">
              <w:rPr>
                <w:color w:val="000000"/>
                <w:sz w:val="18"/>
                <w:szCs w:val="18"/>
              </w:rPr>
              <w:t>Keys: TEAE = treatment-emergent adverse event.</w:t>
            </w:r>
            <w:r w:rsidRPr="00525374">
              <w:rPr>
                <w:color w:val="000000"/>
                <w:sz w:val="18"/>
                <w:szCs w:val="18"/>
              </w:rPr>
              <w:br/>
              <w:t>Adverse events are reported using MedDRA version 17.0.</w:t>
            </w:r>
            <w:r w:rsidRPr="00525374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3D7EC1" w:rsidRPr="00525374" w:rsidTr="004C3D8F">
        <w:trPr>
          <w:cantSplit/>
          <w:jc w:val="center"/>
        </w:trPr>
        <w:tc>
          <w:tcPr>
            <w:tcW w:w="5000" w:type="pct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D7EC1" w:rsidRPr="00525374" w:rsidRDefault="003D7EC1" w:rsidP="004C3D8F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525374">
              <w:rPr>
                <w:color w:val="000000"/>
                <w:sz w:val="16"/>
                <w:szCs w:val="16"/>
              </w:rPr>
              <w:t>[TSFAE02C1.rtf] [JNJ-54767414\MMY2002\DBR_CSR\RE_CSR\tsfae02c1.sas] 13FEB2015, 14:08</w:t>
            </w:r>
          </w:p>
        </w:tc>
      </w:tr>
    </w:tbl>
    <w:p w:rsidR="00537AA8" w:rsidRDefault="00537AA8">
      <w:r>
        <w:br w:type="page"/>
      </w:r>
    </w:p>
    <w:p w:rsidR="00A80941" w:rsidRPr="0072760A" w:rsidRDefault="00A80941" w:rsidP="00A80941">
      <w:pPr>
        <w:pStyle w:val="BodyText12"/>
      </w:pPr>
      <w:r w:rsidRPr="0072760A">
        <w:lastRenderedPageBreak/>
        <w:t xml:space="preserve">Most Common (At Least 1%) treatment-emergent Grade 3 or 4 AEs are provided in </w:t>
      </w:r>
      <w:r w:rsidRPr="0072760A">
        <w:fldChar w:fldCharType="begin"/>
      </w:r>
      <w:r w:rsidRPr="0072760A">
        <w:instrText xml:space="preserve"> REF _Ref415086328 \h  \* MERGEFORMAT </w:instrText>
      </w:r>
      <w:r w:rsidRPr="0072760A">
        <w:fldChar w:fldCharType="separate"/>
      </w:r>
      <w:r>
        <w:t>Table 3</w:t>
      </w:r>
      <w:r w:rsidRPr="0072760A">
        <w:fldChar w:fldCharType="end"/>
      </w:r>
      <w:r w:rsidRPr="0072760A">
        <w:t>. Of all treated subjects</w:t>
      </w:r>
      <w:r w:rsidRPr="005722CF">
        <w:rPr>
          <w:highlight w:val="yellow"/>
        </w:rPr>
        <w:t>, 81 (65%)</w:t>
      </w:r>
      <w:r w:rsidRPr="0072760A">
        <w:t xml:space="preserve"> had </w:t>
      </w:r>
      <w:r w:rsidRPr="005722CF">
        <w:rPr>
          <w:highlight w:val="yellow"/>
        </w:rPr>
        <w:t>Grade 3 or 4 TEAEs</w:t>
      </w:r>
      <w:r w:rsidRPr="0072760A">
        <w:t>. The occurrence of Grade 3 or 4 TEAEs was similar in both the 8 mg/kg and 16 mg/kg groups (61% versus 66%). The incidence of all Grade 3 or 4 T</w:t>
      </w:r>
      <w:r>
        <w:t xml:space="preserve">EAEs is presented in Attachment </w:t>
      </w:r>
      <w:r w:rsidRPr="0072760A">
        <w:t xml:space="preserve">TSFAE03. </w:t>
      </w:r>
    </w:p>
    <w:p w:rsidR="00A80941" w:rsidRDefault="00A80941" w:rsidP="005722CF">
      <w:pPr>
        <w:pStyle w:val="BodyText12"/>
      </w:pPr>
      <w:r w:rsidRPr="0072760A">
        <w:t xml:space="preserve">The most frequently reported TEAEs with a severity of Grade 3 or Grade 4 in ≥10% subjects in the </w:t>
      </w:r>
      <w:r w:rsidRPr="005722CF">
        <w:rPr>
          <w:highlight w:val="green"/>
        </w:rPr>
        <w:t>16 mg/kg group were anemia (24%), thrombocytopenia (19%), and neutropenia (12%)</w:t>
      </w:r>
      <w:r w:rsidRPr="0072760A">
        <w:t xml:space="preserve"> (</w:t>
      </w:r>
      <w:r w:rsidRPr="0072760A">
        <w:fldChar w:fldCharType="begin"/>
      </w:r>
      <w:r w:rsidRPr="0072760A">
        <w:instrText xml:space="preserve"> REF _Ref415086328 \h  \* MERGEFORMAT </w:instrText>
      </w:r>
      <w:r w:rsidRPr="0072760A">
        <w:fldChar w:fldCharType="separate"/>
      </w:r>
      <w:r>
        <w:t>Table 3</w:t>
      </w:r>
      <w:r w:rsidRPr="0072760A">
        <w:fldChar w:fldCharType="end"/>
      </w:r>
      <w:r w:rsidRPr="0072760A">
        <w:t xml:space="preserve">). </w:t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890"/>
        <w:gridCol w:w="1056"/>
        <w:gridCol w:w="1056"/>
        <w:gridCol w:w="1056"/>
        <w:gridCol w:w="1056"/>
        <w:gridCol w:w="1056"/>
        <w:gridCol w:w="1066"/>
      </w:tblGrid>
      <w:tr w:rsidR="00A80941" w:rsidRPr="00DD2C57" w:rsidTr="004C3D8F">
        <w:trPr>
          <w:cantSplit/>
          <w:tblHeader/>
          <w:jc w:val="center"/>
        </w:trPr>
        <w:tc>
          <w:tcPr>
            <w:tcW w:w="923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pStyle w:val="Caption"/>
              <w:rPr>
                <w:color w:val="000000"/>
              </w:rPr>
            </w:pPr>
            <w:bookmarkStart w:id="4" w:name="_Ref415086328"/>
            <w:bookmarkStart w:id="5" w:name="_Toc419922899"/>
            <w:r>
              <w:t>Table </w:t>
            </w:r>
            <w:fldSimple w:instr=" SEQ Table \* ARABIC ">
              <w:r>
                <w:rPr>
                  <w:noProof/>
                </w:rPr>
                <w:t>3</w:t>
              </w:r>
            </w:fldSimple>
            <w:bookmarkEnd w:id="4"/>
            <w:r>
              <w:t>:</w:t>
            </w:r>
            <w:r w:rsidRPr="00DD2C57">
              <w:rPr>
                <w:color w:val="000000"/>
              </w:rPr>
              <w:tab/>
              <w:t>Most Common (At Least 1%) Treatment-Emergent Grade 3 or 4 Adverse Events by System Organ Class and Preferred Term; All Treated Analysis Set (Study 54767414MMY2002)</w:t>
            </w:r>
            <w:bookmarkEnd w:id="5"/>
          </w:p>
        </w:tc>
      </w:tr>
      <w:tr w:rsidR="00A80941" w:rsidRPr="00DD2C57" w:rsidTr="004C3D8F">
        <w:trPr>
          <w:cantSplit/>
          <w:tblHeader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722CF">
              <w:rPr>
                <w:color w:val="000000"/>
                <w:sz w:val="18"/>
                <w:szCs w:val="18"/>
                <w:highlight w:val="green"/>
              </w:rPr>
              <w:t>16 mg/kg</w:t>
            </w:r>
            <w:r w:rsidRPr="00DD2C5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F68F6">
              <w:rPr>
                <w:color w:val="000000"/>
                <w:sz w:val="18"/>
                <w:szCs w:val="18"/>
                <w:highlight w:val="yellow"/>
              </w:rPr>
              <w:t>Total</w:t>
            </w:r>
            <w:r w:rsidRPr="00DD2C57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80941" w:rsidRPr="00DD2C57" w:rsidTr="004C3D8F">
        <w:trPr>
          <w:cantSplit/>
          <w:tblHeader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 xml:space="preserve">Grade 3 or 4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722CF">
              <w:rPr>
                <w:color w:val="000000"/>
                <w:sz w:val="18"/>
                <w:szCs w:val="18"/>
                <w:highlight w:val="green"/>
              </w:rPr>
              <w:t>Grade 3 or 4</w:t>
            </w:r>
            <w:r w:rsidRPr="00DD2C57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F68F6">
              <w:rPr>
                <w:color w:val="000000"/>
                <w:sz w:val="18"/>
                <w:szCs w:val="18"/>
                <w:highlight w:val="yellow"/>
              </w:rPr>
              <w:t>Grade 3 or 4</w:t>
            </w:r>
            <w:r w:rsidRPr="00DD2C57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 xml:space="preserve">Total </w:t>
            </w:r>
            <w:r w:rsidRPr="004F68F6">
              <w:rPr>
                <w:color w:val="000000"/>
                <w:sz w:val="18"/>
                <w:szCs w:val="18"/>
                <w:highlight w:val="yellow"/>
              </w:rPr>
              <w:t>number of subjects with TEAEs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11 (61.1%)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105 (99.1%)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70 (66.0%)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123 (99.2%)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F68F6">
              <w:rPr>
                <w:color w:val="000000"/>
                <w:sz w:val="18"/>
                <w:szCs w:val="18"/>
                <w:highlight w:val="yellow"/>
              </w:rPr>
              <w:t>81 (65.3%)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MedDRA system organ class/Preferred term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61 (57.5%)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44 (41.5%)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73 (58.9%)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53 (42.7%)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5722CF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5722CF">
              <w:rPr>
                <w:color w:val="000000"/>
                <w:sz w:val="18"/>
                <w:szCs w:val="18"/>
                <w:highlight w:val="green"/>
              </w:rPr>
              <w:t>Anaemia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35 (33.0%)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5722CF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green"/>
              </w:rPr>
            </w:pPr>
            <w:r w:rsidRPr="005722CF">
              <w:rPr>
                <w:color w:val="000000"/>
                <w:sz w:val="18"/>
                <w:szCs w:val="18"/>
                <w:highlight w:val="green"/>
              </w:rPr>
              <w:t>25 (23.6%)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44 (35.5%)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29 (23.4%)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5722CF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5722CF">
              <w:rPr>
                <w:color w:val="000000"/>
                <w:sz w:val="18"/>
                <w:szCs w:val="18"/>
                <w:highlight w:val="green"/>
              </w:rPr>
              <w:t>Thrombocytopenia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27 (25.5%)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5722CF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green"/>
              </w:rPr>
            </w:pPr>
            <w:r w:rsidRPr="005722CF">
              <w:rPr>
                <w:color w:val="000000"/>
                <w:sz w:val="18"/>
                <w:szCs w:val="18"/>
                <w:highlight w:val="green"/>
              </w:rPr>
              <w:t>20 (18.9%)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33 (26.6%)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24 (19.4%)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5722CF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5722CF">
              <w:rPr>
                <w:color w:val="000000"/>
                <w:sz w:val="18"/>
                <w:szCs w:val="18"/>
                <w:highlight w:val="green"/>
              </w:rPr>
              <w:t>Neutropenia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24 (22.6%)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5722CF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green"/>
              </w:rPr>
            </w:pPr>
            <w:r w:rsidRPr="005722CF">
              <w:rPr>
                <w:color w:val="000000"/>
                <w:sz w:val="18"/>
                <w:szCs w:val="18"/>
                <w:highlight w:val="green"/>
              </w:rPr>
              <w:t>13 (12.3%)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25 (20.2%)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14 (11.3%)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Lymphopenia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 (5.6%)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 (5.6%)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Leukopenia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 (6.6%)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9 (7.3%)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54 (50.9%)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12 (11.3%)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62 (50.0%)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12 (9.7%)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Pneumonia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8 (7.5%)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9 (7.3%)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 (4.0%)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Lobar Pneumonia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(2.4%)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Soft Tissue Infection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11 (61.1%)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 (27.8%)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53 (50.0%)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11 (10.4%)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64 (51.6%)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16 (12.9%)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Hypercalcaemia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18 (17.0%)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20 (16.1%)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6 (4.8%)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Hyperglycaemia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9 (8.5%)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12 (9.7%)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10 (55.6%)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64 (60.4%)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10 (9.4%)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74 (59.7%)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12 (9.7%)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Back Pain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 (27.8%)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23 (21.7%)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28 (22.6%)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 (4.0%)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Musculoskeletal Chest Pain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13 (12.3%)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15 (12.1%)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Neck Pain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Pathological Fracture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25 (23.6%)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9 (8.5%)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33 (26.6%)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13 (10.5%)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12 (11.3%)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 (6.6%)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20 (16.1%)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11 (8.9%)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74 (69.8%)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 (6.6%)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86 (69.4%)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9 (7.3%)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Fatigue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 (38.9%)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42 (39.6%)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49 (39.5%)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65 (61.3%)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 (6.6%)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73 (58.9%)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8 (6.5%)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Bronchospasm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5 (4.0%)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10 (55.6%)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37 (34.9%)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6 (5.7%)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47 (37.9%)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8 (6.5%)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Headache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10 (9.4%)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11 (8.9%)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22 (20.8%)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6 (5.7%)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31 (25.0%)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 (5.6%)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Renal Impairment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 (38.9%)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11 (10.4%)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18 (14.5%)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64 (60.4%)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73 (58.9%)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4 (3.2%)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Abdominal Pain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8 (7.5%)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9 (7.3%)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80941" w:rsidRPr="00DD2C57" w:rsidRDefault="00A80941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92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DD2C57">
              <w:rPr>
                <w:color w:val="000000"/>
                <w:sz w:val="18"/>
                <w:szCs w:val="18"/>
              </w:rPr>
              <w:t>Keys: TEAE = treatment-emergent adverse event.</w:t>
            </w:r>
            <w:r w:rsidRPr="00DD2C57">
              <w:rPr>
                <w:color w:val="000000"/>
                <w:sz w:val="18"/>
                <w:szCs w:val="18"/>
              </w:rPr>
              <w:br/>
              <w:t>Adverse events are reported using MedDRA version 17.0.</w:t>
            </w:r>
            <w:r w:rsidRPr="00DD2C57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A80941" w:rsidRPr="00DD2C57" w:rsidTr="004C3D8F">
        <w:trPr>
          <w:cantSplit/>
          <w:jc w:val="center"/>
        </w:trPr>
        <w:tc>
          <w:tcPr>
            <w:tcW w:w="9236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80941" w:rsidRPr="00DD2C57" w:rsidRDefault="00A80941" w:rsidP="004C3D8F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DD2C57">
              <w:rPr>
                <w:color w:val="000000"/>
                <w:sz w:val="16"/>
                <w:szCs w:val="16"/>
              </w:rPr>
              <w:t>[TSFAE05B.rtf] [JNJ-54767414\MMY2002\DBR_CSR\RE_CSR\tsfae05b.sas] 25MAR2015, 16:34</w:t>
            </w:r>
          </w:p>
        </w:tc>
      </w:tr>
    </w:tbl>
    <w:p w:rsidR="000B6A84" w:rsidRDefault="000B6A84"/>
    <w:p w:rsidR="00CD0114" w:rsidRDefault="00CD0114">
      <w:r>
        <w:br w:type="page"/>
      </w:r>
    </w:p>
    <w:p w:rsidR="003319F9" w:rsidRPr="0072760A" w:rsidRDefault="003319F9" w:rsidP="003319F9">
      <w:pPr>
        <w:pStyle w:val="BodyText12"/>
      </w:pPr>
      <w:r w:rsidRPr="0072760A">
        <w:lastRenderedPageBreak/>
        <w:fldChar w:fldCharType="begin"/>
      </w:r>
      <w:r w:rsidRPr="0072760A">
        <w:instrText xml:space="preserve"> REF _Ref411865984 \h  \* MERGEFORMAT </w:instrText>
      </w:r>
      <w:r w:rsidRPr="0072760A">
        <w:fldChar w:fldCharType="separate"/>
      </w:r>
      <w:r>
        <w:t xml:space="preserve">Table </w:t>
      </w:r>
      <w:r>
        <w:rPr>
          <w:noProof/>
        </w:rPr>
        <w:t>4</w:t>
      </w:r>
      <w:r w:rsidRPr="0072760A">
        <w:fldChar w:fldCharType="end"/>
      </w:r>
      <w:r w:rsidRPr="0072760A">
        <w:t xml:space="preserve"> summarizes the primary cause of death in all treated subjects. </w:t>
      </w:r>
      <w:r w:rsidRPr="00A95F49">
        <w:rPr>
          <w:highlight w:val="yellow"/>
        </w:rPr>
        <w:t>Twelve subjects</w:t>
      </w:r>
      <w:r w:rsidRPr="0072760A">
        <w:t xml:space="preserve"> </w:t>
      </w:r>
      <w:r w:rsidRPr="00A95F49">
        <w:rPr>
          <w:highlight w:val="yellow"/>
        </w:rPr>
        <w:t>died within 30 days of the last dose</w:t>
      </w:r>
      <w:r w:rsidRPr="0072760A">
        <w:t xml:space="preserve"> of study drug; all </w:t>
      </w:r>
      <w:r w:rsidRPr="00A95F49">
        <w:rPr>
          <w:highlight w:val="green"/>
        </w:rPr>
        <w:t>12</w:t>
      </w:r>
      <w:r w:rsidRPr="0072760A">
        <w:t xml:space="preserve"> were in the </w:t>
      </w:r>
      <w:r w:rsidRPr="00A95F49">
        <w:rPr>
          <w:highlight w:val="green"/>
        </w:rPr>
        <w:t>16 mg/kg group</w:t>
      </w:r>
      <w:r w:rsidRPr="0072760A">
        <w:t xml:space="preserve">. </w:t>
      </w:r>
      <w:r w:rsidRPr="007D2441">
        <w:rPr>
          <w:highlight w:val="cyan"/>
        </w:rPr>
        <w:t>Ten</w:t>
      </w:r>
      <w:r w:rsidRPr="0072760A">
        <w:t xml:space="preserve"> of the deaths were due to </w:t>
      </w:r>
      <w:r w:rsidRPr="00164173">
        <w:rPr>
          <w:highlight w:val="cyan"/>
        </w:rPr>
        <w:t>progressive disease</w:t>
      </w:r>
      <w:r w:rsidRPr="0072760A">
        <w:t xml:space="preserve">, and </w:t>
      </w:r>
      <w:r w:rsidRPr="00164173">
        <w:rPr>
          <w:highlight w:val="magenta"/>
        </w:rPr>
        <w:t>2</w:t>
      </w:r>
      <w:r w:rsidRPr="0072760A">
        <w:t xml:space="preserve"> of the deaths were due to </w:t>
      </w:r>
      <w:r w:rsidRPr="00164173">
        <w:rPr>
          <w:highlight w:val="magenta"/>
        </w:rPr>
        <w:t>a TEAE</w:t>
      </w:r>
      <w:r w:rsidRPr="0072760A">
        <w:t>.</w:t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890"/>
        <w:gridCol w:w="2112"/>
        <w:gridCol w:w="2112"/>
        <w:gridCol w:w="2122"/>
      </w:tblGrid>
      <w:tr w:rsidR="003319F9" w:rsidRPr="000663A0" w:rsidTr="004C3D8F">
        <w:trPr>
          <w:cantSplit/>
          <w:tblHeader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pStyle w:val="Caption"/>
              <w:rPr>
                <w:color w:val="000000"/>
              </w:rPr>
            </w:pPr>
            <w:bookmarkStart w:id="6" w:name="_Ref411865984"/>
            <w:bookmarkStart w:id="7" w:name="_Toc419922901"/>
            <w:r>
              <w:t xml:space="preserve">Table </w:t>
            </w:r>
            <w:fldSimple w:instr=" SEQ Table \* ARABIC ">
              <w:r>
                <w:rPr>
                  <w:noProof/>
                </w:rPr>
                <w:t>4</w:t>
              </w:r>
            </w:fldSimple>
            <w:bookmarkEnd w:id="6"/>
            <w:r>
              <w:t>:</w:t>
            </w:r>
            <w:r w:rsidRPr="000663A0">
              <w:rPr>
                <w:color w:val="000000"/>
              </w:rPr>
              <w:tab/>
            </w:r>
            <w:r w:rsidRPr="00164173">
              <w:rPr>
                <w:color w:val="000000"/>
                <w:highlight w:val="yellow"/>
              </w:rPr>
              <w:t>Death and Primary Cause</w:t>
            </w:r>
            <w:r w:rsidRPr="000663A0">
              <w:rPr>
                <w:color w:val="000000"/>
              </w:rPr>
              <w:t xml:space="preserve"> of Death; All Treated Analysis Set (Study 54767414MMY2002)</w:t>
            </w:r>
            <w:bookmarkEnd w:id="7"/>
          </w:p>
        </w:tc>
      </w:tr>
      <w:tr w:rsidR="003319F9" w:rsidRPr="000663A0" w:rsidTr="004C3D8F">
        <w:trPr>
          <w:cantSplit/>
          <w:tblHeader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95F49">
              <w:rPr>
                <w:color w:val="000000"/>
                <w:sz w:val="18"/>
                <w:szCs w:val="18"/>
                <w:highlight w:val="green"/>
              </w:rPr>
              <w:t>16 mg/kg</w:t>
            </w:r>
            <w:r w:rsidRPr="000663A0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3319F9" w:rsidRPr="000663A0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319F9" w:rsidRPr="000663A0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Total number of subjects died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7 (38.9%)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31 (29.2%)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38 (30.6%)</w:t>
            </w:r>
            <w:r>
              <w:rPr>
                <w:color w:val="000000"/>
                <w:sz w:val="18"/>
                <w:szCs w:val="18"/>
              </w:rPr>
              <w:t>*</w:t>
            </w:r>
          </w:p>
        </w:tc>
      </w:tr>
      <w:tr w:rsidR="003319F9" w:rsidRPr="000663A0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Progressive disease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5 (27.8%)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29 (27.4%)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34 (27.4%)</w:t>
            </w:r>
          </w:p>
        </w:tc>
      </w:tr>
      <w:tr w:rsidR="003319F9" w:rsidRPr="000663A0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Adverse event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3319F9" w:rsidRPr="000663A0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3319F9" w:rsidRPr="000663A0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A95F49" w:rsidRDefault="003319F9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yellow"/>
              </w:rPr>
            </w:pPr>
            <w:r w:rsidRPr="00A95F49">
              <w:rPr>
                <w:color w:val="000000"/>
                <w:sz w:val="18"/>
                <w:szCs w:val="18"/>
                <w:highlight w:val="yellow"/>
              </w:rPr>
              <w:t>Death within 30 days of last dose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95F49">
              <w:rPr>
                <w:color w:val="000000"/>
                <w:sz w:val="18"/>
                <w:szCs w:val="18"/>
                <w:highlight w:val="green"/>
              </w:rPr>
              <w:t>12</w:t>
            </w:r>
            <w:r w:rsidRPr="000663A0">
              <w:rPr>
                <w:color w:val="000000"/>
                <w:sz w:val="18"/>
                <w:szCs w:val="18"/>
              </w:rPr>
              <w:t xml:space="preserve"> (11.3%)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95F49">
              <w:rPr>
                <w:color w:val="000000"/>
                <w:sz w:val="18"/>
                <w:szCs w:val="18"/>
                <w:highlight w:val="yellow"/>
              </w:rPr>
              <w:t xml:space="preserve">12 </w:t>
            </w:r>
            <w:r w:rsidRPr="00164173">
              <w:rPr>
                <w:color w:val="000000"/>
                <w:sz w:val="18"/>
                <w:szCs w:val="18"/>
              </w:rPr>
              <w:t>(9.7%)</w:t>
            </w:r>
          </w:p>
        </w:tc>
      </w:tr>
      <w:tr w:rsidR="003319F9" w:rsidRPr="000663A0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A95F49" w:rsidRDefault="003319F9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D2441">
              <w:rPr>
                <w:color w:val="000000"/>
                <w:sz w:val="18"/>
                <w:szCs w:val="18"/>
                <w:highlight w:val="cyan"/>
              </w:rPr>
              <w:t>Progressive disease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10 (9.4%)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7D2441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7D2441">
              <w:rPr>
                <w:color w:val="000000"/>
                <w:sz w:val="18"/>
                <w:szCs w:val="18"/>
                <w:highlight w:val="cyan"/>
              </w:rPr>
              <w:t xml:space="preserve">10 </w:t>
            </w:r>
            <w:r w:rsidRPr="00164173">
              <w:rPr>
                <w:color w:val="000000"/>
                <w:sz w:val="18"/>
                <w:szCs w:val="18"/>
              </w:rPr>
              <w:t>(8.1%)</w:t>
            </w:r>
          </w:p>
        </w:tc>
      </w:tr>
      <w:tr w:rsidR="003319F9" w:rsidRPr="000663A0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164173" w:rsidRDefault="003319F9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magenta"/>
              </w:rPr>
            </w:pPr>
            <w:r w:rsidRPr="00164173">
              <w:rPr>
                <w:color w:val="000000"/>
                <w:sz w:val="18"/>
                <w:szCs w:val="18"/>
                <w:highlight w:val="magenta"/>
              </w:rPr>
              <w:t>Adverse event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64173">
              <w:rPr>
                <w:color w:val="000000"/>
                <w:sz w:val="18"/>
                <w:szCs w:val="18"/>
                <w:highlight w:val="magenta"/>
              </w:rPr>
              <w:t>2 (</w:t>
            </w:r>
            <w:r w:rsidRPr="000663A0">
              <w:rPr>
                <w:color w:val="000000"/>
                <w:sz w:val="18"/>
                <w:szCs w:val="18"/>
              </w:rPr>
              <w:t>1.6%)</w:t>
            </w:r>
          </w:p>
        </w:tc>
      </w:tr>
      <w:tr w:rsidR="003319F9" w:rsidRPr="000663A0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19F9" w:rsidRPr="000663A0" w:rsidRDefault="003319F9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0</w:t>
            </w:r>
          </w:p>
        </w:tc>
      </w:tr>
      <w:tr w:rsidR="003319F9" w:rsidRPr="000663A0" w:rsidTr="004C3D8F">
        <w:trPr>
          <w:cantSplit/>
          <w:jc w:val="center"/>
        </w:trPr>
        <w:tc>
          <w:tcPr>
            <w:tcW w:w="9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0663A0" w:rsidRDefault="003319F9" w:rsidP="004C3D8F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0663A0">
              <w:rPr>
                <w:color w:val="000000"/>
                <w:sz w:val="18"/>
                <w:szCs w:val="18"/>
              </w:rPr>
              <w:t>Percentages are calculated with the number of subjects in each group as denominator.</w:t>
            </w:r>
          </w:p>
        </w:tc>
      </w:tr>
      <w:tr w:rsidR="003319F9" w:rsidRPr="000663A0" w:rsidTr="004C3D8F">
        <w:trPr>
          <w:cantSplit/>
          <w:trHeight w:val="234"/>
          <w:jc w:val="center"/>
        </w:trPr>
        <w:tc>
          <w:tcPr>
            <w:tcW w:w="9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19F9" w:rsidRPr="00581ABF" w:rsidRDefault="003319F9" w:rsidP="004C3D8F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  <w:highlight w:val="green"/>
              </w:rPr>
            </w:pPr>
            <w:r w:rsidRPr="006757F5">
              <w:rPr>
                <w:color w:val="000000"/>
                <w:sz w:val="18"/>
                <w:szCs w:val="18"/>
              </w:rPr>
              <w:t xml:space="preserve">* One additional death was identified after the database lock, see </w:t>
            </w:r>
            <w:hyperlink w:anchor="ERRATA" w:history="1">
              <w:r w:rsidRPr="006757F5">
                <w:rPr>
                  <w:rStyle w:val="Hyperlink"/>
                  <w:sz w:val="18"/>
                  <w:szCs w:val="18"/>
                </w:rPr>
                <w:t>ERRATA</w:t>
              </w:r>
            </w:hyperlink>
            <w:r w:rsidRPr="006757F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Section </w:t>
            </w:r>
            <w:r w:rsidRPr="006757F5">
              <w:rPr>
                <w:color w:val="000000"/>
                <w:sz w:val="18"/>
                <w:szCs w:val="18"/>
              </w:rPr>
              <w:t xml:space="preserve">for details. </w:t>
            </w:r>
          </w:p>
        </w:tc>
      </w:tr>
      <w:tr w:rsidR="003319F9" w:rsidRPr="0072760A" w:rsidTr="004C3D8F">
        <w:trPr>
          <w:cantSplit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319F9" w:rsidRPr="0072760A" w:rsidRDefault="003319F9" w:rsidP="004C3D8F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72760A">
              <w:rPr>
                <w:sz w:val="16"/>
                <w:szCs w:val="16"/>
              </w:rPr>
              <w:t>Modified from Attachment TSFDTH01</w:t>
            </w:r>
          </w:p>
        </w:tc>
      </w:tr>
    </w:tbl>
    <w:p w:rsidR="00AC4D19" w:rsidRDefault="00AC4D19">
      <w:r>
        <w:br w:type="page"/>
      </w:r>
    </w:p>
    <w:p w:rsidR="00927BF3" w:rsidRPr="00EC55F2" w:rsidRDefault="00BF5F7F" w:rsidP="00927BF3">
      <w:pPr>
        <w:pStyle w:val="BodyText12"/>
        <w:rPr>
          <w:b/>
        </w:rPr>
      </w:pPr>
      <w:r w:rsidRPr="00EC55F2">
        <w:rPr>
          <w:b/>
        </w:rPr>
        <w:lastRenderedPageBreak/>
        <w:t xml:space="preserve">Data presentation: </w:t>
      </w:r>
      <w:r w:rsidR="00927BF3" w:rsidRPr="00EC55F2">
        <w:rPr>
          <w:b/>
        </w:rPr>
        <w:t>Overall vs 16 mg/kg group</w:t>
      </w:r>
    </w:p>
    <w:p w:rsidR="00927BF3" w:rsidRPr="00EC55F2" w:rsidRDefault="00EC55F2" w:rsidP="00927BF3">
      <w:pPr>
        <w:pStyle w:val="BodyText12"/>
        <w:rPr>
          <w:b/>
        </w:rPr>
      </w:pPr>
      <w:r w:rsidRPr="00EC55F2">
        <w:rPr>
          <w:b/>
        </w:rPr>
        <w:t>Find AE incidences and present them in a descending order</w:t>
      </w:r>
    </w:p>
    <w:p w:rsidR="00927BF3" w:rsidRDefault="00927BF3" w:rsidP="00927BF3">
      <w:pPr>
        <w:pStyle w:val="BodyText12"/>
      </w:pPr>
      <w:r w:rsidRPr="0072760A">
        <w:t>Thirty-eight (</w:t>
      </w:r>
      <w:r w:rsidRPr="00927BF3">
        <w:rPr>
          <w:highlight w:val="yellow"/>
        </w:rPr>
        <w:t>38</w:t>
      </w:r>
      <w:r w:rsidRPr="0072760A">
        <w:t>) subjects (</w:t>
      </w:r>
      <w:r w:rsidRPr="00927BF3">
        <w:rPr>
          <w:highlight w:val="yellow"/>
        </w:rPr>
        <w:t>31%</w:t>
      </w:r>
      <w:r w:rsidRPr="0072760A">
        <w:t xml:space="preserve">; </w:t>
      </w:r>
      <w:r w:rsidRPr="00927BF3">
        <w:rPr>
          <w:highlight w:val="green"/>
        </w:rPr>
        <w:t>32 subjects [30%] in the 16 mg/kg group</w:t>
      </w:r>
      <w:r w:rsidRPr="00625836">
        <w:t xml:space="preserve">) had a serious TEAE (Grade 1 to 4). The most frequently reported serious TEAEs that occurred in </w:t>
      </w:r>
      <w:r w:rsidRPr="00CE404A">
        <w:rPr>
          <w:highlight w:val="cyan"/>
        </w:rPr>
        <w:t>all treated subjects</w:t>
      </w:r>
      <w:r w:rsidRPr="00625836">
        <w:t xml:space="preserve"> at a 3% or higher frequency were; </w:t>
      </w:r>
      <w:r w:rsidRPr="00CE404A">
        <w:rPr>
          <w:highlight w:val="cyan"/>
        </w:rPr>
        <w:t>general physical health deterioration (6 subjects; 5%</w:t>
      </w:r>
      <w:r w:rsidRPr="00625836">
        <w:t xml:space="preserve">), </w:t>
      </w:r>
      <w:r w:rsidRPr="00CE404A">
        <w:rPr>
          <w:highlight w:val="cyan"/>
        </w:rPr>
        <w:t>pneumonia (4 subjects, 3%</w:t>
      </w:r>
      <w:r w:rsidRPr="00625836">
        <w:t xml:space="preserve">), </w:t>
      </w:r>
      <w:r w:rsidRPr="00CE404A">
        <w:rPr>
          <w:highlight w:val="cyan"/>
        </w:rPr>
        <w:t>and hypercalcaemia (4 subjects, 3%)</w:t>
      </w:r>
      <w:r>
        <w:t xml:space="preserve"> </w:t>
      </w:r>
      <w:r w:rsidRPr="003D52E9">
        <w:t>(</w:t>
      </w:r>
      <w:r>
        <w:fldChar w:fldCharType="begin"/>
      </w:r>
      <w:r>
        <w:instrText xml:space="preserve"> REF _Ref411933287 \h </w:instrText>
      </w:r>
      <w:r>
        <w:fldChar w:fldCharType="separate"/>
      </w:r>
      <w:r>
        <w:t>Table </w:t>
      </w:r>
      <w:r>
        <w:rPr>
          <w:noProof/>
        </w:rPr>
        <w:t>5</w:t>
      </w:r>
      <w:r>
        <w:fldChar w:fldCharType="end"/>
      </w:r>
      <w:r w:rsidRPr="003D52E9">
        <w:t>).</w:t>
      </w:r>
      <w:r>
        <w:t xml:space="preserve"> </w:t>
      </w:r>
    </w:p>
    <w:p w:rsidR="00927BF3" w:rsidRDefault="00927BF3" w:rsidP="00927BF3">
      <w:pPr>
        <w:pStyle w:val="BodyText12"/>
      </w:pP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890"/>
        <w:gridCol w:w="1056"/>
        <w:gridCol w:w="1056"/>
        <w:gridCol w:w="1056"/>
        <w:gridCol w:w="1056"/>
        <w:gridCol w:w="1056"/>
        <w:gridCol w:w="1066"/>
      </w:tblGrid>
      <w:tr w:rsidR="00927BF3" w:rsidRPr="007D4331" w:rsidTr="004C3D8F">
        <w:trPr>
          <w:cantSplit/>
          <w:tblHeader/>
          <w:jc w:val="center"/>
        </w:trPr>
        <w:tc>
          <w:tcPr>
            <w:tcW w:w="923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pStyle w:val="Caption"/>
              <w:rPr>
                <w:color w:val="000000"/>
              </w:rPr>
            </w:pPr>
            <w:bookmarkStart w:id="8" w:name="_Ref411933287"/>
            <w:bookmarkStart w:id="9" w:name="_Toc419922903"/>
            <w:r>
              <w:t>Table </w:t>
            </w:r>
            <w:fldSimple w:instr=" SEQ Table \* ARABIC ">
              <w:r>
                <w:rPr>
                  <w:noProof/>
                </w:rPr>
                <w:t>5</w:t>
              </w:r>
            </w:fldSimple>
            <w:bookmarkEnd w:id="8"/>
            <w:r>
              <w:t>:</w:t>
            </w:r>
            <w:r w:rsidRPr="007D4331">
              <w:rPr>
                <w:color w:val="000000"/>
              </w:rPr>
              <w:tab/>
              <w:t>Most Common (At Least 1%) Treatment-emergent Serious Adverse Events by System Organ Class, Preferred Term and Grade 3/4; All Treated Analysis Set (Study 54767414MMY2002)</w:t>
            </w:r>
            <w:bookmarkEnd w:id="9"/>
          </w:p>
        </w:tc>
      </w:tr>
      <w:tr w:rsidR="00927BF3" w:rsidRPr="007D4331" w:rsidTr="004C3D8F">
        <w:trPr>
          <w:cantSplit/>
          <w:tblHeader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BF3">
              <w:rPr>
                <w:color w:val="000000"/>
                <w:sz w:val="18"/>
                <w:szCs w:val="18"/>
                <w:highlight w:val="green"/>
              </w:rPr>
              <w:t>16 mg/kg</w:t>
            </w:r>
            <w:r w:rsidRPr="007D4331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927BF3" w:rsidRPr="007D4331" w:rsidTr="004C3D8F">
        <w:trPr>
          <w:cantSplit/>
          <w:tblHeader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 xml:space="preserve">Grade 3 or 4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 xml:space="preserve">Grade 3 or 4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 xml:space="preserve">Grade 3 or 4 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 xml:space="preserve">Total </w:t>
            </w:r>
            <w:r w:rsidRPr="00457C12">
              <w:rPr>
                <w:color w:val="000000"/>
                <w:sz w:val="18"/>
                <w:szCs w:val="18"/>
                <w:highlight w:val="yellow"/>
              </w:rPr>
              <w:t>number of subjects with serious TEAEs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BF3">
              <w:rPr>
                <w:color w:val="000000"/>
                <w:sz w:val="18"/>
                <w:szCs w:val="18"/>
                <w:highlight w:val="green"/>
              </w:rPr>
              <w:t>32 (30.2%)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24 (22.6%)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BF3">
              <w:rPr>
                <w:color w:val="000000"/>
                <w:sz w:val="18"/>
                <w:szCs w:val="18"/>
                <w:highlight w:val="yellow"/>
              </w:rPr>
              <w:t>38 (30.6%)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30 (24.2%)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MedDRA system organ class/Preferred term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13 (12.3%)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10 (9.4%)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13 (10.5%)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10 (8.1%)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CE404A">
              <w:rPr>
                <w:color w:val="000000"/>
                <w:sz w:val="18"/>
                <w:szCs w:val="18"/>
                <w:highlight w:val="cyan"/>
              </w:rPr>
              <w:t>Pneumonia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E404A">
              <w:rPr>
                <w:color w:val="000000"/>
                <w:sz w:val="18"/>
                <w:szCs w:val="18"/>
                <w:highlight w:val="cyan"/>
              </w:rPr>
              <w:t>4 (3.2%)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Lobar Pneumonia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8 (7.5%)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9 (7.3%)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CE404A">
              <w:rPr>
                <w:color w:val="000000"/>
                <w:sz w:val="18"/>
                <w:szCs w:val="18"/>
                <w:highlight w:val="cyan"/>
              </w:rPr>
              <w:t>General Physical Health Deterioration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CE404A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CE404A">
              <w:rPr>
                <w:color w:val="000000"/>
                <w:sz w:val="18"/>
                <w:szCs w:val="18"/>
                <w:highlight w:val="cyan"/>
              </w:rPr>
              <w:t>6 (4.8%)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6 (4.8%)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6 (4.8%)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Musculoskeletal Chest Pain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5 (4.0%)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4 (3.2%)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CE404A" w:rsidRDefault="00927BF3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cyan"/>
              </w:rPr>
            </w:pPr>
            <w:r w:rsidRPr="00CE404A">
              <w:rPr>
                <w:color w:val="000000"/>
                <w:sz w:val="18"/>
                <w:szCs w:val="18"/>
                <w:highlight w:val="cyan"/>
              </w:rPr>
              <w:t>Hypercalcaemia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E404A">
              <w:rPr>
                <w:color w:val="000000"/>
                <w:sz w:val="18"/>
                <w:szCs w:val="18"/>
                <w:highlight w:val="cyan"/>
              </w:rPr>
              <w:t>4 (3.2%)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Anaemia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27BF3" w:rsidRPr="007D4331" w:rsidRDefault="00927BF3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92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7D4331">
              <w:rPr>
                <w:color w:val="000000"/>
                <w:sz w:val="18"/>
                <w:szCs w:val="18"/>
              </w:rPr>
              <w:t>Keys: TEAE = treatment-emergent adverse event.</w:t>
            </w:r>
            <w:r w:rsidRPr="007D4331">
              <w:rPr>
                <w:color w:val="000000"/>
                <w:sz w:val="18"/>
                <w:szCs w:val="18"/>
              </w:rPr>
              <w:br/>
              <w:t>Adverse events are reported using MedDRA version 17.0.</w:t>
            </w:r>
            <w:r w:rsidRPr="007D4331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927BF3" w:rsidRPr="007D4331" w:rsidTr="004C3D8F">
        <w:trPr>
          <w:cantSplit/>
          <w:jc w:val="center"/>
        </w:trPr>
        <w:tc>
          <w:tcPr>
            <w:tcW w:w="9236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927BF3" w:rsidRPr="007D4331" w:rsidRDefault="00927BF3" w:rsidP="004C3D8F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7D4331">
              <w:rPr>
                <w:color w:val="000000"/>
                <w:sz w:val="16"/>
                <w:szCs w:val="16"/>
              </w:rPr>
              <w:t>[TSFAE04A1.rtf] [JNJ-54767414\MMY2002\DBR_CSR\RE_CSR\tsfae04a1.sas] 13FEB2015, 14:08</w:t>
            </w:r>
          </w:p>
        </w:tc>
      </w:tr>
    </w:tbl>
    <w:p w:rsidR="00927BF3" w:rsidRDefault="00927BF3" w:rsidP="00927BF3">
      <w:pPr>
        <w:pStyle w:val="Basic11"/>
      </w:pPr>
    </w:p>
    <w:p w:rsidR="00B32F94" w:rsidRDefault="00B32F94">
      <w:r>
        <w:br w:type="page"/>
      </w:r>
    </w:p>
    <w:p w:rsidR="00B32F94" w:rsidRDefault="00B32F94" w:rsidP="00B32F94">
      <w:pPr>
        <w:pStyle w:val="BodyText12"/>
      </w:pPr>
      <w:r>
        <w:lastRenderedPageBreak/>
        <w:t xml:space="preserve">Treatment-emergent AEs leading to treatment discontinuation </w:t>
      </w:r>
      <w:r w:rsidRPr="00255B4A">
        <w:t xml:space="preserve">by </w:t>
      </w:r>
      <w:r>
        <w:t xml:space="preserve">preferred term is presented in </w:t>
      </w:r>
      <w:r>
        <w:fldChar w:fldCharType="begin"/>
      </w:r>
      <w:r>
        <w:instrText xml:space="preserve"> REF _Ref411934840 \h </w:instrText>
      </w:r>
      <w:r>
        <w:fldChar w:fldCharType="separate"/>
      </w:r>
      <w:r>
        <w:t xml:space="preserve">Table </w:t>
      </w:r>
      <w:r>
        <w:rPr>
          <w:noProof/>
        </w:rPr>
        <w:t>6</w:t>
      </w:r>
      <w:r>
        <w:fldChar w:fldCharType="end"/>
      </w:r>
      <w:r>
        <w:t>.</w:t>
      </w:r>
      <w:r w:rsidRPr="00A54134">
        <w:t xml:space="preserve"> </w:t>
      </w:r>
      <w:r w:rsidRPr="00E27A82">
        <w:rPr>
          <w:highlight w:val="yellow"/>
        </w:rPr>
        <w:t>Treatment discontinuation due to AE</w:t>
      </w:r>
      <w:r w:rsidRPr="0077658D">
        <w:t xml:space="preserve"> was reported </w:t>
      </w:r>
      <w:r w:rsidRPr="00C40912">
        <w:rPr>
          <w:highlight w:val="yellow"/>
        </w:rPr>
        <w:t>for 5 subjects (4%)</w:t>
      </w:r>
      <w:r>
        <w:t xml:space="preserve">, </w:t>
      </w:r>
      <w:r w:rsidRPr="00C40912">
        <w:rPr>
          <w:highlight w:val="green"/>
        </w:rPr>
        <w:t>all in the 16 mg/kg group</w:t>
      </w:r>
      <w:r w:rsidRPr="0077658D">
        <w:t xml:space="preserve"> (</w:t>
      </w:r>
      <w:r>
        <w:fldChar w:fldCharType="begin"/>
      </w:r>
      <w:r>
        <w:instrText xml:space="preserve"> REF _Ref411934840 \h </w:instrText>
      </w:r>
      <w:r>
        <w:fldChar w:fldCharType="separate"/>
      </w:r>
      <w:r>
        <w:t xml:space="preserve">Table </w:t>
      </w:r>
      <w:r>
        <w:rPr>
          <w:noProof/>
        </w:rPr>
        <w:t>6</w:t>
      </w:r>
      <w:r>
        <w:fldChar w:fldCharType="end"/>
      </w:r>
      <w:r w:rsidRPr="00622FC9">
        <w:t xml:space="preserve">); </w:t>
      </w:r>
      <w:r w:rsidRPr="00E27A82">
        <w:rPr>
          <w:highlight w:val="cyan"/>
        </w:rPr>
        <w:t>no subject discontinued treatment due to an AE related to daratumumab</w:t>
      </w:r>
      <w:r w:rsidRPr="00622FC9">
        <w:t xml:space="preserve">. </w:t>
      </w:r>
      <w:r w:rsidRPr="002A08D8">
        <w:rPr>
          <w:highlight w:val="red"/>
        </w:rPr>
        <w:t>General physical health deterioration</w:t>
      </w:r>
      <w:r w:rsidRPr="0077658D">
        <w:t xml:space="preserve"> </w:t>
      </w:r>
      <w:r>
        <w:t xml:space="preserve">was reported </w:t>
      </w:r>
      <w:r w:rsidRPr="002A08D8">
        <w:rPr>
          <w:highlight w:val="red"/>
        </w:rPr>
        <w:t>in 2</w:t>
      </w:r>
      <w:r>
        <w:t xml:space="preserve"> subjects; the following </w:t>
      </w:r>
      <w:r w:rsidRPr="0077658D">
        <w:t xml:space="preserve">were reported in </w:t>
      </w:r>
      <w:r w:rsidRPr="002A08D8">
        <w:rPr>
          <w:highlight w:val="red"/>
        </w:rPr>
        <w:t>1 subject each</w:t>
      </w:r>
      <w:r w:rsidRPr="0077658D">
        <w:t xml:space="preserve"> (</w:t>
      </w:r>
      <w:r>
        <w:t>H1N1 influenza, hypercalcemia, and spinal cord compression) (</w:t>
      </w:r>
      <w:r>
        <w:fldChar w:fldCharType="begin"/>
      </w:r>
      <w:r>
        <w:instrText xml:space="preserve"> REF _Ref411934840 \h </w:instrText>
      </w:r>
      <w:r>
        <w:fldChar w:fldCharType="separate"/>
      </w:r>
      <w:r>
        <w:t xml:space="preserve">Table </w:t>
      </w:r>
      <w:r>
        <w:rPr>
          <w:noProof/>
        </w:rPr>
        <w:t>6</w:t>
      </w:r>
      <w:r>
        <w:fldChar w:fldCharType="end"/>
      </w:r>
      <w:r>
        <w:t>).</w:t>
      </w: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103"/>
        <w:gridCol w:w="1208"/>
        <w:gridCol w:w="1207"/>
        <w:gridCol w:w="1207"/>
        <w:gridCol w:w="1207"/>
        <w:gridCol w:w="1207"/>
        <w:gridCol w:w="1221"/>
      </w:tblGrid>
      <w:tr w:rsidR="00B32F94" w:rsidRPr="005E20C8" w:rsidTr="004C3D8F">
        <w:trPr>
          <w:cantSplit/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pStyle w:val="Caption"/>
              <w:rPr>
                <w:color w:val="000000"/>
              </w:rPr>
            </w:pPr>
            <w:bookmarkStart w:id="10" w:name="_Ref411934840"/>
            <w:bookmarkStart w:id="11" w:name="_Toc419922904"/>
            <w:r>
              <w:t xml:space="preserve">Table </w:t>
            </w:r>
            <w:fldSimple w:instr=" SEQ Table \* ARABIC ">
              <w:r>
                <w:rPr>
                  <w:noProof/>
                </w:rPr>
                <w:t>6</w:t>
              </w:r>
            </w:fldSimple>
            <w:bookmarkEnd w:id="10"/>
            <w:r>
              <w:t>:</w:t>
            </w:r>
            <w:r w:rsidRPr="005E20C8">
              <w:rPr>
                <w:color w:val="000000"/>
              </w:rPr>
              <w:tab/>
              <w:t>Treatment Discontinuation due to Treatment-emergent Adverse Events by Preferred Term and Relationship; All Treated Analysis Set (Study 54767414MMY2002)</w:t>
            </w:r>
            <w:bookmarkEnd w:id="11"/>
          </w:p>
        </w:tc>
      </w:tr>
      <w:tr w:rsidR="00B32F94" w:rsidRPr="005E20C8" w:rsidTr="004C3D8F">
        <w:trPr>
          <w:cantSplit/>
          <w:tblHeader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16 mg/kg </w:t>
            </w:r>
          </w:p>
        </w:tc>
        <w:tc>
          <w:tcPr>
            <w:tcW w:w="12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B32F94" w:rsidRPr="005E20C8" w:rsidTr="004C3D8F">
        <w:trPr>
          <w:cantSplit/>
          <w:tblHeader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Related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Related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E27A82" w:rsidRDefault="00B32F94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E27A82">
              <w:rPr>
                <w:color w:val="000000"/>
                <w:sz w:val="18"/>
                <w:szCs w:val="18"/>
                <w:highlight w:val="cyan"/>
              </w:rPr>
              <w:t xml:space="preserve">Related </w:t>
            </w:r>
          </w:p>
        </w:tc>
      </w:tr>
      <w:tr w:rsidR="00B32F94" w:rsidRPr="005E20C8" w:rsidTr="004C3D8F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E27A82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cyan"/>
              </w:rPr>
            </w:pPr>
          </w:p>
        </w:tc>
      </w:tr>
      <w:tr w:rsidR="00B32F94" w:rsidRPr="005E20C8" w:rsidTr="004C3D8F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Total </w:t>
            </w:r>
            <w:r w:rsidRPr="00C40912">
              <w:rPr>
                <w:color w:val="000000"/>
                <w:sz w:val="18"/>
                <w:szCs w:val="18"/>
                <w:highlight w:val="yellow"/>
              </w:rPr>
              <w:t>number of subjects with treatment discontinuation due to TEAEs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40912">
              <w:rPr>
                <w:color w:val="000000"/>
                <w:sz w:val="18"/>
                <w:szCs w:val="18"/>
                <w:highlight w:val="green"/>
              </w:rPr>
              <w:t>5 (4.7%)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40912">
              <w:rPr>
                <w:color w:val="000000"/>
                <w:sz w:val="18"/>
                <w:szCs w:val="18"/>
                <w:highlight w:val="yellow"/>
              </w:rPr>
              <w:t>5 (4.0%)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E27A82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E27A82">
              <w:rPr>
                <w:color w:val="000000"/>
                <w:sz w:val="18"/>
                <w:szCs w:val="18"/>
                <w:highlight w:val="cyan"/>
              </w:rPr>
              <w:t>0</w:t>
            </w:r>
          </w:p>
        </w:tc>
      </w:tr>
      <w:tr w:rsidR="00B32F94" w:rsidRPr="005E20C8" w:rsidTr="004C3D8F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Preferred term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32F94" w:rsidRPr="005E20C8" w:rsidTr="004C3D8F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E27A82">
              <w:rPr>
                <w:color w:val="000000"/>
                <w:sz w:val="18"/>
                <w:szCs w:val="18"/>
                <w:highlight w:val="magenta"/>
              </w:rPr>
              <w:t>General Physical Health Deterioration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27A82">
              <w:rPr>
                <w:color w:val="000000"/>
                <w:sz w:val="18"/>
                <w:szCs w:val="18"/>
                <w:highlight w:val="magenta"/>
              </w:rPr>
              <w:t>2</w:t>
            </w:r>
            <w:r w:rsidRPr="00E27A82">
              <w:rPr>
                <w:color w:val="000000"/>
                <w:sz w:val="18"/>
                <w:szCs w:val="18"/>
              </w:rPr>
              <w:t xml:space="preserve"> (1.6%)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B32F94" w:rsidRPr="005E20C8" w:rsidTr="004C3D8F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2F94" w:rsidRPr="00E27A82" w:rsidRDefault="00B32F94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red"/>
              </w:rPr>
            </w:pPr>
            <w:r w:rsidRPr="00E27A82">
              <w:rPr>
                <w:color w:val="000000"/>
                <w:sz w:val="18"/>
                <w:szCs w:val="18"/>
                <w:highlight w:val="red"/>
              </w:rPr>
              <w:t>H1N1 Influenza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27A82">
              <w:rPr>
                <w:color w:val="000000"/>
                <w:sz w:val="18"/>
                <w:szCs w:val="18"/>
                <w:highlight w:val="red"/>
              </w:rPr>
              <w:t>1</w:t>
            </w:r>
            <w:r w:rsidRPr="005E20C8">
              <w:rPr>
                <w:color w:val="000000"/>
                <w:sz w:val="18"/>
                <w:szCs w:val="18"/>
              </w:rPr>
              <w:t xml:space="preserve"> (0.8%)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B32F94" w:rsidRPr="005E20C8" w:rsidTr="004C3D8F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2F94" w:rsidRPr="00E27A82" w:rsidRDefault="00B32F94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red"/>
              </w:rPr>
            </w:pPr>
            <w:r w:rsidRPr="00E27A82">
              <w:rPr>
                <w:color w:val="000000"/>
                <w:sz w:val="18"/>
                <w:szCs w:val="18"/>
                <w:highlight w:val="red"/>
              </w:rPr>
              <w:t>Hypercalcaemia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27A82">
              <w:rPr>
                <w:color w:val="000000"/>
                <w:sz w:val="18"/>
                <w:szCs w:val="18"/>
                <w:highlight w:val="red"/>
              </w:rPr>
              <w:t>1</w:t>
            </w:r>
            <w:r w:rsidRPr="005E20C8">
              <w:rPr>
                <w:color w:val="000000"/>
                <w:sz w:val="18"/>
                <w:szCs w:val="18"/>
              </w:rPr>
              <w:t xml:space="preserve"> (0.8%)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B32F94" w:rsidRPr="005E20C8" w:rsidTr="004C3D8F">
        <w:trPr>
          <w:cantSplit/>
          <w:jc w:val="center"/>
        </w:trPr>
        <w:tc>
          <w:tcPr>
            <w:tcW w:w="11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2F94" w:rsidRPr="00E27A82" w:rsidRDefault="00B32F94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red"/>
              </w:rPr>
            </w:pPr>
            <w:r w:rsidRPr="00E27A82">
              <w:rPr>
                <w:color w:val="000000"/>
                <w:sz w:val="18"/>
                <w:szCs w:val="18"/>
                <w:highlight w:val="red"/>
              </w:rPr>
              <w:t>Spinal Cord Compression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27A82">
              <w:rPr>
                <w:color w:val="000000"/>
                <w:sz w:val="18"/>
                <w:szCs w:val="18"/>
                <w:highlight w:val="red"/>
              </w:rPr>
              <w:t>1</w:t>
            </w:r>
            <w:r w:rsidRPr="005E20C8">
              <w:rPr>
                <w:color w:val="000000"/>
                <w:sz w:val="18"/>
                <w:szCs w:val="18"/>
              </w:rPr>
              <w:t xml:space="preserve"> (0.8%)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32F94" w:rsidRPr="005E20C8" w:rsidRDefault="00B32F94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B32F94" w:rsidRPr="005E20C8" w:rsidTr="004C3D8F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2F94" w:rsidRPr="005E20C8" w:rsidRDefault="00B32F94" w:rsidP="004C3D8F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Keys: TEAE = treatment-emergent adverse event.</w:t>
            </w:r>
            <w:r w:rsidRPr="005E20C8">
              <w:rPr>
                <w:color w:val="000000"/>
                <w:sz w:val="18"/>
                <w:szCs w:val="18"/>
              </w:rPr>
              <w:br/>
              <w:t>Adverse events are reported using MedDRA version 17.0.</w:t>
            </w:r>
            <w:r w:rsidRPr="005E20C8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  <w:r w:rsidRPr="005E20C8">
              <w:rPr>
                <w:color w:val="000000"/>
                <w:sz w:val="18"/>
                <w:szCs w:val="18"/>
              </w:rPr>
              <w:br/>
              <w:t>Adverse events reported as the reason for treatment discontinuation on the end of treatment CRF page are summarized.</w:t>
            </w:r>
          </w:p>
        </w:tc>
      </w:tr>
      <w:tr w:rsidR="00B32F94" w:rsidRPr="005E20C8" w:rsidTr="004C3D8F">
        <w:trPr>
          <w:cantSplit/>
          <w:jc w:val="center"/>
        </w:trPr>
        <w:tc>
          <w:tcPr>
            <w:tcW w:w="5000" w:type="pct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32F94" w:rsidRPr="005E20C8" w:rsidRDefault="00B32F94" w:rsidP="004C3D8F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5E20C8">
              <w:rPr>
                <w:color w:val="000000"/>
                <w:sz w:val="16"/>
                <w:szCs w:val="16"/>
              </w:rPr>
              <w:t>[TSFAE07.rtf] [JNJ-54767414\MMY2002\DBR_CSR\RE_CSR\tsfae07.sas] 13FEB2015, 14:08</w:t>
            </w:r>
          </w:p>
        </w:tc>
      </w:tr>
    </w:tbl>
    <w:p w:rsidR="00B32F94" w:rsidRDefault="00B32F94" w:rsidP="00B32F94">
      <w:pPr>
        <w:pStyle w:val="BodyText12"/>
      </w:pPr>
    </w:p>
    <w:p w:rsidR="000264A9" w:rsidRDefault="000264A9">
      <w:r>
        <w:br w:type="page"/>
      </w:r>
    </w:p>
    <w:p w:rsidR="009B04F6" w:rsidRDefault="009B04F6" w:rsidP="009B04F6">
      <w:pPr>
        <w:pStyle w:val="BodyText12"/>
      </w:pPr>
      <w:r w:rsidRPr="003D2EDC">
        <w:lastRenderedPageBreak/>
        <w:t xml:space="preserve">Treatment-emergent AEs leading to </w:t>
      </w:r>
      <w:r>
        <w:t>a skipped infusion</w:t>
      </w:r>
      <w:r w:rsidRPr="003D2EDC">
        <w:t xml:space="preserve"> by preferred term </w:t>
      </w:r>
      <w:r>
        <w:t>are</w:t>
      </w:r>
      <w:r w:rsidRPr="003D2EDC">
        <w:t xml:space="preserve"> presented in </w:t>
      </w:r>
      <w:r>
        <w:fldChar w:fldCharType="begin"/>
      </w:r>
      <w:r>
        <w:instrText xml:space="preserve"> REF _Ref411935037 \h </w:instrText>
      </w:r>
      <w:r>
        <w:fldChar w:fldCharType="separate"/>
      </w:r>
      <w:r>
        <w:t>Table </w:t>
      </w:r>
      <w:r>
        <w:rPr>
          <w:noProof/>
        </w:rPr>
        <w:t>7</w:t>
      </w:r>
      <w:r>
        <w:fldChar w:fldCharType="end"/>
      </w:r>
      <w:r>
        <w:t xml:space="preserve">. </w:t>
      </w:r>
      <w:r w:rsidRPr="009B04F6">
        <w:rPr>
          <w:highlight w:val="yellow"/>
        </w:rPr>
        <w:t>Skipped infusions due to TEAEs</w:t>
      </w:r>
      <w:r w:rsidRPr="007636FE">
        <w:t xml:space="preserve"> </w:t>
      </w:r>
      <w:r>
        <w:t xml:space="preserve">were reported in </w:t>
      </w:r>
      <w:r w:rsidRPr="009B04F6">
        <w:rPr>
          <w:highlight w:val="yellow"/>
        </w:rPr>
        <w:t>10% of all treated subjects</w:t>
      </w:r>
      <w:r>
        <w:t xml:space="preserve">; </w:t>
      </w:r>
      <w:r w:rsidRPr="009B04F6">
        <w:rPr>
          <w:highlight w:val="green"/>
        </w:rPr>
        <w:t>4 subjects (3%)</w:t>
      </w:r>
      <w:r w:rsidRPr="009E1D01">
        <w:t xml:space="preserve"> had skipped infusions that were considered to be </w:t>
      </w:r>
      <w:r w:rsidRPr="009B04F6">
        <w:rPr>
          <w:highlight w:val="green"/>
        </w:rPr>
        <w:t>related to daratumumab</w:t>
      </w:r>
      <w:r w:rsidRPr="009E1D01">
        <w:t xml:space="preserve">. </w:t>
      </w:r>
      <w:r w:rsidRPr="00A7595F">
        <w:rPr>
          <w:highlight w:val="cyan"/>
        </w:rPr>
        <w:t>The following drug-related TEAEs were reported in 1 subject each (1%) and resulted in a skipped infusion (upper respiratory tract infection, herpes zoster, influenza-like illness, and neutropenia</w:t>
      </w:r>
      <w:r w:rsidRPr="007636FE">
        <w:t>).</w:t>
      </w: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107"/>
        <w:gridCol w:w="1208"/>
        <w:gridCol w:w="1207"/>
        <w:gridCol w:w="1207"/>
        <w:gridCol w:w="1207"/>
        <w:gridCol w:w="1207"/>
        <w:gridCol w:w="1217"/>
      </w:tblGrid>
      <w:tr w:rsidR="009B04F6" w:rsidRPr="005E20C8" w:rsidTr="004C3D8F">
        <w:trPr>
          <w:cantSplit/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pStyle w:val="Caption"/>
              <w:rPr>
                <w:color w:val="000000"/>
              </w:rPr>
            </w:pPr>
            <w:bookmarkStart w:id="12" w:name="_Ref411935037"/>
            <w:bookmarkStart w:id="13" w:name="_Toc419922905"/>
            <w:r>
              <w:t>Table </w:t>
            </w:r>
            <w:fldSimple w:instr=" SEQ Table \* ARABIC ">
              <w:r>
                <w:rPr>
                  <w:noProof/>
                </w:rPr>
                <w:t>7</w:t>
              </w:r>
            </w:fldSimple>
            <w:bookmarkEnd w:id="12"/>
            <w:r>
              <w:t>:</w:t>
            </w:r>
            <w:r w:rsidRPr="005E20C8">
              <w:rPr>
                <w:color w:val="000000"/>
              </w:rPr>
              <w:tab/>
              <w:t>Infusion Skip due to Treatment-emergent Adverse Events by Preferred Term and Relationship; All Treated Analysis Set (Study 54767414MMY2002)</w:t>
            </w:r>
            <w:bookmarkEnd w:id="13"/>
          </w:p>
        </w:tc>
      </w:tr>
      <w:tr w:rsidR="009B04F6" w:rsidRPr="005E20C8" w:rsidTr="004C3D8F">
        <w:trPr>
          <w:cantSplit/>
          <w:tblHeader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16 mg/kg </w:t>
            </w:r>
          </w:p>
        </w:tc>
        <w:tc>
          <w:tcPr>
            <w:tcW w:w="12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B04F6">
              <w:rPr>
                <w:color w:val="000000"/>
                <w:sz w:val="18"/>
                <w:szCs w:val="18"/>
                <w:highlight w:val="yellow"/>
              </w:rPr>
              <w:t>Total</w:t>
            </w:r>
            <w:r w:rsidRPr="005E20C8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B04F6" w:rsidRPr="005E20C8" w:rsidTr="004C3D8F">
        <w:trPr>
          <w:cantSplit/>
          <w:tblHeader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Related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Related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B04F6">
              <w:rPr>
                <w:color w:val="000000"/>
                <w:sz w:val="18"/>
                <w:szCs w:val="18"/>
                <w:highlight w:val="green"/>
              </w:rPr>
              <w:t>Related</w:t>
            </w:r>
            <w:r w:rsidRPr="005E20C8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124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 xml:space="preserve">Total number of subjects with </w:t>
            </w:r>
            <w:r w:rsidRPr="009B04F6">
              <w:rPr>
                <w:color w:val="000000"/>
                <w:sz w:val="18"/>
                <w:szCs w:val="18"/>
                <w:highlight w:val="yellow"/>
              </w:rPr>
              <w:t>infusion skip due to TEAEs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11 (10.4%)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12 (</w:t>
            </w:r>
            <w:r w:rsidRPr="009B04F6">
              <w:rPr>
                <w:color w:val="000000"/>
                <w:sz w:val="18"/>
                <w:szCs w:val="18"/>
                <w:highlight w:val="yellow"/>
              </w:rPr>
              <w:t>9.7%)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B04F6">
              <w:rPr>
                <w:color w:val="000000"/>
                <w:sz w:val="18"/>
                <w:szCs w:val="18"/>
                <w:highlight w:val="green"/>
              </w:rPr>
              <w:t>4 (3.2%)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Preferred term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Hypercalcaemia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7595F">
              <w:rPr>
                <w:color w:val="000000"/>
                <w:sz w:val="18"/>
                <w:szCs w:val="18"/>
                <w:highlight w:val="cyan"/>
              </w:rPr>
              <w:t>Upper Respiratory Tract Infection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595F">
              <w:rPr>
                <w:color w:val="000000"/>
                <w:sz w:val="18"/>
                <w:szCs w:val="18"/>
                <w:highlight w:val="cyan"/>
              </w:rPr>
              <w:t>1</w:t>
            </w:r>
            <w:r w:rsidRPr="005E20C8">
              <w:rPr>
                <w:color w:val="000000"/>
                <w:sz w:val="18"/>
                <w:szCs w:val="18"/>
              </w:rPr>
              <w:t xml:space="preserve"> (0.8%)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Conjunctivitis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Gingival Bleeding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Headache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A7595F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cyan"/>
              </w:rPr>
            </w:pPr>
            <w:r w:rsidRPr="00A7595F">
              <w:rPr>
                <w:color w:val="000000"/>
                <w:sz w:val="18"/>
                <w:szCs w:val="18"/>
                <w:highlight w:val="cyan"/>
              </w:rPr>
              <w:t>Herpes Zoster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595F">
              <w:rPr>
                <w:color w:val="000000"/>
                <w:sz w:val="18"/>
                <w:szCs w:val="18"/>
                <w:highlight w:val="cyan"/>
              </w:rPr>
              <w:t>1</w:t>
            </w:r>
            <w:r w:rsidRPr="005E20C8">
              <w:rPr>
                <w:color w:val="000000"/>
                <w:sz w:val="18"/>
                <w:szCs w:val="18"/>
              </w:rPr>
              <w:t xml:space="preserve"> (0.8%)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A7595F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cyan"/>
              </w:rPr>
            </w:pPr>
            <w:r w:rsidRPr="00A7595F">
              <w:rPr>
                <w:color w:val="000000"/>
                <w:sz w:val="18"/>
                <w:szCs w:val="18"/>
                <w:highlight w:val="cyan"/>
              </w:rPr>
              <w:t>Influenza Like Illness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595F">
              <w:rPr>
                <w:color w:val="000000"/>
                <w:sz w:val="18"/>
                <w:szCs w:val="18"/>
                <w:highlight w:val="cyan"/>
              </w:rPr>
              <w:t>1</w:t>
            </w:r>
            <w:r w:rsidRPr="005E20C8">
              <w:rPr>
                <w:color w:val="000000"/>
                <w:sz w:val="18"/>
                <w:szCs w:val="18"/>
              </w:rPr>
              <w:t xml:space="preserve"> (0.8%)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Lumbar Vertebral Fracture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Musculoskeletal Chest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A7595F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cyan"/>
              </w:rPr>
            </w:pPr>
            <w:r w:rsidRPr="00A7595F">
              <w:rPr>
                <w:color w:val="000000"/>
                <w:sz w:val="18"/>
                <w:szCs w:val="18"/>
                <w:highlight w:val="cyan"/>
              </w:rPr>
              <w:t>Neutropenia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595F">
              <w:rPr>
                <w:color w:val="000000"/>
                <w:sz w:val="18"/>
                <w:szCs w:val="18"/>
                <w:highlight w:val="cyan"/>
              </w:rPr>
              <w:t>1</w:t>
            </w:r>
            <w:r w:rsidRPr="005E20C8">
              <w:rPr>
                <w:color w:val="000000"/>
                <w:sz w:val="18"/>
                <w:szCs w:val="18"/>
              </w:rPr>
              <w:t xml:space="preserve"> (0.8%)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Parainfluenzae Virus Infection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Pneumonia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Pyrexia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Soft Tissue Infection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Spinal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Thrombocytopenia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Urinary Tract Infection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4F6" w:rsidRPr="005E20C8" w:rsidRDefault="009B04F6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0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5E20C8">
              <w:rPr>
                <w:color w:val="000000"/>
                <w:sz w:val="18"/>
                <w:szCs w:val="18"/>
              </w:rPr>
              <w:t>Keys: TEAE = treatment-emergent adverse event.</w:t>
            </w:r>
            <w:r w:rsidRPr="005E20C8">
              <w:rPr>
                <w:color w:val="000000"/>
                <w:sz w:val="18"/>
                <w:szCs w:val="18"/>
              </w:rPr>
              <w:br/>
              <w:t>Adverse events are reported using MedDRA version 17.0.</w:t>
            </w:r>
            <w:r w:rsidRPr="005E20C8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  <w:r w:rsidRPr="005E20C8">
              <w:rPr>
                <w:color w:val="000000"/>
                <w:sz w:val="18"/>
                <w:szCs w:val="18"/>
              </w:rPr>
              <w:br/>
              <w:t>Adverse events reported as the reason for action ‘infusion skipped’ on the Daratumumab infusion CRF page are summarized.</w:t>
            </w:r>
          </w:p>
        </w:tc>
      </w:tr>
      <w:tr w:rsidR="009B04F6" w:rsidRPr="005E20C8" w:rsidTr="004C3D8F">
        <w:trPr>
          <w:cantSplit/>
          <w:jc w:val="center"/>
        </w:trPr>
        <w:tc>
          <w:tcPr>
            <w:tcW w:w="5000" w:type="pct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9B04F6" w:rsidRPr="005E20C8" w:rsidRDefault="009B04F6" w:rsidP="004C3D8F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5E20C8">
              <w:rPr>
                <w:color w:val="000000"/>
                <w:sz w:val="16"/>
                <w:szCs w:val="16"/>
              </w:rPr>
              <w:t>[TSFAE08.rtf] [JNJ-54767414\MMY2002\DBR_CSR\RE_CSR\tsfae08.sas] 13FEB2015, 14:08</w:t>
            </w:r>
          </w:p>
        </w:tc>
      </w:tr>
    </w:tbl>
    <w:p w:rsidR="009522AF" w:rsidRDefault="009522AF" w:rsidP="005B4BDD">
      <w:pPr>
        <w:pStyle w:val="BodyText12"/>
        <w:sectPr w:rsidR="009522AF" w:rsidSect="004C3D8F">
          <w:footnotePr>
            <w:numFmt w:val="lowerLetter"/>
            <w:numRestart w:val="eachPage"/>
          </w:footnotePr>
          <w:endnotePr>
            <w:numFmt w:val="decimal"/>
          </w:endnotePr>
          <w:pgSz w:w="12240" w:h="15840" w:code="1"/>
          <w:pgMar w:top="1152" w:right="1440" w:bottom="1152" w:left="1440" w:header="547" w:footer="720" w:gutter="0"/>
          <w:cols w:space="720"/>
          <w:docGrid w:linePitch="360"/>
        </w:sectPr>
      </w:pPr>
    </w:p>
    <w:p w:rsidR="005B4BDD" w:rsidRPr="0072760A" w:rsidRDefault="005B4BDD" w:rsidP="005B4BDD">
      <w:pPr>
        <w:pStyle w:val="BodyText12"/>
      </w:pPr>
      <w:r w:rsidRPr="0072760A">
        <w:lastRenderedPageBreak/>
        <w:t xml:space="preserve">In the 16 mg/kg group, </w:t>
      </w:r>
      <w:r w:rsidRPr="0033401C">
        <w:rPr>
          <w:highlight w:val="yellow"/>
        </w:rPr>
        <w:t>54 subjects (51%)</w:t>
      </w:r>
      <w:r w:rsidRPr="0072760A">
        <w:t xml:space="preserve"> experienced TEAEs of infections/infestations, which included </w:t>
      </w:r>
      <w:r w:rsidRPr="0033401C">
        <w:rPr>
          <w:highlight w:val="green"/>
        </w:rPr>
        <w:t>19/106 subjects (18%) with upper respiratory tract infections. Eight/106 subjects each (8%) had pneumonia and nasopharyngitis, 7/106 subjects (7%) had sinusitis and 6/106 subjects (6%) had urinary tract infections</w:t>
      </w:r>
      <w:r w:rsidRPr="0072760A">
        <w:t xml:space="preserve"> (</w:t>
      </w:r>
      <w:r w:rsidRPr="0072760A">
        <w:fldChar w:fldCharType="begin"/>
      </w:r>
      <w:r w:rsidRPr="0072760A">
        <w:instrText xml:space="preserve"> REF _Ref417378577 \h </w:instrText>
      </w:r>
      <w:r w:rsidRPr="0072760A">
        <w:fldChar w:fldCharType="separate"/>
      </w:r>
      <w:r>
        <w:t xml:space="preserve">Table </w:t>
      </w:r>
      <w:r>
        <w:rPr>
          <w:noProof/>
        </w:rPr>
        <w:t>8</w:t>
      </w:r>
      <w:r w:rsidRPr="0072760A">
        <w:fldChar w:fldCharType="end"/>
      </w:r>
      <w:r w:rsidRPr="0072760A">
        <w:t xml:space="preserve">). </w:t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170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76"/>
      </w:tblGrid>
      <w:tr w:rsidR="005B4BDD" w:rsidTr="004C3D8F">
        <w:trPr>
          <w:cantSplit/>
          <w:tblHeader/>
          <w:jc w:val="center"/>
        </w:trPr>
        <w:tc>
          <w:tcPr>
            <w:tcW w:w="12840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pStyle w:val="Caption"/>
              <w:rPr>
                <w:b w:val="0"/>
                <w:bCs w:val="0"/>
                <w:color w:val="000000"/>
                <w:szCs w:val="20"/>
              </w:rPr>
            </w:pPr>
            <w:bookmarkStart w:id="14" w:name="_Ref417378577"/>
            <w:bookmarkStart w:id="15" w:name="_Toc419922907"/>
            <w:r>
              <w:t xml:space="preserve">Table </w:t>
            </w:r>
            <w:fldSimple w:instr=" SEQ Table \* ARABIC ">
              <w:r>
                <w:rPr>
                  <w:noProof/>
                </w:rPr>
                <w:t>8</w:t>
              </w:r>
            </w:fldSimple>
            <w:bookmarkEnd w:id="14"/>
            <w:r>
              <w:t>:</w:t>
            </w:r>
            <w:r>
              <w:rPr>
                <w:b w:val="0"/>
                <w:bCs w:val="0"/>
                <w:color w:val="000000"/>
                <w:szCs w:val="20"/>
              </w:rPr>
              <w:tab/>
            </w:r>
            <w:r w:rsidRPr="00900791">
              <w:rPr>
                <w:bCs w:val="0"/>
                <w:color w:val="000000"/>
                <w:szCs w:val="20"/>
              </w:rPr>
              <w:t>Treatment-emergent Adverse Events of Infections/Infestations by Preferred Term and Event Onset Time; All Treated Analysis Set (Study 54767414MMY2002)</w:t>
            </w:r>
            <w:bookmarkEnd w:id="15"/>
          </w:p>
        </w:tc>
      </w:tr>
      <w:tr w:rsidR="005B4BDD" w:rsidTr="004C3D8F">
        <w:trPr>
          <w:cantSplit/>
          <w:tblHeader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5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3401C">
              <w:rPr>
                <w:color w:val="000000"/>
                <w:sz w:val="18"/>
                <w:szCs w:val="18"/>
                <w:highlight w:val="yellow"/>
              </w:rPr>
              <w:t>16 mg/kg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5B4BDD" w:rsidTr="004C3D8F">
        <w:trPr>
          <w:cantSplit/>
          <w:tblHeader/>
          <w:jc w:val="center"/>
        </w:trPr>
        <w:tc>
          <w:tcPr>
            <w:tcW w:w="3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Event Onset Within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Event Onset Within </w:t>
            </w:r>
          </w:p>
        </w:tc>
      </w:tr>
      <w:tr w:rsidR="005B4BDD" w:rsidTr="004C3D8F">
        <w:trPr>
          <w:cantSplit/>
          <w:tblHeader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≤8 Weeks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8 - ≤16 Weeks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16 - ≤24 Weeks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&gt;24 Weeks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≤8 Weeks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8 - ≤16 Weeks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16 - ≤24 Weeks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keepNext/>
              <w:pBdr>
                <w:bottom w:val="single" w:sz="6" w:space="0" w:color="auto"/>
              </w:pBd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&gt;24 Weeks 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number of subjects treated within window</w:t>
            </w:r>
            <w:r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106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Total </w:t>
            </w:r>
            <w:r w:rsidRPr="0033401C">
              <w:rPr>
                <w:color w:val="000000"/>
                <w:sz w:val="18"/>
                <w:szCs w:val="18"/>
                <w:highlight w:val="yellow"/>
              </w:rPr>
              <w:t>number of subjects with TEAE of infections/infestations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(30.0%)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(25.0%)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(25.0%)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3401C">
              <w:rPr>
                <w:color w:val="000000"/>
                <w:sz w:val="18"/>
                <w:szCs w:val="18"/>
                <w:highlight w:val="yellow"/>
              </w:rPr>
              <w:t>54 (50.9%)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 (29.2%)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 (30.4%)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(20.0%)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(35.3%)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Pr="0033401C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Upper Respiratory Tract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(30.0%)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Pr="0033401C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  <w:highlight w:val="green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19 (17.9%)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(9.4%)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(7.6%)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(4.4%)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(14.7%)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Pr="0033401C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Nasopharyngitis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(25.0%)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Pr="0033401C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  <w:highlight w:val="green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8 (7.5%)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(4.4%)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(2.9%)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Pr="0033401C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Pneumonia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Pr="0033401C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  <w:highlight w:val="green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8 (7.5%)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(5.9%)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Pr="0033401C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Sinusitis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Pr="0033401C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  <w:highlight w:val="green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7 (6.6%)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(4.4%)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(5.9%)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Pr="0033401C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Urinary Tract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Pr="0033401C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  <w:highlight w:val="green"/>
              </w:rPr>
            </w:pPr>
            <w:r w:rsidRPr="0033401C">
              <w:rPr>
                <w:color w:val="000000"/>
                <w:sz w:val="18"/>
                <w:szCs w:val="18"/>
                <w:highlight w:val="green"/>
              </w:rPr>
              <w:t>6 (5.7%)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(5.9%)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Bronchitis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(3.8%)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(5.9%)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Influenza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(25.0%)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Lobar Pneumonia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(2.2%)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Candida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Conjunctivitis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(2.2%)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Oral Candidiasis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Parainfluenzae Virus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Soft Tissue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(2.5%)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Cellulitis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Device Related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Ear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(2.2%)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Gastroenteritis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(2.9%)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Gastroenteritis Viral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Genital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H1n1 Influenza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Herpes Zoster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Hordeolum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Lower Respiratory Tract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Mucosal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Ophthalmic Herpes Simplex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Oral Herpes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Paronychia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(2.9%)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Pneumonia Streptococcal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Pyelonephritis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(2.9%)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Respiratory Tract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(2.9%)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Sepsis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(2.2%)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Streptococcal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Tooth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Varicella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(2.2%)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Vulvovaginal Mycotic Infection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(1.3%)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B4BDD" w:rsidRDefault="005B4BDD" w:rsidP="004C3D8F">
            <w:pPr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5B4BDD" w:rsidTr="004C3D8F">
        <w:trPr>
          <w:cantSplit/>
          <w:jc w:val="center"/>
        </w:trPr>
        <w:tc>
          <w:tcPr>
            <w:tcW w:w="128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DD" w:rsidRDefault="005B4BDD" w:rsidP="004C3D8F">
            <w:pPr>
              <w:keepNext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Keys: TEAE = treatment-emergent adverse event.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a</w:t>
            </w:r>
            <w:r>
              <w:rPr>
                <w:color w:val="000000"/>
                <w:sz w:val="18"/>
                <w:szCs w:val="18"/>
              </w:rPr>
              <w:t>Includes subjects either treated or experienced any TEAE in the SOC of infections/infestations within the specific window.</w:t>
            </w:r>
            <w:r>
              <w:rPr>
                <w:color w:val="000000"/>
                <w:sz w:val="18"/>
                <w:szCs w:val="18"/>
              </w:rPr>
              <w:br/>
              <w:t>Adverse events are reported using MedDRA version 17.0.</w:t>
            </w:r>
            <w:r>
              <w:rPr>
                <w:color w:val="000000"/>
                <w:sz w:val="18"/>
                <w:szCs w:val="18"/>
              </w:rPr>
              <w:br/>
              <w:t>Percentages are calculated with the number of subjects treated within each window as denominator.</w:t>
            </w:r>
          </w:p>
        </w:tc>
      </w:tr>
      <w:tr w:rsidR="005B4BDD" w:rsidRPr="003F570D" w:rsidTr="004C3D8F">
        <w:trPr>
          <w:cantSplit/>
          <w:jc w:val="center"/>
        </w:trPr>
        <w:tc>
          <w:tcPr>
            <w:tcW w:w="12840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B4BDD" w:rsidRPr="003F570D" w:rsidRDefault="005B4BDD" w:rsidP="004C3D8F">
            <w:pPr>
              <w:keepNext/>
              <w:adjustRightInd w:val="0"/>
              <w:spacing w:after="67"/>
              <w:rPr>
                <w:sz w:val="16"/>
                <w:szCs w:val="16"/>
              </w:rPr>
            </w:pPr>
            <w:r w:rsidRPr="003F570D">
              <w:rPr>
                <w:sz w:val="16"/>
                <w:szCs w:val="16"/>
              </w:rPr>
              <w:t xml:space="preserve">Modified from </w:t>
            </w:r>
            <w:r w:rsidRPr="003F570D">
              <w:rPr>
                <w:sz w:val="18"/>
                <w:szCs w:val="18"/>
              </w:rPr>
              <w:t>Attachment TSFAE22</w:t>
            </w:r>
          </w:p>
        </w:tc>
      </w:tr>
    </w:tbl>
    <w:p w:rsidR="005B4BDD" w:rsidRDefault="005B4BDD" w:rsidP="005B4BDD">
      <w:pPr>
        <w:pStyle w:val="BodyText12"/>
      </w:pPr>
    </w:p>
    <w:p w:rsidR="005B4BDD" w:rsidRDefault="005B4BDD" w:rsidP="005B4BDD">
      <w:pPr>
        <w:pStyle w:val="BodyText12"/>
      </w:pPr>
    </w:p>
    <w:p w:rsidR="005B4BDD" w:rsidRDefault="005B4BDD"/>
    <w:p w:rsidR="005B4BDD" w:rsidRDefault="005B4BDD"/>
    <w:p w:rsidR="005B4BDD" w:rsidRDefault="005B4BDD">
      <w:pPr>
        <w:sectPr w:rsidR="005B4BDD" w:rsidSect="005B4BDD">
          <w:pgSz w:w="15840" w:h="12240" w:orient="landscape" w:code="1"/>
          <w:pgMar w:top="1440" w:right="1151" w:bottom="1440" w:left="1151" w:header="544" w:footer="720" w:gutter="0"/>
          <w:cols w:space="708"/>
          <w:docGrid w:linePitch="360"/>
        </w:sectPr>
      </w:pPr>
    </w:p>
    <w:p w:rsidR="00D35AAD" w:rsidRDefault="00D35AAD" w:rsidP="004C3D8F">
      <w:pPr>
        <w:pStyle w:val="BodyText12"/>
      </w:pPr>
      <w:r w:rsidRPr="00D35AAD">
        <w:rPr>
          <w:b/>
        </w:rPr>
        <w:lastRenderedPageBreak/>
        <w:t>Find incidence ≥3%</w:t>
      </w:r>
      <w:r>
        <w:rPr>
          <w:b/>
        </w:rPr>
        <w:t xml:space="preserve"> by preferred term</w:t>
      </w:r>
      <w:r w:rsidRPr="00D35AAD">
        <w:rPr>
          <w:b/>
        </w:rPr>
        <w:t>, presenting in a descending order</w:t>
      </w:r>
    </w:p>
    <w:p w:rsidR="004C3D8F" w:rsidRPr="007D1A72" w:rsidRDefault="004C3D8F" w:rsidP="004C3D8F">
      <w:pPr>
        <w:pStyle w:val="BodyText12"/>
      </w:pPr>
      <w:r w:rsidRPr="00AF1ED3">
        <w:t xml:space="preserve">Infusion-related </w:t>
      </w:r>
      <w:r w:rsidRPr="00622FC9">
        <w:t>reactions (</w:t>
      </w:r>
      <w:r w:rsidR="0002249A">
        <w:t xml:space="preserve">IRR </w:t>
      </w:r>
      <w:r w:rsidRPr="00622FC9">
        <w:t>any grade) were reported</w:t>
      </w:r>
      <w:r>
        <w:t xml:space="preserve"> in </w:t>
      </w:r>
      <w:r w:rsidRPr="00D35AAD">
        <w:rPr>
          <w:highlight w:val="yellow"/>
        </w:rPr>
        <w:t>43%</w:t>
      </w:r>
      <w:r w:rsidRPr="00AF1ED3">
        <w:t xml:space="preserve"> of </w:t>
      </w:r>
      <w:r>
        <w:t xml:space="preserve">all treated </w:t>
      </w:r>
      <w:r w:rsidRPr="00AF1ED3">
        <w:t>subjects (</w:t>
      </w:r>
      <w:r>
        <w:fldChar w:fldCharType="begin"/>
      </w:r>
      <w:r>
        <w:instrText xml:space="preserve"> REF _Ref411936856 \h </w:instrText>
      </w:r>
      <w:r>
        <w:fldChar w:fldCharType="separate"/>
      </w:r>
      <w:r>
        <w:t xml:space="preserve">Table </w:t>
      </w:r>
      <w:r>
        <w:rPr>
          <w:noProof/>
        </w:rPr>
        <w:t>9</w:t>
      </w:r>
      <w:r>
        <w:fldChar w:fldCharType="end"/>
      </w:r>
      <w:r w:rsidRPr="00AF1ED3">
        <w:t xml:space="preserve">). </w:t>
      </w:r>
      <w:r w:rsidRPr="00C83AFE">
        <w:rPr>
          <w:highlight w:val="green"/>
        </w:rPr>
        <w:t xml:space="preserve">The most frequently reported IRRs were nasal congestion (11%), chills (9%), cough (7%), throat irritation, dyspnea and vomiting (6% each), nausea (4%) and bronchospasm (3%). </w:t>
      </w:r>
      <w:r w:rsidRPr="00C83AFE">
        <w:t>All other IRRs were reported in ≤3 subjects (2%).</w:t>
      </w:r>
      <w:r w:rsidRPr="007D1A72">
        <w:t xml:space="preserve"> </w:t>
      </w:r>
      <w:r w:rsidRPr="00936CEC">
        <w:rPr>
          <w:highlight w:val="cyan"/>
        </w:rPr>
        <w:t>Six percent (6%) of all treated subjects had Grade 3</w:t>
      </w:r>
      <w:r w:rsidR="00344B25">
        <w:rPr>
          <w:highlight w:val="cyan"/>
        </w:rPr>
        <w:t xml:space="preserve"> or 4</w:t>
      </w:r>
      <w:r w:rsidRPr="00936CEC">
        <w:rPr>
          <w:highlight w:val="cyan"/>
        </w:rPr>
        <w:t xml:space="preserve"> IRRs</w:t>
      </w:r>
      <w:r w:rsidRPr="007D1A72">
        <w:t xml:space="preserve">; bronchospasm and hypertension (each reported in 2%) and anemia, dyspnea, chills, hypertension, and cytokine release syndrome (reported in 1% each). </w:t>
      </w: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105"/>
        <w:gridCol w:w="1208"/>
        <w:gridCol w:w="1207"/>
        <w:gridCol w:w="1207"/>
        <w:gridCol w:w="1207"/>
        <w:gridCol w:w="1207"/>
        <w:gridCol w:w="1219"/>
      </w:tblGrid>
      <w:tr w:rsidR="004C3D8F" w:rsidRPr="00A10775" w:rsidTr="004C3D8F">
        <w:trPr>
          <w:cantSplit/>
          <w:tblHeader/>
          <w:jc w:val="center"/>
        </w:trPr>
        <w:tc>
          <w:tcPr>
            <w:tcW w:w="5000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pStyle w:val="Caption"/>
              <w:keepLines/>
              <w:rPr>
                <w:color w:val="000000"/>
              </w:rPr>
            </w:pPr>
            <w:bookmarkStart w:id="16" w:name="_Ref411936856"/>
            <w:bookmarkStart w:id="17" w:name="_Toc419922908"/>
            <w:r>
              <w:t xml:space="preserve">Table </w:t>
            </w:r>
            <w:fldSimple w:instr=" SEQ Table \* ARABIC ">
              <w:r>
                <w:rPr>
                  <w:noProof/>
                </w:rPr>
                <w:t>9</w:t>
              </w:r>
            </w:fldSimple>
            <w:bookmarkEnd w:id="16"/>
            <w:r>
              <w:t>:</w:t>
            </w:r>
            <w:r w:rsidRPr="00A10775">
              <w:rPr>
                <w:color w:val="000000"/>
              </w:rPr>
              <w:tab/>
            </w:r>
            <w:r w:rsidRPr="00557519">
              <w:rPr>
                <w:color w:val="000000"/>
                <w:highlight w:val="yellow"/>
              </w:rPr>
              <w:t>Infusion Related Reactio</w:t>
            </w:r>
            <w:r w:rsidRPr="00A10775">
              <w:rPr>
                <w:color w:val="000000"/>
              </w:rPr>
              <w:t>ns by System Organ Class, Preferred Term and Grade 3/4; All Treated Analysis Set (Study 54767414MMY2002)</w:t>
            </w:r>
            <w:bookmarkEnd w:id="17"/>
          </w:p>
        </w:tc>
      </w:tr>
      <w:tr w:rsidR="004C3D8F" w:rsidRPr="00A10775" w:rsidTr="004C3D8F">
        <w:trPr>
          <w:cantSplit/>
          <w:tblHeader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 xml:space="preserve">16 mg/kg </w:t>
            </w:r>
          </w:p>
        </w:tc>
        <w:tc>
          <w:tcPr>
            <w:tcW w:w="12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5AAD">
              <w:rPr>
                <w:color w:val="000000"/>
                <w:sz w:val="18"/>
                <w:szCs w:val="18"/>
                <w:highlight w:val="yellow"/>
              </w:rPr>
              <w:t>Total</w:t>
            </w:r>
            <w:r w:rsidRPr="00A10775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4C3D8F" w:rsidRPr="00A10775" w:rsidTr="004C3D8F">
        <w:trPr>
          <w:cantSplit/>
          <w:tblHeader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 xml:space="preserve">Grade 3 or 4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 xml:space="preserve">Grade 3 or 4 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 xml:space="preserve">Any Grade 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36CEC">
              <w:rPr>
                <w:color w:val="000000"/>
                <w:sz w:val="18"/>
                <w:szCs w:val="18"/>
                <w:highlight w:val="cyan"/>
              </w:rPr>
              <w:t>Grade 3 or 4</w:t>
            </w:r>
            <w:r w:rsidRPr="00A10775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 xml:space="preserve">Total </w:t>
            </w:r>
            <w:r w:rsidRPr="00D35AAD">
              <w:rPr>
                <w:color w:val="000000"/>
                <w:sz w:val="18"/>
                <w:szCs w:val="18"/>
                <w:highlight w:val="yellow"/>
              </w:rPr>
              <w:t>number of subjects with infusion related reactions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45 (42.5%)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53 (</w:t>
            </w:r>
            <w:r w:rsidRPr="00D35AAD">
              <w:rPr>
                <w:color w:val="000000"/>
                <w:sz w:val="18"/>
                <w:szCs w:val="18"/>
                <w:highlight w:val="yellow"/>
              </w:rPr>
              <w:t>42.7%)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7 (</w:t>
            </w:r>
            <w:r w:rsidRPr="00936CEC">
              <w:rPr>
                <w:color w:val="000000"/>
                <w:sz w:val="18"/>
                <w:szCs w:val="18"/>
                <w:highlight w:val="cyan"/>
              </w:rPr>
              <w:t>5.6%)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MedDRA system organ class/Preferred term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28 (26.4%)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32 (25.8%)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D35AAD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D35AAD">
              <w:rPr>
                <w:color w:val="000000"/>
                <w:sz w:val="18"/>
                <w:szCs w:val="18"/>
                <w:highlight w:val="green"/>
              </w:rPr>
              <w:t>Nasal Congestion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13 (12.3%)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14 (</w:t>
            </w:r>
            <w:r w:rsidRPr="00D35AAD">
              <w:rPr>
                <w:color w:val="000000"/>
                <w:sz w:val="18"/>
                <w:szCs w:val="18"/>
                <w:highlight w:val="green"/>
              </w:rPr>
              <w:t>11.3%)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D35AAD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D35AAD">
              <w:rPr>
                <w:color w:val="000000"/>
                <w:sz w:val="18"/>
                <w:szCs w:val="18"/>
                <w:highlight w:val="green"/>
              </w:rPr>
              <w:t>Cough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6 (5.7%)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9 (</w:t>
            </w:r>
            <w:r w:rsidRPr="00D35AAD">
              <w:rPr>
                <w:color w:val="000000"/>
                <w:sz w:val="18"/>
                <w:szCs w:val="18"/>
                <w:highlight w:val="green"/>
              </w:rPr>
              <w:t>7.3%)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D35AAD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D35AAD">
              <w:rPr>
                <w:color w:val="000000"/>
                <w:sz w:val="18"/>
                <w:szCs w:val="18"/>
                <w:highlight w:val="green"/>
              </w:rPr>
              <w:t>Dyspnoea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6 (5.7%)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7 (</w:t>
            </w:r>
            <w:r w:rsidRPr="00D35AAD">
              <w:rPr>
                <w:color w:val="000000"/>
                <w:sz w:val="18"/>
                <w:szCs w:val="18"/>
                <w:highlight w:val="green"/>
              </w:rPr>
              <w:t>5.6%)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4C3D8F" w:rsidRPr="00A10775" w:rsidTr="004C3D8F">
        <w:trPr>
          <w:cantSplit/>
          <w:trHeight w:val="234"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D35AAD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D35AAD">
              <w:rPr>
                <w:color w:val="000000"/>
                <w:sz w:val="18"/>
                <w:szCs w:val="18"/>
                <w:highlight w:val="green"/>
              </w:rPr>
              <w:t>Throat Irritation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7 (6.6%)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7 (</w:t>
            </w:r>
            <w:r w:rsidRPr="00D35AAD">
              <w:rPr>
                <w:color w:val="000000"/>
                <w:sz w:val="18"/>
                <w:szCs w:val="18"/>
                <w:highlight w:val="green"/>
              </w:rPr>
              <w:t>5.6%)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D35AAD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D35AAD">
              <w:rPr>
                <w:color w:val="000000"/>
                <w:sz w:val="18"/>
                <w:szCs w:val="18"/>
                <w:highlight w:val="green"/>
              </w:rPr>
              <w:t>Bronchospasm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4 (</w:t>
            </w:r>
            <w:r w:rsidRPr="00D35AAD">
              <w:rPr>
                <w:color w:val="000000"/>
                <w:sz w:val="18"/>
                <w:szCs w:val="18"/>
                <w:highlight w:val="green"/>
              </w:rPr>
              <w:t>3.2%)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Wheezing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3 (2.4%)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Sneezing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Laryngeal Oedema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Oropharyngeal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11 (10.4%)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17 (13.7%)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35AAD">
              <w:rPr>
                <w:color w:val="000000"/>
                <w:sz w:val="18"/>
                <w:szCs w:val="18"/>
                <w:highlight w:val="green"/>
              </w:rPr>
              <w:t>Chills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5 (27.8%)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6 (5.7%)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 xml:space="preserve">11 </w:t>
            </w:r>
            <w:r w:rsidRPr="00D35AAD">
              <w:rPr>
                <w:color w:val="000000"/>
                <w:sz w:val="18"/>
                <w:szCs w:val="18"/>
                <w:highlight w:val="green"/>
              </w:rPr>
              <w:t>(8.9%)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Chest Discomfort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Pyrexia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Chest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Fatigue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Infusion Site Bruising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Non-Cardiac Chest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8 (7.5%)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9 (7.3%)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35AAD">
              <w:rPr>
                <w:color w:val="000000"/>
                <w:sz w:val="18"/>
                <w:szCs w:val="18"/>
                <w:highlight w:val="green"/>
              </w:rPr>
              <w:t>Vomiting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6 (5.7%)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7 (</w:t>
            </w:r>
            <w:r w:rsidRPr="00D35AAD">
              <w:rPr>
                <w:color w:val="000000"/>
                <w:sz w:val="18"/>
                <w:szCs w:val="18"/>
                <w:highlight w:val="green"/>
              </w:rPr>
              <w:t>5.6%)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D35AAD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D35AAD">
              <w:rPr>
                <w:color w:val="000000"/>
                <w:sz w:val="18"/>
                <w:szCs w:val="18"/>
                <w:highlight w:val="green"/>
              </w:rPr>
              <w:t>Nausea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5 (</w:t>
            </w:r>
            <w:r w:rsidRPr="00D35AAD">
              <w:rPr>
                <w:color w:val="000000"/>
                <w:sz w:val="18"/>
                <w:szCs w:val="18"/>
                <w:highlight w:val="green"/>
              </w:rPr>
              <w:t>4.0%)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Diarrhoea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Paraesthesia Oral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Skin And Subcutaneous Tissue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6 (4.8%)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Pruritus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3 (2.4%)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Rash Macular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Urticaria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Rash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Eye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4 (3.2%)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Eye Pruritus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Cataract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Vision Blurred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lastRenderedPageBreak/>
              <w:t>Musculoskeletal And Connective Tissue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4 (3.2%)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Back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Flank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Groin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Musculoskeletal Pain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3 (2.4%)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Anaemia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Red Blood Cell Agglutination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3 (2.4%)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Tachycardia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Palpitations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3 (2.4%)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Hypotension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Immune System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Cytokine Release Syndrome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Seasonal Allergy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Headache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2 (1.6%)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Psychiatric Disorders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Anxiety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1 (0.8%)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3D8F" w:rsidRPr="00A10775" w:rsidRDefault="004C3D8F" w:rsidP="004C3D8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A10775">
              <w:rPr>
                <w:color w:val="000000"/>
                <w:sz w:val="18"/>
                <w:szCs w:val="18"/>
              </w:rPr>
              <w:t>Adverse events are reported using MedDRA version 17.0.</w:t>
            </w:r>
            <w:r w:rsidRPr="00A10775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4C3D8F" w:rsidRPr="00A10775" w:rsidTr="004C3D8F">
        <w:trPr>
          <w:cantSplit/>
          <w:jc w:val="center"/>
        </w:trPr>
        <w:tc>
          <w:tcPr>
            <w:tcW w:w="5000" w:type="pct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C3D8F" w:rsidRPr="00A10775" w:rsidRDefault="004C3D8F" w:rsidP="004C3D8F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A10775">
              <w:rPr>
                <w:color w:val="000000"/>
                <w:sz w:val="16"/>
                <w:szCs w:val="16"/>
              </w:rPr>
              <w:t>[TSFAE20.rtf] [JNJ-54767414\MMY2002\DBR_CSR\RE_CSR\tsfae20.sas] 13FEB2015, 14:09</w:t>
            </w:r>
          </w:p>
        </w:tc>
      </w:tr>
    </w:tbl>
    <w:p w:rsidR="00717BA5" w:rsidRDefault="00717BA5">
      <w:r>
        <w:br w:type="page"/>
      </w:r>
    </w:p>
    <w:p w:rsidR="007566B6" w:rsidRDefault="007566B6" w:rsidP="007566B6">
      <w:pPr>
        <w:pStyle w:val="BodyText12"/>
      </w:pPr>
      <w:r w:rsidRPr="004B5401">
        <w:lastRenderedPageBreak/>
        <w:t xml:space="preserve">The duration of </w:t>
      </w:r>
      <w:r>
        <w:t xml:space="preserve">daratumumab </w:t>
      </w:r>
      <w:r w:rsidRPr="004B5401">
        <w:t>infusions for the first</w:t>
      </w:r>
      <w:r>
        <w:t xml:space="preserve"> infusion</w:t>
      </w:r>
      <w:r w:rsidRPr="004B5401">
        <w:t>, second</w:t>
      </w:r>
      <w:r>
        <w:t xml:space="preserve"> infusion,</w:t>
      </w:r>
      <w:r w:rsidRPr="004B5401">
        <w:t xml:space="preserve"> and all subsequent infusion</w:t>
      </w:r>
      <w:r>
        <w:t>s</w:t>
      </w:r>
      <w:r w:rsidRPr="004B5401">
        <w:t xml:space="preserve"> is presented in </w:t>
      </w:r>
      <w:r>
        <w:fldChar w:fldCharType="begin"/>
      </w:r>
      <w:r>
        <w:instrText xml:space="preserve"> REF _Ref411696245 \h </w:instrText>
      </w:r>
      <w:r>
        <w:fldChar w:fldCharType="separate"/>
      </w:r>
      <w:r>
        <w:t xml:space="preserve">Table </w:t>
      </w:r>
      <w:r>
        <w:rPr>
          <w:noProof/>
        </w:rPr>
        <w:t>10</w:t>
      </w:r>
      <w:r>
        <w:fldChar w:fldCharType="end"/>
      </w:r>
      <w:r w:rsidRPr="00E5765A">
        <w:t xml:space="preserve">. For the </w:t>
      </w:r>
      <w:r w:rsidRPr="00AB752B">
        <w:rPr>
          <w:highlight w:val="yellow"/>
        </w:rPr>
        <w:t>16 mg/kg group</w:t>
      </w:r>
      <w:r>
        <w:t>,</w:t>
      </w:r>
      <w:r w:rsidRPr="00E5765A">
        <w:t xml:space="preserve"> the </w:t>
      </w:r>
      <w:r w:rsidRPr="00AB752B">
        <w:rPr>
          <w:highlight w:val="yellow"/>
        </w:rPr>
        <w:t>median duration of infusion</w:t>
      </w:r>
      <w:r w:rsidRPr="00E5765A">
        <w:t xml:space="preserve"> decreased with subsequent infusions, ie, the </w:t>
      </w:r>
      <w:r w:rsidRPr="00AB752B">
        <w:rPr>
          <w:highlight w:val="yellow"/>
        </w:rPr>
        <w:t>first infusion was 7.0 hours</w:t>
      </w:r>
      <w:r w:rsidRPr="007D2E28">
        <w:t xml:space="preserve">, compared with </w:t>
      </w:r>
      <w:r w:rsidRPr="00AB752B">
        <w:rPr>
          <w:highlight w:val="yellow"/>
        </w:rPr>
        <w:t>4.2 hours for the second</w:t>
      </w:r>
      <w:r w:rsidRPr="007D2E28">
        <w:t xml:space="preserve">, and </w:t>
      </w:r>
      <w:r w:rsidRPr="00AB752B">
        <w:rPr>
          <w:highlight w:val="yellow"/>
        </w:rPr>
        <w:t>3.4 for all subsequent infusions</w:t>
      </w:r>
      <w:r w:rsidRPr="007D2E28">
        <w:t xml:space="preserve">. One subject (Subject 100039) had an infusion stopped due to an IRR of exacerbated hypertension. </w:t>
      </w:r>
    </w:p>
    <w:p w:rsidR="007566B6" w:rsidRPr="003F570D" w:rsidRDefault="007566B6" w:rsidP="007566B6">
      <w:pPr>
        <w:pStyle w:val="Basic11"/>
      </w:pP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890"/>
        <w:gridCol w:w="2112"/>
        <w:gridCol w:w="2112"/>
        <w:gridCol w:w="2122"/>
      </w:tblGrid>
      <w:tr w:rsidR="007566B6" w:rsidRPr="00927E54" w:rsidTr="000C43D8">
        <w:trPr>
          <w:cantSplit/>
          <w:tblHeader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pStyle w:val="Caption"/>
              <w:rPr>
                <w:color w:val="000000"/>
              </w:rPr>
            </w:pPr>
            <w:bookmarkStart w:id="18" w:name="_Ref411696245"/>
            <w:bookmarkStart w:id="19" w:name="_Toc419922911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bookmarkEnd w:id="18"/>
            <w:r>
              <w:t>:</w:t>
            </w:r>
            <w:r w:rsidRPr="00927E54">
              <w:rPr>
                <w:color w:val="000000"/>
              </w:rPr>
              <w:tab/>
              <w:t>Duration of Daratumumab Infusions; All Treated Analysis Set (Study 54767414MMY2002)</w:t>
            </w:r>
            <w:bookmarkEnd w:id="19"/>
          </w:p>
        </w:tc>
      </w:tr>
      <w:tr w:rsidR="007566B6" w:rsidRPr="00927E54" w:rsidTr="000C43D8">
        <w:trPr>
          <w:cantSplit/>
          <w:tblHeader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B752B">
              <w:rPr>
                <w:color w:val="000000"/>
                <w:sz w:val="18"/>
                <w:szCs w:val="18"/>
                <w:highlight w:val="yellow"/>
              </w:rPr>
              <w:t>16 mg/kg</w:t>
            </w:r>
            <w:r w:rsidRPr="00927E5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AB752B" w:rsidRDefault="007566B6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yellow"/>
              </w:rPr>
            </w:pPr>
            <w:r w:rsidRPr="00AB752B">
              <w:rPr>
                <w:color w:val="000000"/>
                <w:sz w:val="18"/>
                <w:szCs w:val="18"/>
                <w:highlight w:val="yellow"/>
              </w:rPr>
              <w:t>Duration of infusions (hours)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First infusion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8.16 (3.959)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7.34 (1.602)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7.46 (2.108)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AB752B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yellow"/>
              </w:rPr>
            </w:pPr>
            <w:r w:rsidRPr="00AB752B">
              <w:rPr>
                <w:color w:val="000000"/>
                <w:sz w:val="18"/>
                <w:szCs w:val="18"/>
                <w:highlight w:val="yellow"/>
              </w:rPr>
              <w:t>Median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7.02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B752B">
              <w:rPr>
                <w:color w:val="000000"/>
                <w:sz w:val="18"/>
                <w:szCs w:val="18"/>
                <w:highlight w:val="yellow"/>
              </w:rPr>
              <w:t>6.96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6.96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(5.3; 23.5)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(1.5; 14.3)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(1.5; 23.5)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Second infusion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103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119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4.95 (1.852)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4.86 (1.309)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4.87 (1.385)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B752B">
              <w:rPr>
                <w:color w:val="000000"/>
                <w:sz w:val="18"/>
                <w:szCs w:val="18"/>
                <w:highlight w:val="yellow"/>
              </w:rPr>
              <w:t>Median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4.10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B752B">
              <w:rPr>
                <w:color w:val="000000"/>
                <w:sz w:val="18"/>
                <w:szCs w:val="18"/>
                <w:highlight w:val="yellow"/>
              </w:rPr>
              <w:t>4.23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4.22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(2.4; 8.8)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(2.7; 8.5)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(2.4; 8.8)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B752B">
              <w:rPr>
                <w:color w:val="000000"/>
                <w:sz w:val="18"/>
                <w:szCs w:val="18"/>
                <w:highlight w:val="yellow"/>
              </w:rPr>
              <w:t>All subsequent infusions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58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1105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1163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3.69 (0.530)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3.49 (0.391)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3.50 (0.401)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AB752B">
              <w:rPr>
                <w:color w:val="000000"/>
                <w:sz w:val="18"/>
                <w:szCs w:val="18"/>
                <w:highlight w:val="yellow"/>
              </w:rPr>
              <w:t>Median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3.54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B752B">
              <w:rPr>
                <w:color w:val="000000"/>
                <w:sz w:val="18"/>
                <w:szCs w:val="18"/>
                <w:highlight w:val="yellow"/>
              </w:rPr>
              <w:t>3.42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3.42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(2.8; 6.2)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(1.1; 6.7)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566B6" w:rsidRPr="00927E54" w:rsidRDefault="007566B6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(1.1; 6.7)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9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927E54">
              <w:rPr>
                <w:color w:val="000000"/>
                <w:sz w:val="18"/>
                <w:szCs w:val="18"/>
              </w:rPr>
              <w:t>Note: Duration of infusion includes both actual infusion time and interruption time, if any.</w:t>
            </w:r>
          </w:p>
        </w:tc>
      </w:tr>
      <w:tr w:rsidR="007566B6" w:rsidRPr="00927E54" w:rsidTr="000C43D8">
        <w:trPr>
          <w:cantSplit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566B6" w:rsidRPr="00927E54" w:rsidRDefault="007566B6" w:rsidP="000C43D8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927E54">
              <w:rPr>
                <w:color w:val="000000"/>
                <w:sz w:val="16"/>
                <w:szCs w:val="16"/>
              </w:rPr>
              <w:t>[TSIEXP04.rtf] [JNJ-54767414\MMY2002\DBR_CSR\RE_CSR\tsiexp04.sas] 13FEB2015, 14:07</w:t>
            </w:r>
          </w:p>
        </w:tc>
      </w:tr>
    </w:tbl>
    <w:p w:rsidR="006F42D0" w:rsidRDefault="006F42D0">
      <w:pPr>
        <w:sectPr w:rsidR="006F42D0" w:rsidSect="009062A2">
          <w:pgSz w:w="12240" w:h="15840" w:code="1"/>
          <w:pgMar w:top="1151" w:right="1440" w:bottom="1151" w:left="1440" w:header="544" w:footer="720" w:gutter="0"/>
          <w:cols w:space="708"/>
          <w:docGrid w:linePitch="360"/>
        </w:sectPr>
      </w:pPr>
      <w:bookmarkStart w:id="20" w:name="_GoBack"/>
      <w:bookmarkEnd w:id="20"/>
    </w:p>
    <w:p w:rsidR="006F42D0" w:rsidRDefault="006F42D0" w:rsidP="00A17A42">
      <w:pPr>
        <w:pStyle w:val="BodyText12"/>
      </w:pPr>
    </w:p>
    <w:sectPr w:rsidR="006F42D0" w:rsidSect="006F42D0">
      <w:pgSz w:w="15840" w:h="12240" w:orient="landscape" w:code="1"/>
      <w:pgMar w:top="1440" w:right="1151" w:bottom="1440" w:left="1151" w:header="5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240" w:rsidRDefault="00E06240" w:rsidP="00DF0EF1">
      <w:r>
        <w:separator/>
      </w:r>
    </w:p>
  </w:endnote>
  <w:endnote w:type="continuationSeparator" w:id="0">
    <w:p w:rsidR="00E06240" w:rsidRDefault="00E06240" w:rsidP="00DF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240" w:rsidRDefault="00E06240" w:rsidP="00DF0EF1">
      <w:r>
        <w:separator/>
      </w:r>
    </w:p>
  </w:footnote>
  <w:footnote w:type="continuationSeparator" w:id="0">
    <w:p w:rsidR="00E06240" w:rsidRDefault="00E06240" w:rsidP="00DF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A1ABE"/>
    <w:multiLevelType w:val="singleLevel"/>
    <w:tmpl w:val="B686D922"/>
    <w:lvl w:ilvl="0">
      <w:start w:val="1"/>
      <w:numFmt w:val="bullet"/>
      <w:pStyle w:val="Bullet12-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CD"/>
    <w:rsid w:val="0002249A"/>
    <w:rsid w:val="000264A9"/>
    <w:rsid w:val="000B2515"/>
    <w:rsid w:val="000B6A84"/>
    <w:rsid w:val="000E01B2"/>
    <w:rsid w:val="00140B50"/>
    <w:rsid w:val="00164173"/>
    <w:rsid w:val="00224287"/>
    <w:rsid w:val="002A08D8"/>
    <w:rsid w:val="003319F9"/>
    <w:rsid w:val="0033401C"/>
    <w:rsid w:val="00344B25"/>
    <w:rsid w:val="003D7EC1"/>
    <w:rsid w:val="00457C12"/>
    <w:rsid w:val="004C3D8F"/>
    <w:rsid w:val="004D48D1"/>
    <w:rsid w:val="004F68F6"/>
    <w:rsid w:val="00505030"/>
    <w:rsid w:val="00537AA8"/>
    <w:rsid w:val="00557519"/>
    <w:rsid w:val="005722CF"/>
    <w:rsid w:val="00592FF4"/>
    <w:rsid w:val="005B4BDD"/>
    <w:rsid w:val="00654367"/>
    <w:rsid w:val="006F42D0"/>
    <w:rsid w:val="00717BA5"/>
    <w:rsid w:val="007566B6"/>
    <w:rsid w:val="00763EE6"/>
    <w:rsid w:val="007D2441"/>
    <w:rsid w:val="007D43E2"/>
    <w:rsid w:val="00892C0F"/>
    <w:rsid w:val="009062A2"/>
    <w:rsid w:val="00927BF3"/>
    <w:rsid w:val="00936CEC"/>
    <w:rsid w:val="009522AF"/>
    <w:rsid w:val="00970FE3"/>
    <w:rsid w:val="00972C46"/>
    <w:rsid w:val="009B04F6"/>
    <w:rsid w:val="009D2526"/>
    <w:rsid w:val="00A17A42"/>
    <w:rsid w:val="00A33A87"/>
    <w:rsid w:val="00A7595F"/>
    <w:rsid w:val="00A80941"/>
    <w:rsid w:val="00A95F49"/>
    <w:rsid w:val="00AB3A36"/>
    <w:rsid w:val="00AB752B"/>
    <w:rsid w:val="00AC4D19"/>
    <w:rsid w:val="00B062A4"/>
    <w:rsid w:val="00B32F94"/>
    <w:rsid w:val="00B6373E"/>
    <w:rsid w:val="00BC402F"/>
    <w:rsid w:val="00BC58C8"/>
    <w:rsid w:val="00BF5F7F"/>
    <w:rsid w:val="00BF6647"/>
    <w:rsid w:val="00C40912"/>
    <w:rsid w:val="00C45167"/>
    <w:rsid w:val="00C83AFE"/>
    <w:rsid w:val="00C87EF7"/>
    <w:rsid w:val="00CA6DFF"/>
    <w:rsid w:val="00CD0114"/>
    <w:rsid w:val="00CE404A"/>
    <w:rsid w:val="00D35AAD"/>
    <w:rsid w:val="00D53253"/>
    <w:rsid w:val="00DC2CCD"/>
    <w:rsid w:val="00DF0EF1"/>
    <w:rsid w:val="00E06240"/>
    <w:rsid w:val="00E1336C"/>
    <w:rsid w:val="00E27A82"/>
    <w:rsid w:val="00E52963"/>
    <w:rsid w:val="00E535DB"/>
    <w:rsid w:val="00EC55F2"/>
    <w:rsid w:val="00F12E1B"/>
    <w:rsid w:val="00F6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A9C73"/>
  <w15:chartTrackingRefBased/>
  <w15:docId w15:val="{160DD36C-43C6-4AF1-9DC3-BAB23763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3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E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EF1"/>
  </w:style>
  <w:style w:type="paragraph" w:styleId="Footer">
    <w:name w:val="footer"/>
    <w:basedOn w:val="Normal"/>
    <w:link w:val="FooterChar"/>
    <w:uiPriority w:val="99"/>
    <w:unhideWhenUsed/>
    <w:rsid w:val="00DF0E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EF1"/>
  </w:style>
  <w:style w:type="paragraph" w:customStyle="1" w:styleId="BodyText12">
    <w:name w:val="Body Text 12"/>
    <w:link w:val="BodyText12Char"/>
    <w:qFormat/>
    <w:rsid w:val="00E1336C"/>
    <w:pPr>
      <w:spacing w:after="24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Basic11">
    <w:name w:val="Basic 11"/>
    <w:qFormat/>
    <w:rsid w:val="00E1336C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Bullet12-1">
    <w:name w:val="Bullet 12-1"/>
    <w:qFormat/>
    <w:rsid w:val="00E1336C"/>
    <w:pPr>
      <w:numPr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Caption">
    <w:name w:val="caption"/>
    <w:next w:val="Normal"/>
    <w:uiPriority w:val="99"/>
    <w:qFormat/>
    <w:rsid w:val="00E1336C"/>
    <w:pPr>
      <w:keepNext/>
      <w:tabs>
        <w:tab w:val="left" w:pos="1152"/>
      </w:tabs>
      <w:spacing w:before="60" w:after="60" w:line="240" w:lineRule="auto"/>
      <w:ind w:left="1152" w:hanging="1152"/>
    </w:pPr>
    <w:rPr>
      <w:rFonts w:ascii="Times New Roman" w:eastAsia="Times New Roman" w:hAnsi="Times New Roman" w:cs="Times New Roman"/>
      <w:b/>
      <w:bCs/>
      <w:sz w:val="20"/>
      <w:szCs w:val="18"/>
      <w:lang w:eastAsia="en-US"/>
    </w:rPr>
  </w:style>
  <w:style w:type="character" w:customStyle="1" w:styleId="BodyText12Char">
    <w:name w:val="Body Text 12 Char"/>
    <w:basedOn w:val="DefaultParagraphFont"/>
    <w:link w:val="BodyText12"/>
    <w:locked/>
    <w:rsid w:val="00E1336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rsid w:val="003319F9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3775</Words>
  <Characters>21519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Ling [JRDCN]</dc:creator>
  <cp:keywords/>
  <dc:description/>
  <cp:lastModifiedBy>Yu, Ling [JRDCN]</cp:lastModifiedBy>
  <cp:revision>63</cp:revision>
  <dcterms:created xsi:type="dcterms:W3CDTF">2018-01-08T05:46:00Z</dcterms:created>
  <dcterms:modified xsi:type="dcterms:W3CDTF">2018-01-08T06:49:00Z</dcterms:modified>
</cp:coreProperties>
</file>