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footer+xml" PartName="/word/foot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200"/>
        <w:jc w:val="center"/>
      </w:pPr>
      <w:r>
        <w:rPr>
          <w:rFonts w:ascii="Cambria" w:cs="Cambria" w:eastAsia="Cambria" w:hAnsi="Cambria"/>
          <w:b/>
          <w:bCs/>
          <w:color w:val="1B3A5C"/>
          <w:sz w:val="26"/>
          <w:szCs w:val="26"/>
        </w:rPr>
        <w:t xml:space="preserve">JAWAHARLAL NEHRU TECHNOLOGICAL UNIVERSITY HYDERABAD</w:t>
      </w:r>
    </w:p>
    <w:p>
      <w:pPr>
        <w:spacing w:after="40"/>
        <w:jc w:val="center"/>
      </w:pPr>
      <w:r>
        <w:rPr>
          <w:rFonts w:ascii="Cambria" w:cs="Cambria" w:eastAsia="Cambria" w:hAnsi="Cambria"/>
          <w:i/>
          <w:iCs/>
          <w:color w:val="1F7A6C"/>
          <w:sz w:val="22"/>
          <w:szCs w:val="22"/>
        </w:rPr>
        <w:t xml:space="preserve">Centre for Environment</w:t>
      </w:r>
    </w:p>
    <w:p>
      <w:pPr>
        <w:spacing w:after="360"/>
        <w:jc w:val="center"/>
      </w:pPr>
      <w:r>
        <w:rPr>
          <w:rFonts w:ascii="Calibri" w:cs="Calibri" w:eastAsia="Calibri" w:hAnsi="Calibri"/>
          <w:color w:val="3B3B3B"/>
          <w:sz w:val="20"/>
          <w:szCs w:val="20"/>
        </w:rPr>
        <w:t xml:space="preserve">Department of Geo-Informatics</w:t>
      </w:r>
    </w:p>
    <w:p>
      <w:pPr>
        <w:spacing w:after="200" w:before="600"/>
        <w:jc w:val="center"/>
      </w:pPr>
      <w:r>
        <w:rPr>
          <w:rFonts w:ascii="Calibri" w:cs="Calibri" w:eastAsia="Calibri" w:hAnsi="Calibri"/>
          <w:i/>
          <w:iCs/>
          <w:color w:val="3B3B3B"/>
          <w:sz w:val="24"/>
          <w:szCs w:val="24"/>
        </w:rPr>
        <w:t xml:space="preserve">A Project Report on</w:t>
      </w:r>
    </w:p>
    <w:p>
      <w:pPr>
        <w:pBdr>
          <w:top w:val="single" w:color="1F7A6C" w:sz="8" w:space="12"/>
          <w:bottom w:val="single" w:color="1F7A6C" w:sz="8" w:space="12"/>
        </w:pBdr>
        <w:shd w:fill="E7F3F1" w:val="clear"/>
        <w:spacing w:after="100"/>
        <w:jc w:val="center"/>
      </w:pPr>
      <w:r>
        <w:rPr>
          <w:rFonts w:ascii="Cambria" w:cs="Cambria" w:eastAsia="Cambria" w:hAnsi="Cambria"/>
          <w:b/>
          <w:bCs/>
          <w:color w:val="1B3A5C"/>
          <w:sz w:val="36"/>
          <w:szCs w:val="36"/>
        </w:rPr>
        <w:t xml:space="preserve">  DETAILED URBAN HEAT ISLAND ANALYSIS USING GOOGLE EARTH ENGINE  </w:t>
      </w:r>
    </w:p>
    <w:p>
      <w:pPr>
        <w:spacing w:after="100" w:before="200"/>
        <w:jc w:val="center"/>
      </w:pPr>
      <w:r>
        <w:rPr>
          <w:rFonts w:ascii="Calibri" w:cs="Calibri" w:eastAsia="Calibri" w:hAnsi="Calibri"/>
          <w:i/>
          <w:iCs/>
          <w:color w:val="3B3B3B"/>
          <w:sz w:val="22"/>
          <w:szCs w:val="22"/>
        </w:rPr>
        <w:t xml:space="preserve">A Cloud-Based Remote Sensing Workflow for Land Surface Temperature and Vegetation Analysis over Hyderabad, Telangana</w:t>
      </w:r>
    </w:p>
    <w:p>
      <w:pPr>
        <w:spacing w:before="700"/>
      </w:pPr>
    </w:p>
    <w:p>
      <w:pPr>
        <w:jc w:val="center"/>
      </w:pPr>
      <w:r>
        <w:rPr>
          <w:rFonts w:ascii="Calibri" w:cs="Calibri" w:eastAsia="Calibri" w:hAnsi="Calibri"/>
          <w:color w:val="3B3B3B"/>
          <w:sz w:val="22"/>
          <w:szCs w:val="22"/>
        </w:rPr>
        <w:t xml:space="preserve">Submitted by</w:t>
      </w:r>
    </w:p>
    <w:p>
      <w:pPr>
        <w:spacing w:after="40" w:before="80"/>
        <w:jc w:val="center"/>
      </w:pPr>
      <w:r>
        <w:rPr>
          <w:rFonts w:ascii="Cambria" w:cs="Cambria" w:eastAsia="Cambria" w:hAnsi="Cambria"/>
          <w:b/>
          <w:bCs/>
          <w:color w:val="1B3A5C"/>
          <w:sz w:val="28"/>
          <w:szCs w:val="28"/>
        </w:rPr>
        <w:t xml:space="preserve">ANIKETH</w:t>
      </w:r>
    </w:p>
    <w:p>
      <w:pPr>
        <w:spacing w:after="40"/>
        <w:jc w:val="center"/>
      </w:pPr>
      <w:r>
        <w:rPr>
          <w:rFonts w:ascii="Calibri" w:cs="Calibri" w:eastAsia="Calibri" w:hAnsi="Calibri"/>
          <w:color w:val="3B3B3B"/>
          <w:sz w:val="20"/>
          <w:szCs w:val="20"/>
        </w:rPr>
        <w:t xml:space="preserve">B.Tech — Geo-Informatics</w:t>
      </w:r>
    </w:p>
    <w:p>
      <w:pPr>
        <w:spacing w:after="600"/>
        <w:jc w:val="center"/>
      </w:pPr>
      <w:r>
        <w:rPr>
          <w:rFonts w:ascii="Calibri" w:cs="Calibri" w:eastAsia="Calibri" w:hAnsi="Calibri"/>
          <w:color w:val="3B3B3B"/>
          <w:sz w:val="20"/>
          <w:szCs w:val="20"/>
        </w:rPr>
        <w:t xml:space="preserve">Jawaharlal Nehru Technological University Hyderabad (JNTUH)</w:t>
      </w:r>
    </w:p>
    <w:p>
      <w:pPr>
        <w:jc w:val="center"/>
      </w:pPr>
      <w:r>
        <w:rPr>
          <w:rFonts w:ascii="Calibri" w:cs="Calibri" w:eastAsia="Calibri" w:hAnsi="Calibri"/>
          <w:b/>
          <w:bCs/>
          <w:color w:val="1F7A6C"/>
          <w:sz w:val="22"/>
          <w:szCs w:val="22"/>
        </w:rPr>
        <w:t xml:space="preserve">2026</w:t>
      </w:r>
    </w:p>
    <w:p>
      <w:r>
        <w:br w:type="page"/>
      </w:r>
    </w:p>
    <w:p>
      <w:pPr>
        <w:spacing w:after="320"/>
        <w:jc w:val="center"/>
      </w:pPr>
      <w:r>
        <w:rPr>
          <w:rFonts w:ascii="Cambria" w:cs="Cambria" w:eastAsia="Cambria" w:hAnsi="Cambria"/>
          <w:b/>
          <w:bCs/>
          <w:color w:val="1B3A5C"/>
          <w:sz w:val="32"/>
          <w:szCs w:val="32"/>
        </w:rPr>
        <w:t xml:space="preserve">CERTIFICATE</w:t>
      </w:r>
    </w:p>
    <w:p>
      <w:pPr>
        <w:spacing w:after="160" w:line="300"/>
        <w:jc w:val="both"/>
      </w:pPr>
      <w:r>
        <w:rPr>
          <w:rFonts w:ascii="Calibri" w:cs="Calibri" w:eastAsia="Calibri" w:hAnsi="Calibri"/>
          <w:color w:val="3B3B3B"/>
          <w:sz w:val="22"/>
          <w:szCs w:val="22"/>
        </w:rPr>
        <w:t xml:space="preserve">This is to certify that the project report entitled “Detailed Urban Heat Island Analysis Using Google Earth Engine” is a bona fide record of work carried out by Aniketh, B.Tech (Geo-Informatics), Jawaharlal Nehru Technological University Hyderabad, under the guidance of the faculty of the Centre for Environment, in partial fulfilment of the academic requirements for the course.</w:t>
      </w:r>
    </w:p>
    <w:p>
      <w:pPr>
        <w:spacing w:after="160" w:line="300"/>
        <w:jc w:val="both"/>
      </w:pPr>
      <w:r>
        <w:rPr>
          <w:rFonts w:ascii="Calibri" w:cs="Calibri" w:eastAsia="Calibri" w:hAnsi="Calibri"/>
          <w:color w:val="3B3B3B"/>
          <w:sz w:val="22"/>
          <w:szCs w:val="22"/>
        </w:rPr>
        <w:t xml:space="preserve">The work presented in this report is original and has not been submitted elsewhere for the award of any degree or diploma.</w:t>
      </w:r>
    </w:p>
    <w:p>
      <w:pPr>
        <w:spacing w:before="700"/>
      </w:pPr>
    </w:p>
    <w:tbl>
      <w:tblPr>
        <w:tblW w:type="dxa" w:w="9000"/>
        <w:tblBorders>
          <w:top w:val="none"/>
          <w:left w:val="none"/>
          <w:bottom w:val="none"/>
          <w:right w:val="none"/>
          <w:insideH w:val="none"/>
          <w:insideV w:val="none"/>
        </w:tblBorders>
      </w:tblPr>
      <w:tblGrid>
        <w:gridCol w:w="100"/>
        <w:gridCol w:w="100"/>
      </w:tblGrid>
      <w:tr>
        <w:tc>
          <w:tcPr>
            <w:tcW w:type="dxa" w:w="4500"/>
          </w:tcPr>
          <w:p>
            <w:pPr>
              <w:spacing w:before="600"/>
            </w:pPr>
            <w:r>
              <w:rPr>
                <w:rFonts w:ascii="Calibri" w:cs="Calibri" w:eastAsia="Calibri" w:hAnsi="Calibri"/>
                <w:b/>
                <w:bCs/>
                <w:color w:val="1B3A5C"/>
                <w:sz w:val="22"/>
                <w:szCs w:val="22"/>
              </w:rPr>
              <w:t xml:space="preserve">Faculty Guide</w:t>
            </w:r>
          </w:p>
          <w:p>
            <w:r>
              <w:rPr>
                <w:rFonts w:ascii="Calibri" w:cs="Calibri" w:eastAsia="Calibri" w:hAnsi="Calibri"/>
                <w:color w:val="3B3B3B"/>
                <w:sz w:val="20"/>
                <w:szCs w:val="20"/>
              </w:rPr>
              <w:t xml:space="preserve">Centre for Environment, JNTUH</w:t>
            </w:r>
          </w:p>
        </w:tc>
        <w:tc>
          <w:tcPr>
            <w:tcW w:type="dxa" w:w="4500"/>
          </w:tcPr>
          <w:p>
            <w:pPr>
              <w:spacing w:before="600"/>
              <w:jc w:val="right"/>
            </w:pPr>
            <w:r>
              <w:rPr>
                <w:rFonts w:ascii="Calibri" w:cs="Calibri" w:eastAsia="Calibri" w:hAnsi="Calibri"/>
                <w:b/>
                <w:bCs/>
                <w:color w:val="1B3A5C"/>
                <w:sz w:val="22"/>
                <w:szCs w:val="22"/>
              </w:rPr>
              <w:t xml:space="preserve">Head of Department</w:t>
            </w:r>
          </w:p>
          <w:p>
            <w:pPr>
              <w:jc w:val="right"/>
            </w:pPr>
            <w:r>
              <w:rPr>
                <w:rFonts w:ascii="Calibri" w:cs="Calibri" w:eastAsia="Calibri" w:hAnsi="Calibri"/>
                <w:color w:val="3B3B3B"/>
                <w:sz w:val="20"/>
                <w:szCs w:val="20"/>
              </w:rPr>
              <w:t xml:space="preserve">Department of Geo-Informatics</w:t>
            </w:r>
          </w:p>
        </w:tc>
      </w:tr>
    </w:tbl>
    <w:p>
      <w:r>
        <w:br w:type="page"/>
      </w:r>
    </w:p>
    <w:p>
      <w:pPr>
        <w:spacing w:after="320"/>
        <w:jc w:val="center"/>
      </w:pPr>
      <w:r>
        <w:rPr>
          <w:rFonts w:ascii="Cambria" w:cs="Cambria" w:eastAsia="Cambria" w:hAnsi="Cambria"/>
          <w:b/>
          <w:bCs/>
          <w:color w:val="1B3A5C"/>
          <w:sz w:val="32"/>
          <w:szCs w:val="32"/>
        </w:rPr>
        <w:t xml:space="preserve">ACKNOWLEDGEMENT</w:t>
      </w:r>
    </w:p>
    <w:p>
      <w:pPr>
        <w:spacing w:after="160" w:line="300"/>
        <w:jc w:val="both"/>
      </w:pPr>
      <w:r>
        <w:rPr>
          <w:rFonts w:ascii="Calibri" w:cs="Calibri" w:eastAsia="Calibri" w:hAnsi="Calibri"/>
          <w:color w:val="3B3B3B"/>
          <w:sz w:val="22"/>
          <w:szCs w:val="22"/>
        </w:rPr>
        <w:t xml:space="preserve">I express my sincere gratitude to the faculty and mentors of the Centre for Environment, Jawaharlal Nehru Technological University Hyderabad, for their guidance and encouragement throughout this project. Their insights into remote sensing methodology and cloud-based geospatial analysis were instrumental in shaping this work.</w:t>
      </w:r>
    </w:p>
    <w:p>
      <w:pPr>
        <w:spacing w:after="160" w:line="300"/>
        <w:jc w:val="both"/>
      </w:pPr>
      <w:r>
        <w:rPr>
          <w:rFonts w:ascii="Calibri" w:cs="Calibri" w:eastAsia="Calibri" w:hAnsi="Calibri"/>
          <w:color w:val="3B3B3B"/>
          <w:sz w:val="22"/>
          <w:szCs w:val="22"/>
        </w:rPr>
        <w:t xml:space="preserve">I am also thankful to the Department of Geo-Informatics for providing access to the software and computing resources required for this study, and to my peers for their valuable feedback during the preparation of this report.</w:t>
      </w:r>
    </w:p>
    <w:p>
      <w:pPr>
        <w:spacing w:after="160" w:line="300"/>
        <w:jc w:val="both"/>
      </w:pPr>
      <w:r>
        <w:rPr>
          <w:rFonts w:ascii="Calibri" w:cs="Calibri" w:eastAsia="Calibri" w:hAnsi="Calibri"/>
          <w:color w:val="3B3B3B"/>
          <w:sz w:val="22"/>
          <w:szCs w:val="22"/>
        </w:rPr>
        <w:t xml:space="preserve">Finally, I would like to acknowledge the open-data policies of the United States Geological Survey (USGS) and the European Space Agency (ESA), whose freely available Landsat and Sentinel satellite archives made this analysis possible.</w:t>
      </w:r>
    </w:p>
    <w:p>
      <w:r>
        <w:br w:type="page"/>
      </w:r>
    </w:p>
    <w:p>
      <w:pPr>
        <w:spacing w:after="280"/>
        <w:jc w:val="center"/>
      </w:pPr>
      <w:r>
        <w:rPr>
          <w:rFonts w:ascii="Cambria" w:cs="Cambria" w:eastAsia="Cambria" w:hAnsi="Cambria"/>
          <w:b/>
          <w:bCs/>
          <w:color w:val="1B3A5C"/>
          <w:sz w:val="32"/>
          <w:szCs w:val="32"/>
        </w:rPr>
        <w:t xml:space="preserve">ABSTRACT</w:t>
      </w:r>
    </w:p>
    <w:p>
      <w:pPr>
        <w:spacing w:after="160" w:line="300"/>
        <w:jc w:val="both"/>
      </w:pPr>
      <w:r>
        <w:rPr>
          <w:rFonts w:ascii="Calibri" w:cs="Calibri" w:eastAsia="Calibri" w:hAnsi="Calibri"/>
          <w:color w:val="3B3B3B"/>
          <w:sz w:val="22"/>
          <w:szCs w:val="22"/>
        </w:rPr>
        <w:t xml:space="preserve">The Urban Heat Island (UHI) effect describes the tendency of urbanized landscapes to record significantly higher temperatures than their surrounding rural or vegetated environments, primarily due to the thermal properties of construction materials, the loss of vegetative cover, and the concentration of anthropogenic heat sources. This project presents a complete, cloud-based geospatial workflow for quantifying the UHI effect over a defined study area in Hyderabad, Telangana, using the Google Earth Engine (GEE) platform. Landsat 8 Collection 2 Level-2 surface reflectance and thermal imagery were processed to retrieve Land Surface Temperature (LST) through brightness-temperature conversion and emissivity correction, while Sentinel-2 Level-2A imagery was used to compute the Normalized Difference Vegetation Index (NDVI) as a proxy for vegetation health and canopy density. By exploiting Earth Engine's server-side processing, the entire pipeline — from raw image collection to export-ready thematic layers — was executed without downloading a single raster file to local storage.</w:t>
      </w:r>
    </w:p>
    <w:p>
      <w:pPr>
        <w:spacing w:after="160" w:line="300"/>
        <w:jc w:val="both"/>
      </w:pPr>
      <w:r>
        <w:rPr>
          <w:rFonts w:ascii="Calibri" w:cs="Calibri" w:eastAsia="Calibri" w:hAnsi="Calibri"/>
          <w:color w:val="3B3B3B"/>
          <w:sz w:val="22"/>
          <w:szCs w:val="22"/>
        </w:rPr>
        <w:t xml:space="preserve">The results demonstrate the well-documented inverse relationship between vegetation abundance and surface temperature: NDVI and LST maps produced for the study area show that built-up zones with sparse vegetation coincide with elevated surface temperatures, while parks, water bodies, and tree-covered patches remain comparatively cool. These findings reinforce the value of vegetation as a passive cooling mechanism in urban planning and highlight the practicality of cloud-based remote sensing for rapid, reproducible environmental assessment. The report concludes with a discussion of the workflow's advantages and limitations and outlines a roadmap for extending the analysis to multi-temporal and multi-city studies.</w:t>
      </w:r>
    </w:p>
    <w:p>
      <w:pPr>
        <w:spacing w:before="200"/>
      </w:pPr>
      <w:r>
        <w:rPr>
          <w:rFonts w:ascii="Calibri" w:cs="Calibri" w:eastAsia="Calibri" w:hAnsi="Calibri"/>
          <w:b/>
          <w:bCs/>
          <w:color w:val="1B3A5C"/>
          <w:sz w:val="22"/>
          <w:szCs w:val="22"/>
        </w:rPr>
        <w:t xml:space="preserve">Keywords: </w:t>
      </w:r>
      <w:r>
        <w:rPr>
          <w:rFonts w:ascii="Calibri" w:cs="Calibri" w:eastAsia="Calibri" w:hAnsi="Calibri"/>
          <w:i/>
          <w:iCs/>
          <w:color w:val="3B3B3B"/>
          <w:sz w:val="22"/>
          <w:szCs w:val="22"/>
        </w:rPr>
        <w:t xml:space="preserve">Urban Heat Island, Google Earth Engine, Land Surface Temperature, NDVI, Landsat 8, Sentinel-2, Remote Sensing, Cloud Computing, Hyderabad</w:t>
      </w:r>
    </w:p>
    <w:p>
      <w:r>
        <w:br w:type="page"/>
      </w:r>
    </w:p>
    <w:p>
      <w:pPr>
        <w:spacing w:after="280"/>
        <w:jc w:val="center"/>
      </w:pPr>
      <w:r>
        <w:rPr>
          <w:rFonts w:ascii="Cambria" w:cs="Cambria" w:eastAsia="Cambria" w:hAnsi="Cambria"/>
          <w:b/>
          <w:bCs/>
          <w:color w:val="1B3A5C"/>
          <w:sz w:val="32"/>
          <w:szCs w:val="32"/>
        </w:rPr>
        <w:t xml:space="preserve">TABLE OF CONTENTS</w:t>
      </w:r>
    </w:p>
    <w:sdt>
      <w:sdtPr>
        <w:alias w:val="Table of Contents"/>
      </w:sdtPr>
      <w:sdtContent>
        <w:p>
          <w:r>
            <w:fldChar w:fldCharType="begin" w:dirty="true"/>
            <w:instrText xml:space="preserve">TOC \h \o "1-2"</w:instrText>
            <w:fldChar w:fldCharType="separate"/>
          </w:r>
        </w:p>
        <w:p>
          <w:r>
            <w:fldChar w:fldCharType="end"/>
          </w:r>
        </w:p>
      </w:sdtContent>
    </w:sdt>
    <w:p>
      <w:r>
        <w:br w:type="page"/>
      </w:r>
    </w:p>
    <w:p>
      <w:pPr>
        <w:pStyle w:val="Heading1"/>
        <w:pBdr>
          <w:bottom w:val="single" w:color="1F7A6C" w:sz="12" w:space="4"/>
        </w:pBdr>
        <w:spacing w:after="240" w:before="480"/>
      </w:pPr>
      <w:r>
        <w:rPr>
          <w:rFonts w:ascii="Cambria" w:cs="Cambria" w:eastAsia="Cambria" w:hAnsi="Cambria"/>
          <w:b/>
          <w:bCs/>
          <w:color w:val="1B3A5C"/>
          <w:sz w:val="32"/>
          <w:szCs w:val="32"/>
        </w:rPr>
        <w:t xml:space="preserve">1.  </w:t>
      </w:r>
      <w:r>
        <w:rPr>
          <w:rFonts w:ascii="Cambria" w:cs="Cambria" w:eastAsia="Cambria" w:hAnsi="Cambria"/>
          <w:b/>
          <w:bCs/>
          <w:color w:val="1B3A5C"/>
          <w:sz w:val="32"/>
          <w:szCs w:val="32"/>
        </w:rPr>
        <w:t xml:space="preserve">Introduction</w:t>
      </w:r>
    </w:p>
    <w:p>
      <w:pPr>
        <w:spacing w:after="160" w:line="300"/>
        <w:jc w:val="both"/>
      </w:pPr>
      <w:r>
        <w:rPr>
          <w:rFonts w:ascii="Calibri" w:cs="Calibri" w:eastAsia="Calibri" w:hAnsi="Calibri"/>
          <w:color w:val="3B3B3B"/>
          <w:sz w:val="22"/>
          <w:szCs w:val="22"/>
        </w:rPr>
        <w:t xml:space="preserve">Rapid and often unplanned urbanization has permanently altered the character of the natural landscape across most of the world's growing cities. Where soil, water bodies, and dense vegetation once dominated, expanses of concrete, asphalt, glass, and metal now define the urban fabric. These construction materials possess thermal properties — high heat capacity and low albedo — that cause them to absorb solar radiation during the day and release it slowly through the night, producing a localized warming effect known as the Urban Heat Island (UHI).</w:t>
      </w:r>
    </w:p>
    <w:p>
      <w:pPr>
        <w:spacing w:after="160" w:line="300"/>
        <w:jc w:val="both"/>
      </w:pPr>
      <w:r>
        <w:rPr>
          <w:rFonts w:ascii="Calibri" w:cs="Calibri" w:eastAsia="Calibri" w:hAnsi="Calibri"/>
          <w:color w:val="3B3B3B"/>
          <w:sz w:val="22"/>
          <w:szCs w:val="22"/>
        </w:rPr>
        <w:t xml:space="preserve">The UHI phenomenon is not merely an academic curiosity; it has direct and measurable consequences for public health, energy demand, and environmental quality. Elevated night-time temperatures increase the risk of heat-related illnesses, particularly among vulnerable populations, while higher ambient temperatures drive up electricity consumption for cooling, placing additional strain on power infrastructure. Understanding where and why these thermal anomalies occur is therefore an essential input to sustainable urban planning.</w:t>
      </w:r>
    </w:p>
    <w:p>
      <w:pPr>
        <w:spacing w:after="160" w:line="300"/>
        <w:jc w:val="both"/>
      </w:pPr>
      <w:r>
        <w:rPr>
          <w:rFonts w:ascii="Calibri" w:cs="Calibri" w:eastAsia="Calibri" w:hAnsi="Calibri"/>
          <w:color w:val="3B3B3B"/>
          <w:sz w:val="22"/>
          <w:szCs w:val="22"/>
        </w:rPr>
        <w:t xml:space="preserve">Remote sensing has emerged as the most practical and scalable method for monitoring the UHI effect over large and often data-scarce urban regions. Rather than relying on sparse ground-based weather stations, satellite-derived Land Surface Temperature (LST) offers spatially continuous coverage that captures the full thermal signature of a city. Google Earth Engine (GEE) — a planetary-scale cloud computing platform for geospatial analysis — dramatically lowers the barrier to entry for this kind of analysis by hosting petabytes of satellite imagery alongside the processing power needed to analyze it, all accessible through a simple scripting interface. This project uses GEE to build an end-to-end UHI analysis workflow that is fast, reproducible, and suitable for both academic research and early-stage urban planning studies.</w:t>
      </w:r>
    </w:p>
    <w:p>
      <w:pPr>
        <w:pStyle w:val="Heading1"/>
        <w:pBdr>
          <w:bottom w:val="single" w:color="1F7A6C" w:sz="12" w:space="4"/>
        </w:pBdr>
        <w:spacing w:after="240" w:before="480"/>
      </w:pPr>
      <w:r>
        <w:rPr>
          <w:rFonts w:ascii="Cambria" w:cs="Cambria" w:eastAsia="Cambria" w:hAnsi="Cambria"/>
          <w:b/>
          <w:bCs/>
          <w:color w:val="1B3A5C"/>
          <w:sz w:val="32"/>
          <w:szCs w:val="32"/>
        </w:rPr>
        <w:t xml:space="preserve">2.  </w:t>
      </w:r>
      <w:r>
        <w:rPr>
          <w:rFonts w:ascii="Cambria" w:cs="Cambria" w:eastAsia="Cambria" w:hAnsi="Cambria"/>
          <w:b/>
          <w:bCs/>
          <w:color w:val="1B3A5C"/>
          <w:sz w:val="32"/>
          <w:szCs w:val="32"/>
        </w:rPr>
        <w:t xml:space="preserve">Problem Statement</w:t>
      </w:r>
    </w:p>
    <w:p>
      <w:pPr>
        <w:spacing w:after="160" w:line="300"/>
        <w:jc w:val="both"/>
      </w:pPr>
      <w:r>
        <w:rPr>
          <w:rFonts w:ascii="Calibri" w:cs="Calibri" w:eastAsia="Calibri" w:hAnsi="Calibri"/>
          <w:color w:val="3B3B3B"/>
          <w:sz w:val="22"/>
          <w:szCs w:val="22"/>
        </w:rPr>
        <w:t xml:space="preserve">Rising urban temperatures driven by rapid land-use change pose a growing threat to human health, energy security, and ecological balance within cities. Identifying heat-prone locations — and understanding their relationship with vegetation cover — is a prerequisite for any meaningful mitigation strategy, whether that takes the form of urban greening, reflective building materials, or zoning reform.</w:t>
      </w:r>
    </w:p>
    <w:p>
      <w:pPr>
        <w:spacing w:after="160" w:line="300"/>
        <w:jc w:val="both"/>
      </w:pPr>
      <w:r>
        <w:rPr>
          <w:rFonts w:ascii="Calibri" w:cs="Calibri" w:eastAsia="Calibri" w:hAnsi="Calibri"/>
          <w:color w:val="3B3B3B"/>
          <w:sz w:val="22"/>
          <w:szCs w:val="22"/>
        </w:rPr>
        <w:t xml:space="preserve">Conventional GIS-based approaches to this problem typically require analysts to manually search satellite data archives, download large raw image files, and perform preprocessing steps such as atmospheric correction and mosaicking on local hardware before any analysis can begin. This process is time-consuming, storage-intensive, and difficult to reproduce or scale to larger areas. Google Earth Engine addresses each of these constraints directly by hosting analysis-ready satellite collections in the cloud and exposing server-side processing, allowing the entire workflow — from data selection to final map export — to be completed through a browser-based code editor without any local data handling.</w:t>
      </w:r>
    </w:p>
    <w:p>
      <w:pPr>
        <w:pStyle w:val="Heading1"/>
        <w:pBdr>
          <w:bottom w:val="single" w:color="1F7A6C" w:sz="12" w:space="4"/>
        </w:pBdr>
        <w:spacing w:after="240" w:before="480"/>
      </w:pPr>
      <w:r>
        <w:rPr>
          <w:rFonts w:ascii="Cambria" w:cs="Cambria" w:eastAsia="Cambria" w:hAnsi="Cambria"/>
          <w:b/>
          <w:bCs/>
          <w:color w:val="1B3A5C"/>
          <w:sz w:val="32"/>
          <w:szCs w:val="32"/>
        </w:rPr>
        <w:t xml:space="preserve">3.  </w:t>
      </w:r>
      <w:r>
        <w:rPr>
          <w:rFonts w:ascii="Cambria" w:cs="Cambria" w:eastAsia="Cambria" w:hAnsi="Cambria"/>
          <w:b/>
          <w:bCs/>
          <w:color w:val="1B3A5C"/>
          <w:sz w:val="32"/>
          <w:szCs w:val="32"/>
        </w:rPr>
        <w:t xml:space="preserve">Objectives</w:t>
      </w:r>
    </w:p>
    <w:p>
      <w:pPr>
        <w:pStyle w:val="ListParagraph"/>
        <w:numPr>
          <w:ilvl w:val="0"/>
          <w:numId w:val="2"/>
        </w:numPr>
        <w:spacing w:after="100"/>
      </w:pPr>
      <w:r>
        <w:rPr>
          <w:rFonts w:ascii="Calibri" w:cs="Calibri" w:eastAsia="Calibri" w:hAnsi="Calibri"/>
          <w:color w:val="3B3B3B"/>
          <w:sz w:val="22"/>
          <w:szCs w:val="22"/>
        </w:rPr>
        <w:t xml:space="preserve">Estimate Land Surface Temperature (LST) over the study area using Landsat 8 Collection 2 Level-2 thermal imagery.</w:t>
      </w:r>
    </w:p>
    <w:p>
      <w:pPr>
        <w:pStyle w:val="ListParagraph"/>
        <w:numPr>
          <w:ilvl w:val="0"/>
          <w:numId w:val="2"/>
        </w:numPr>
        <w:spacing w:after="100"/>
      </w:pPr>
      <w:r>
        <w:rPr>
          <w:rFonts w:ascii="Calibri" w:cs="Calibri" w:eastAsia="Calibri" w:hAnsi="Calibri"/>
          <w:color w:val="3B3B3B"/>
          <w:sz w:val="22"/>
          <w:szCs w:val="22"/>
        </w:rPr>
        <w:t xml:space="preserve">Calculate the Normalized Difference Vegetation Index (NDVI) using Sentinel-2 Level-2A surface reflectance imagery.</w:t>
      </w:r>
    </w:p>
    <w:p>
      <w:pPr>
        <w:pStyle w:val="ListParagraph"/>
        <w:numPr>
          <w:ilvl w:val="0"/>
          <w:numId w:val="2"/>
        </w:numPr>
        <w:spacing w:after="100"/>
      </w:pPr>
      <w:r>
        <w:rPr>
          <w:rFonts w:ascii="Calibri" w:cs="Calibri" w:eastAsia="Calibri" w:hAnsi="Calibri"/>
          <w:color w:val="3B3B3B"/>
          <w:sz w:val="22"/>
          <w:szCs w:val="22"/>
        </w:rPr>
        <w:t xml:space="preserve">Compare spatial patterns of vegetation and surface temperature to identify heat-prone zones.</w:t>
      </w:r>
    </w:p>
    <w:p>
      <w:pPr>
        <w:pStyle w:val="ListParagraph"/>
        <w:numPr>
          <w:ilvl w:val="0"/>
          <w:numId w:val="2"/>
        </w:numPr>
        <w:spacing w:after="100"/>
      </w:pPr>
      <w:r>
        <w:rPr>
          <w:rFonts w:ascii="Calibri" w:cs="Calibri" w:eastAsia="Calibri" w:hAnsi="Calibri"/>
          <w:color w:val="3B3B3B"/>
          <w:sz w:val="22"/>
          <w:szCs w:val="22"/>
        </w:rPr>
        <w:t xml:space="preserve">Produce clear, interpretable thematic maps suitable for presentation to academic and planning audiences.</w:t>
      </w:r>
    </w:p>
    <w:p>
      <w:pPr>
        <w:pStyle w:val="ListParagraph"/>
        <w:numPr>
          <w:ilvl w:val="0"/>
          <w:numId w:val="2"/>
        </w:numPr>
        <w:spacing w:after="100"/>
      </w:pPr>
      <w:r>
        <w:rPr>
          <w:rFonts w:ascii="Calibri" w:cs="Calibri" w:eastAsia="Calibri" w:hAnsi="Calibri"/>
          <w:color w:val="3B3B3B"/>
          <w:sz w:val="22"/>
          <w:szCs w:val="22"/>
        </w:rPr>
        <w:t xml:space="preserve">Demonstrate a complete, reproducible, end-to-end Google Earth Engine workflow suitable for academic application and future extension.</w:t>
      </w:r>
    </w:p>
    <w:p>
      <w:pPr>
        <w:pStyle w:val="Heading1"/>
        <w:pBdr>
          <w:bottom w:val="single" w:color="1F7A6C" w:sz="12" w:space="4"/>
        </w:pBdr>
        <w:spacing w:after="240" w:before="480"/>
      </w:pPr>
      <w:r>
        <w:rPr>
          <w:rFonts w:ascii="Cambria" w:cs="Cambria" w:eastAsia="Cambria" w:hAnsi="Cambria"/>
          <w:b/>
          <w:bCs/>
          <w:color w:val="1B3A5C"/>
          <w:sz w:val="32"/>
          <w:szCs w:val="32"/>
        </w:rPr>
        <w:t xml:space="preserve">4.  </w:t>
      </w:r>
      <w:r>
        <w:rPr>
          <w:rFonts w:ascii="Cambria" w:cs="Cambria" w:eastAsia="Cambria" w:hAnsi="Cambria"/>
          <w:b/>
          <w:bCs/>
          <w:color w:val="1B3A5C"/>
          <w:sz w:val="32"/>
          <w:szCs w:val="32"/>
        </w:rPr>
        <w:t xml:space="preserve">Study Area</w:t>
      </w:r>
    </w:p>
    <w:p>
      <w:pPr>
        <w:spacing w:after="160" w:line="300"/>
        <w:jc w:val="both"/>
      </w:pPr>
      <w:r>
        <w:rPr>
          <w:rFonts w:ascii="Calibri" w:cs="Calibri" w:eastAsia="Calibri" w:hAnsi="Calibri"/>
          <w:color w:val="3B3B3B"/>
          <w:sz w:val="22"/>
          <w:szCs w:val="22"/>
        </w:rPr>
        <w:t xml:space="preserve">The analysis was conducted over a user-defined Area of Interest (AOI) covering part of Hyderabad, Telangana, India — one of India's fastest-growing metropolitan regions and a representative case study for UHI research in a rapidly urbanizing, semi-arid Indian city. The selected AOI deliberately spans a heterogeneous mix of land-cover types, including dense built-up areas, arterial road networks, open and barren land, and pockets of vegetation such as parks and tree cover. This diversity is essential for UHI analysis, as it allows the resulting NDVI and LST maps to capture a meaningful contrast between vegetated and non-vegetated surfaces within a single, spatially compact frame.</w:t>
      </w:r>
    </w:p>
    <w:p>
      <w:pPr>
        <w:spacing w:after="160" w:line="300"/>
        <w:jc w:val="both"/>
      </w:pPr>
      <w:r>
        <w:rPr>
          <w:rFonts w:ascii="Calibri" w:cs="Calibri" w:eastAsia="Calibri" w:hAnsi="Calibri"/>
          <w:color w:val="3B3B3B"/>
          <w:sz w:val="22"/>
          <w:szCs w:val="22"/>
        </w:rPr>
        <w:t xml:space="preserve">Hyderabad's climate — hot semi-arid, with peak summer land surface temperatures frequently exceeding 40°C in built-up zones — makes it a particularly illustrative setting for demonstrating the inverse NDVI–LST relationship at the core of UHI research.</w:t>
      </w:r>
    </w:p>
    <w:p>
      <w:pPr>
        <w:pStyle w:val="Heading1"/>
        <w:pBdr>
          <w:bottom w:val="single" w:color="1F7A6C" w:sz="12" w:space="4"/>
        </w:pBdr>
        <w:spacing w:after="240" w:before="480"/>
      </w:pPr>
      <w:r>
        <w:rPr>
          <w:rFonts w:ascii="Cambria" w:cs="Cambria" w:eastAsia="Cambria" w:hAnsi="Cambria"/>
          <w:b/>
          <w:bCs/>
          <w:color w:val="1B3A5C"/>
          <w:sz w:val="32"/>
          <w:szCs w:val="32"/>
        </w:rPr>
        <w:t xml:space="preserve">5.  </w:t>
      </w:r>
      <w:r>
        <w:rPr>
          <w:rFonts w:ascii="Cambria" w:cs="Cambria" w:eastAsia="Cambria" w:hAnsi="Cambria"/>
          <w:b/>
          <w:bCs/>
          <w:color w:val="1B3A5C"/>
          <w:sz w:val="32"/>
          <w:szCs w:val="32"/>
        </w:rPr>
        <w:t xml:space="preserve">Datasets</w:t>
      </w:r>
    </w:p>
    <w:p>
      <w:pPr>
        <w:spacing w:after="160" w:line="300"/>
        <w:jc w:val="both"/>
      </w:pPr>
      <w:r>
        <w:rPr>
          <w:rFonts w:ascii="Calibri" w:cs="Calibri" w:eastAsia="Calibri" w:hAnsi="Calibri"/>
          <w:color w:val="3B3B3B"/>
          <w:sz w:val="22"/>
          <w:szCs w:val="22"/>
        </w:rPr>
        <w:t xml:space="preserve">Two complementary satellite datasets, both accessed directly through the Google Earth Engine Data Catalog, form the foundation of this analysis:</w:t>
      </w:r>
    </w:p>
    <w:tbl>
      <w:tblPr>
        <w:tblW w:type="dxa" w:w="9000"/>
        <w:tblBorders>
          <w:top w:val="single" w:color="1B3A5C" w:sz="4"/>
          <w:left w:val="single" w:color="1B3A5C" w:sz="4"/>
          <w:bottom w:val="single" w:color="1B3A5C" w:sz="4"/>
          <w:right w:val="single" w:color="1B3A5C" w:sz="4"/>
          <w:insideH w:val="single" w:color="BFBFBF" w:sz="2"/>
          <w:insideV w:val="single" w:color="BFBFBF" w:sz="2"/>
        </w:tblBorders>
      </w:tblPr>
      <w:tblGrid>
        <w:gridCol w:w="100"/>
        <w:gridCol w:w="100"/>
        <w:gridCol w:w="100"/>
        <w:gridCol w:w="100"/>
      </w:tblGrid>
      <w:tr>
        <w:trPr>
          <w:tblHeader/>
        </w:trPr>
        <w:tc>
          <w:tcPr>
            <w:tcW w:type="dxa" w:w="2600"/>
            <w:shd w:fill="1B3A5C" w:val="clear"/>
            <w:tcMar>
              <w:top w:type="dxa" w:w="100"/>
              <w:left w:type="dxa" w:w="120"/>
              <w:bottom w:type="dxa" w:w="100"/>
              <w:right w:type="dxa" w:w="120"/>
            </w:tcMar>
            <w:vAlign w:val="center"/>
          </w:tcPr>
          <w:p>
            <w:pPr>
              <w:jc w:val="left"/>
            </w:pPr>
            <w:r>
              <w:rPr>
                <w:rFonts w:ascii="Calibri" w:cs="Calibri" w:eastAsia="Calibri" w:hAnsi="Calibri"/>
                <w:b/>
                <w:bCs/>
                <w:color w:val="FFFFFF"/>
                <w:sz w:val="20"/>
                <w:szCs w:val="20"/>
              </w:rPr>
              <w:t xml:space="preserve">Dataset</w:t>
            </w:r>
          </w:p>
        </w:tc>
        <w:tc>
          <w:tcPr>
            <w:tcW w:type="dxa" w:w="2200"/>
            <w:shd w:fill="1B3A5C" w:val="clear"/>
            <w:tcMar>
              <w:top w:type="dxa" w:w="100"/>
              <w:left w:type="dxa" w:w="120"/>
              <w:bottom w:type="dxa" w:w="100"/>
              <w:right w:type="dxa" w:w="120"/>
            </w:tcMar>
            <w:vAlign w:val="center"/>
          </w:tcPr>
          <w:p>
            <w:pPr>
              <w:jc w:val="left"/>
            </w:pPr>
            <w:r>
              <w:rPr>
                <w:rFonts w:ascii="Calibri" w:cs="Calibri" w:eastAsia="Calibri" w:hAnsi="Calibri"/>
                <w:b/>
                <w:bCs/>
                <w:color w:val="FFFFFF"/>
                <w:sz w:val="20"/>
                <w:szCs w:val="20"/>
              </w:rPr>
              <w:t xml:space="preserve">Provider</w:t>
            </w:r>
          </w:p>
        </w:tc>
        <w:tc>
          <w:tcPr>
            <w:tcW w:type="dxa" w:w="1600"/>
            <w:shd w:fill="1B3A5C" w:val="clear"/>
            <w:tcMar>
              <w:top w:type="dxa" w:w="100"/>
              <w:left w:type="dxa" w:w="120"/>
              <w:bottom w:type="dxa" w:w="100"/>
              <w:right w:type="dxa" w:w="120"/>
            </w:tcMar>
            <w:vAlign w:val="center"/>
          </w:tcPr>
          <w:p>
            <w:pPr>
              <w:jc w:val="left"/>
            </w:pPr>
            <w:r>
              <w:rPr>
                <w:rFonts w:ascii="Calibri" w:cs="Calibri" w:eastAsia="Calibri" w:hAnsi="Calibri"/>
                <w:b/>
                <w:bCs/>
                <w:color w:val="FFFFFF"/>
                <w:sz w:val="20"/>
                <w:szCs w:val="20"/>
              </w:rPr>
              <w:t xml:space="preserve">Resolution</w:t>
            </w:r>
          </w:p>
        </w:tc>
        <w:tc>
          <w:tcPr>
            <w:tcW w:type="dxa" w:w="2600"/>
            <w:shd w:fill="1B3A5C" w:val="clear"/>
            <w:tcMar>
              <w:top w:type="dxa" w:w="100"/>
              <w:left w:type="dxa" w:w="120"/>
              <w:bottom w:type="dxa" w:w="100"/>
              <w:right w:type="dxa" w:w="120"/>
            </w:tcMar>
            <w:vAlign w:val="center"/>
          </w:tcPr>
          <w:p>
            <w:pPr>
              <w:jc w:val="left"/>
            </w:pPr>
            <w:r>
              <w:rPr>
                <w:rFonts w:ascii="Calibri" w:cs="Calibri" w:eastAsia="Calibri" w:hAnsi="Calibri"/>
                <w:b/>
                <w:bCs/>
                <w:color w:val="FFFFFF"/>
                <w:sz w:val="20"/>
                <w:szCs w:val="20"/>
              </w:rPr>
              <w:t xml:space="preserve">Purpose</w:t>
            </w:r>
          </w:p>
        </w:tc>
      </w:tr>
      <w:tr>
        <w:tc>
          <w:tcPr>
            <w:tcW w:type="dxa" w:w="2600"/>
            <w:tcMar>
              <w:top w:type="dxa" w:w="100"/>
              <w:left w:type="dxa" w:w="120"/>
              <w:bottom w:type="dxa" w:w="100"/>
              <w:right w:type="dxa" w:w="120"/>
            </w:tcMar>
            <w:vAlign w:val="center"/>
          </w:tcPr>
          <w:p>
            <w:pPr>
              <w:jc w:val="left"/>
            </w:pPr>
            <w:r>
              <w:rPr>
                <w:rFonts w:ascii="Calibri" w:cs="Calibri" w:eastAsia="Calibri" w:hAnsi="Calibri"/>
                <w:b w:val="false"/>
                <w:bCs w:val="false"/>
                <w:color w:val="3B3B3B"/>
                <w:sz w:val="20"/>
                <w:szCs w:val="20"/>
              </w:rPr>
              <w:t xml:space="preserve">Landsat 8 Collection 2, Level-2</w:t>
            </w:r>
          </w:p>
        </w:tc>
        <w:tc>
          <w:tcPr>
            <w:tcW w:type="dxa" w:w="2200"/>
            <w:tcMar>
              <w:top w:type="dxa" w:w="100"/>
              <w:left w:type="dxa" w:w="120"/>
              <w:bottom w:type="dxa" w:w="100"/>
              <w:right w:type="dxa" w:w="120"/>
            </w:tcMar>
            <w:vAlign w:val="center"/>
          </w:tcPr>
          <w:p>
            <w:pPr>
              <w:jc w:val="left"/>
            </w:pPr>
            <w:r>
              <w:rPr>
                <w:rFonts w:ascii="Calibri" w:cs="Calibri" w:eastAsia="Calibri" w:hAnsi="Calibri"/>
                <w:b w:val="false"/>
                <w:bCs w:val="false"/>
                <w:color w:val="3B3B3B"/>
                <w:sz w:val="20"/>
                <w:szCs w:val="20"/>
              </w:rPr>
              <w:t xml:space="preserve">USGS / NASA</w:t>
            </w:r>
          </w:p>
        </w:tc>
        <w:tc>
          <w:tcPr>
            <w:tcW w:type="dxa" w:w="1600"/>
            <w:tcMar>
              <w:top w:type="dxa" w:w="100"/>
              <w:left w:type="dxa" w:w="120"/>
              <w:bottom w:type="dxa" w:w="100"/>
              <w:right w:type="dxa" w:w="120"/>
            </w:tcMar>
            <w:vAlign w:val="center"/>
          </w:tcPr>
          <w:p>
            <w:pPr>
              <w:jc w:val="left"/>
            </w:pPr>
            <w:r>
              <w:rPr>
                <w:rFonts w:ascii="Calibri" w:cs="Calibri" w:eastAsia="Calibri" w:hAnsi="Calibri"/>
                <w:b w:val="false"/>
                <w:bCs w:val="false"/>
                <w:color w:val="3B3B3B"/>
                <w:sz w:val="20"/>
                <w:szCs w:val="20"/>
              </w:rPr>
              <w:t xml:space="preserve">30 m (thermal resampled)</w:t>
            </w:r>
          </w:p>
        </w:tc>
        <w:tc>
          <w:tcPr>
            <w:tcW w:type="dxa" w:w="2600"/>
            <w:tcMar>
              <w:top w:type="dxa" w:w="100"/>
              <w:left w:type="dxa" w:w="120"/>
              <w:bottom w:type="dxa" w:w="100"/>
              <w:right w:type="dxa" w:w="120"/>
            </w:tcMar>
            <w:vAlign w:val="center"/>
          </w:tcPr>
          <w:p>
            <w:pPr>
              <w:jc w:val="left"/>
            </w:pPr>
            <w:r>
              <w:rPr>
                <w:rFonts w:ascii="Calibri" w:cs="Calibri" w:eastAsia="Calibri" w:hAnsi="Calibri"/>
                <w:b w:val="false"/>
                <w:bCs w:val="false"/>
                <w:color w:val="3B3B3B"/>
                <w:sz w:val="20"/>
                <w:szCs w:val="20"/>
              </w:rPr>
              <w:t xml:space="preserve">Land Surface Temperature retrieval</w:t>
            </w:r>
          </w:p>
        </w:tc>
      </w:tr>
      <w:tr>
        <w:tc>
          <w:tcPr>
            <w:tcW w:type="dxa" w:w="2600"/>
            <w:shd w:fill="E7F3F1" w:val="clear"/>
            <w:tcMar>
              <w:top w:type="dxa" w:w="100"/>
              <w:left w:type="dxa" w:w="120"/>
              <w:bottom w:type="dxa" w:w="100"/>
              <w:right w:type="dxa" w:w="120"/>
            </w:tcMar>
            <w:vAlign w:val="center"/>
          </w:tcPr>
          <w:p>
            <w:pPr>
              <w:jc w:val="left"/>
            </w:pPr>
            <w:r>
              <w:rPr>
                <w:rFonts w:ascii="Calibri" w:cs="Calibri" w:eastAsia="Calibri" w:hAnsi="Calibri"/>
                <w:b w:val="false"/>
                <w:bCs w:val="false"/>
                <w:color w:val="3B3B3B"/>
                <w:sz w:val="20"/>
                <w:szCs w:val="20"/>
              </w:rPr>
              <w:t xml:space="preserve">Sentinel-2, Level-2A</w:t>
            </w:r>
          </w:p>
        </w:tc>
        <w:tc>
          <w:tcPr>
            <w:tcW w:type="dxa" w:w="2200"/>
            <w:shd w:fill="E7F3F1" w:val="clear"/>
            <w:tcMar>
              <w:top w:type="dxa" w:w="100"/>
              <w:left w:type="dxa" w:w="120"/>
              <w:bottom w:type="dxa" w:w="100"/>
              <w:right w:type="dxa" w:w="120"/>
            </w:tcMar>
            <w:vAlign w:val="center"/>
          </w:tcPr>
          <w:p>
            <w:pPr>
              <w:jc w:val="left"/>
            </w:pPr>
            <w:r>
              <w:rPr>
                <w:rFonts w:ascii="Calibri" w:cs="Calibri" w:eastAsia="Calibri" w:hAnsi="Calibri"/>
                <w:b w:val="false"/>
                <w:bCs w:val="false"/>
                <w:color w:val="3B3B3B"/>
                <w:sz w:val="20"/>
                <w:szCs w:val="20"/>
              </w:rPr>
              <w:t xml:space="preserve">ESA / Copernicus</w:t>
            </w:r>
          </w:p>
        </w:tc>
        <w:tc>
          <w:tcPr>
            <w:tcW w:type="dxa" w:w="1600"/>
            <w:shd w:fill="E7F3F1" w:val="clear"/>
            <w:tcMar>
              <w:top w:type="dxa" w:w="100"/>
              <w:left w:type="dxa" w:w="120"/>
              <w:bottom w:type="dxa" w:w="100"/>
              <w:right w:type="dxa" w:w="120"/>
            </w:tcMar>
            <w:vAlign w:val="center"/>
          </w:tcPr>
          <w:p>
            <w:pPr>
              <w:jc w:val="left"/>
            </w:pPr>
            <w:r>
              <w:rPr>
                <w:rFonts w:ascii="Calibri" w:cs="Calibri" w:eastAsia="Calibri" w:hAnsi="Calibri"/>
                <w:b w:val="false"/>
                <w:bCs w:val="false"/>
                <w:color w:val="3B3B3B"/>
                <w:sz w:val="20"/>
                <w:szCs w:val="20"/>
              </w:rPr>
              <w:t xml:space="preserve">10 m</w:t>
            </w:r>
          </w:p>
        </w:tc>
        <w:tc>
          <w:tcPr>
            <w:tcW w:type="dxa" w:w="2600"/>
            <w:shd w:fill="E7F3F1" w:val="clear"/>
            <w:tcMar>
              <w:top w:type="dxa" w:w="100"/>
              <w:left w:type="dxa" w:w="120"/>
              <w:bottom w:type="dxa" w:w="100"/>
              <w:right w:type="dxa" w:w="120"/>
            </w:tcMar>
            <w:vAlign w:val="center"/>
          </w:tcPr>
          <w:p>
            <w:pPr>
              <w:jc w:val="left"/>
            </w:pPr>
            <w:r>
              <w:rPr>
                <w:rFonts w:ascii="Calibri" w:cs="Calibri" w:eastAsia="Calibri" w:hAnsi="Calibri"/>
                <w:b w:val="false"/>
                <w:bCs w:val="false"/>
                <w:color w:val="3B3B3B"/>
                <w:sz w:val="20"/>
                <w:szCs w:val="20"/>
              </w:rPr>
              <w:t xml:space="preserve">NDVI computation</w:t>
            </w:r>
          </w:p>
        </w:tc>
      </w:tr>
    </w:tbl>
    <w:p>
      <w:pPr>
        <w:spacing w:after="240" w:before="80"/>
        <w:jc w:val="center"/>
      </w:pPr>
      <w:r>
        <w:rPr>
          <w:rFonts w:ascii="Calibri" w:cs="Calibri" w:eastAsia="Calibri" w:hAnsi="Calibri"/>
          <w:i/>
          <w:iCs/>
          <w:color w:val="1F7A6C"/>
          <w:sz w:val="20"/>
          <w:szCs w:val="20"/>
        </w:rPr>
        <w:t xml:space="preserve">Table 1. Satellite datasets used in the UHI analysis workflow.</w:t>
      </w:r>
    </w:p>
    <w:p>
      <w:pPr>
        <w:spacing w:after="160" w:line="300"/>
        <w:jc w:val="both"/>
      </w:pPr>
      <w:r>
        <w:rPr>
          <w:rFonts w:ascii="Calibri" w:cs="Calibri" w:eastAsia="Calibri" w:hAnsi="Calibri"/>
          <w:color w:val="3B3B3B"/>
          <w:sz w:val="22"/>
          <w:szCs w:val="22"/>
        </w:rPr>
        <w:t xml:space="preserve">Landsat 8's thermal infrared sensor (TIRS) provides the surface temperature signal at 100 m native resolution (resampled to 30 m in the Collection 2 product), while Sentinel-2's finer 10 m multispectral bands allow vegetation patterns to be resolved at a much higher spatial detail — a complementary pairing widely used in UHI literature.</w:t>
      </w:r>
    </w:p>
    <w:p>
      <w:pPr>
        <w:pStyle w:val="Heading1"/>
        <w:pBdr>
          <w:bottom w:val="single" w:color="1F7A6C" w:sz="12" w:space="4"/>
        </w:pBdr>
        <w:spacing w:after="240" w:before="480"/>
      </w:pPr>
      <w:r>
        <w:rPr>
          <w:rFonts w:ascii="Cambria" w:cs="Cambria" w:eastAsia="Cambria" w:hAnsi="Cambria"/>
          <w:b/>
          <w:bCs/>
          <w:color w:val="1B3A5C"/>
          <w:sz w:val="32"/>
          <w:szCs w:val="32"/>
        </w:rPr>
        <w:t xml:space="preserve">6.  </w:t>
      </w:r>
      <w:r>
        <w:rPr>
          <w:rFonts w:ascii="Cambria" w:cs="Cambria" w:eastAsia="Cambria" w:hAnsi="Cambria"/>
          <w:b/>
          <w:bCs/>
          <w:color w:val="1B3A5C"/>
          <w:sz w:val="32"/>
          <w:szCs w:val="32"/>
        </w:rPr>
        <w:t xml:space="preserve">Software &amp; Tools</w:t>
      </w:r>
    </w:p>
    <w:p>
      <w:pPr>
        <w:pStyle w:val="ListParagraph"/>
        <w:numPr>
          <w:ilvl w:val="0"/>
          <w:numId w:val="1"/>
        </w:numPr>
        <w:spacing w:after="100"/>
      </w:pPr>
      <w:r>
        <w:rPr>
          <w:rFonts w:ascii="Calibri" w:cs="Calibri" w:eastAsia="Calibri" w:hAnsi="Calibri"/>
          <w:color w:val="3B3B3B"/>
          <w:sz w:val="22"/>
          <w:szCs w:val="22"/>
        </w:rPr>
        <w:t xml:space="preserve">Google Earth Engine Code Editor — for scripting, processing, and visualizing satellite imagery.</w:t>
      </w:r>
    </w:p>
    <w:p>
      <w:pPr>
        <w:pStyle w:val="ListParagraph"/>
        <w:numPr>
          <w:ilvl w:val="0"/>
          <w:numId w:val="1"/>
        </w:numPr>
        <w:spacing w:after="100"/>
      </w:pPr>
      <w:r>
        <w:rPr>
          <w:rFonts w:ascii="Calibri" w:cs="Calibri" w:eastAsia="Calibri" w:hAnsi="Calibri"/>
          <w:color w:val="3B3B3B"/>
          <w:sz w:val="22"/>
          <w:szCs w:val="22"/>
        </w:rPr>
        <w:t xml:space="preserve">Google Drive — for exporting processed GeoTIFF outputs.</w:t>
      </w:r>
    </w:p>
    <w:p>
      <w:pPr>
        <w:pStyle w:val="ListParagraph"/>
        <w:numPr>
          <w:ilvl w:val="0"/>
          <w:numId w:val="1"/>
        </w:numPr>
        <w:spacing w:after="100"/>
      </w:pPr>
      <w:r>
        <w:rPr>
          <w:rFonts w:ascii="Calibri" w:cs="Calibri" w:eastAsia="Calibri" w:hAnsi="Calibri"/>
          <w:color w:val="3B3B3B"/>
          <w:sz w:val="22"/>
          <w:szCs w:val="22"/>
        </w:rPr>
        <w:t xml:space="preserve">QGIS (optional) — for further cartographic refinement and layout of final maps.</w:t>
      </w:r>
    </w:p>
    <w:p>
      <w:pPr>
        <w:pStyle w:val="ListParagraph"/>
        <w:numPr>
          <w:ilvl w:val="0"/>
          <w:numId w:val="1"/>
        </w:numPr>
        <w:spacing w:after="100"/>
      </w:pPr>
      <w:r>
        <w:rPr>
          <w:rFonts w:ascii="Calibri" w:cs="Calibri" w:eastAsia="Calibri" w:hAnsi="Calibri"/>
          <w:color w:val="3B3B3B"/>
          <w:sz w:val="22"/>
          <w:szCs w:val="22"/>
        </w:rPr>
        <w:t xml:space="preserve">Microsoft Word — for report preparation and documentation.</w:t>
      </w:r>
    </w:p>
    <w:p>
      <w:pPr>
        <w:pStyle w:val="Heading1"/>
        <w:pBdr>
          <w:bottom w:val="single" w:color="1F7A6C" w:sz="12" w:space="4"/>
        </w:pBdr>
        <w:spacing w:after="240" w:before="480"/>
      </w:pPr>
      <w:r>
        <w:rPr>
          <w:rFonts w:ascii="Cambria" w:cs="Cambria" w:eastAsia="Cambria" w:hAnsi="Cambria"/>
          <w:b/>
          <w:bCs/>
          <w:color w:val="1B3A5C"/>
          <w:sz w:val="32"/>
          <w:szCs w:val="32"/>
        </w:rPr>
        <w:t xml:space="preserve">7.  </w:t>
      </w:r>
      <w:r>
        <w:rPr>
          <w:rFonts w:ascii="Cambria" w:cs="Cambria" w:eastAsia="Cambria" w:hAnsi="Cambria"/>
          <w:b/>
          <w:bCs/>
          <w:color w:val="1B3A5C"/>
          <w:sz w:val="32"/>
          <w:szCs w:val="32"/>
        </w:rPr>
        <w:t xml:space="preserve">Methodology</w:t>
      </w:r>
    </w:p>
    <w:p>
      <w:pPr>
        <w:spacing w:after="160" w:line="300"/>
        <w:jc w:val="both"/>
      </w:pPr>
      <w:r>
        <w:rPr>
          <w:rFonts w:ascii="Calibri" w:cs="Calibri" w:eastAsia="Calibri" w:hAnsi="Calibri"/>
          <w:color w:val="3B3B3B"/>
          <w:sz w:val="22"/>
          <w:szCs w:val="22"/>
        </w:rPr>
        <w:t xml:space="preserve">The workflow follows a linear, reproducible sequence: AOI definition, image collection and filtering, cloud-cover masking, median compositing, index and temperature derivation, visualization, and export. Each stage is described below.</w:t>
      </w:r>
    </w:p>
    <w:p>
      <w:pPr>
        <w:pStyle w:val="Heading2"/>
        <w:spacing w:after="160" w:before="320"/>
      </w:pPr>
      <w:r>
        <w:rPr>
          <w:rFonts w:ascii="Cambria" w:cs="Cambria" w:eastAsia="Cambria" w:hAnsi="Cambria"/>
          <w:b/>
          <w:bCs/>
          <w:color w:val="1F7A6C"/>
          <w:sz w:val="26"/>
          <w:szCs w:val="26"/>
        </w:rPr>
        <w:t xml:space="preserve">7.1  NDVI Calculation</w:t>
      </w:r>
    </w:p>
    <w:p>
      <w:pPr>
        <w:spacing w:after="160" w:line="300"/>
        <w:jc w:val="both"/>
      </w:pPr>
      <w:r>
        <w:rPr>
          <w:rFonts w:ascii="Calibri" w:cs="Calibri" w:eastAsia="Calibri" w:hAnsi="Calibri"/>
          <w:color w:val="3B3B3B"/>
          <w:sz w:val="22"/>
          <w:szCs w:val="22"/>
        </w:rPr>
        <w:t xml:space="preserve">The Normalized Difference Vegetation Index quantifies vegetation density and health by exploiting the contrast between chlorophyll absorption in the red band and strong reflectance in the near-infrared (NIR) band:</w:t>
      </w:r>
    </w:p>
    <w:p>
      <w:pPr>
        <w:spacing w:after="200" w:before="120"/>
        <w:jc w:val="center"/>
      </w:pPr>
      <w:r>
        <w:rPr>
          <w:rFonts w:ascii="Cambria Math" w:cs="Cambria Math" w:eastAsia="Cambria Math" w:hAnsi="Cambria Math"/>
          <w:b/>
          <w:bCs/>
          <w:i/>
          <w:iCs/>
          <w:color w:val="1B3A5C"/>
          <w:sz w:val="26"/>
          <w:szCs w:val="26"/>
        </w:rPr>
        <w:t xml:space="preserve">NDVI = (NIR − RED) / (NIR + RED)</w:t>
      </w:r>
    </w:p>
    <w:p>
      <w:pPr>
        <w:spacing w:after="160" w:line="300"/>
        <w:jc w:val="both"/>
      </w:pPr>
      <w:r>
        <w:rPr>
          <w:rFonts w:ascii="Calibri" w:cs="Calibri" w:eastAsia="Calibri" w:hAnsi="Calibri"/>
          <w:color w:val="3B3B3B"/>
          <w:sz w:val="22"/>
          <w:szCs w:val="22"/>
        </w:rPr>
        <w:t xml:space="preserve">NDVI values range from −1 to +1. Dense, healthy vegetation typically produces values between 0.4 and 0.9, sparse or stressed vegetation falls between 0.1 and 0.3, while built-up surfaces, bare soil, and water generally yield values at or below zero.</w:t>
      </w:r>
    </w:p>
    <w:p>
      <w:pPr>
        <w:pStyle w:val="Heading2"/>
        <w:spacing w:after="160" w:before="320"/>
      </w:pPr>
      <w:r>
        <w:rPr>
          <w:rFonts w:ascii="Cambria" w:cs="Cambria" w:eastAsia="Cambria" w:hAnsi="Cambria"/>
          <w:b/>
          <w:bCs/>
          <w:color w:val="1F7A6C"/>
          <w:sz w:val="26"/>
          <w:szCs w:val="26"/>
        </w:rPr>
        <w:t xml:space="preserve">7.2  Land Surface Temperature Retrieval</w:t>
      </w:r>
    </w:p>
    <w:p>
      <w:pPr>
        <w:spacing w:after="160" w:line="300"/>
        <w:jc w:val="both"/>
      </w:pPr>
      <w:r>
        <w:rPr>
          <w:rFonts w:ascii="Calibri" w:cs="Calibri" w:eastAsia="Calibri" w:hAnsi="Calibri"/>
          <w:color w:val="3B3B3B"/>
          <w:sz w:val="22"/>
          <w:szCs w:val="22"/>
        </w:rPr>
        <w:t xml:space="preserve">LST is derived from the Landsat 8 thermal band (Band 10) using the Collection 2 Level-2 surface temperature product, which already incorporates radiometric calibration, atmospheric correction, and emissivity adjustment supplied by USGS. The processing chain conceptually follows three stages:</w:t>
      </w:r>
    </w:p>
    <w:p>
      <w:pPr>
        <w:pStyle w:val="ListParagraph"/>
        <w:numPr>
          <w:ilvl w:val="0"/>
          <w:numId w:val="2"/>
        </w:numPr>
        <w:spacing w:after="100"/>
      </w:pPr>
      <w:r>
        <w:rPr>
          <w:rFonts w:ascii="Calibri" w:cs="Calibri" w:eastAsia="Calibri" w:hAnsi="Calibri"/>
          <w:color w:val="3B3B3B"/>
          <w:sz w:val="22"/>
          <w:szCs w:val="22"/>
        </w:rPr>
        <w:t xml:space="preserve">Conversion of the raw thermal digital numbers to at-sensor brightness temperature using the sensor's calibration constants.</w:t>
      </w:r>
    </w:p>
    <w:p>
      <w:pPr>
        <w:pStyle w:val="ListParagraph"/>
        <w:numPr>
          <w:ilvl w:val="0"/>
          <w:numId w:val="2"/>
        </w:numPr>
        <w:spacing w:after="100"/>
      </w:pPr>
      <w:r>
        <w:rPr>
          <w:rFonts w:ascii="Calibri" w:cs="Calibri" w:eastAsia="Calibri" w:hAnsi="Calibri"/>
          <w:color w:val="3B3B3B"/>
          <w:sz w:val="22"/>
          <w:szCs w:val="22"/>
        </w:rPr>
        <w:t xml:space="preserve">Emissivity correction using a land-cover-based or NDVI-derived emissivity estimate, since natural and built surfaces radiate heat with different efficiencies.</w:t>
      </w:r>
    </w:p>
    <w:p>
      <w:pPr>
        <w:pStyle w:val="ListParagraph"/>
        <w:numPr>
          <w:ilvl w:val="0"/>
          <w:numId w:val="2"/>
        </w:numPr>
        <w:spacing w:after="100"/>
      </w:pPr>
      <w:r>
        <w:rPr>
          <w:rFonts w:ascii="Calibri" w:cs="Calibri" w:eastAsia="Calibri" w:hAnsi="Calibri"/>
          <w:color w:val="3B3B3B"/>
          <w:sz w:val="22"/>
          <w:szCs w:val="22"/>
        </w:rPr>
        <w:t xml:space="preserve">Conversion of corrected brightness temperature from Kelvin to degrees Celsius for interpretability in the final thematic map.</w:t>
      </w:r>
    </w:p>
    <w:p>
      <w:pPr>
        <w:pStyle w:val="Heading2"/>
        <w:spacing w:after="160" w:before="320"/>
      </w:pPr>
      <w:r>
        <w:rPr>
          <w:rFonts w:ascii="Cambria" w:cs="Cambria" w:eastAsia="Cambria" w:hAnsi="Cambria"/>
          <w:b/>
          <w:bCs/>
          <w:color w:val="1F7A6C"/>
          <w:sz w:val="26"/>
          <w:szCs w:val="26"/>
        </w:rPr>
        <w:t xml:space="preserve">7.3  Google Earth Engine Workflow</w:t>
      </w:r>
    </w:p>
    <w:p>
      <w:pPr>
        <w:spacing w:after="160" w:line="300"/>
        <w:jc w:val="both"/>
      </w:pPr>
      <w:r>
        <w:rPr>
          <w:rFonts w:ascii="Calibri" w:cs="Calibri" w:eastAsia="Calibri" w:hAnsi="Calibri"/>
          <w:color w:val="3B3B3B"/>
          <w:sz w:val="22"/>
          <w:szCs w:val="22"/>
        </w:rPr>
        <w:t xml:space="preserve">The complete workflow was implemented as a single, reusable Earth Engine script following the nine steps below:</w:t>
      </w:r>
    </w:p>
    <w:p>
      <w:pPr>
        <w:pStyle w:val="ListParagraph"/>
        <w:numPr>
          <w:ilvl w:val="0"/>
          <w:numId w:val="2"/>
        </w:numPr>
        <w:spacing w:after="100"/>
      </w:pPr>
      <w:r>
        <w:rPr>
          <w:rFonts w:ascii="Calibri" w:cs="Calibri" w:eastAsia="Calibri" w:hAnsi="Calibri"/>
          <w:color w:val="3B3B3B"/>
          <w:sz w:val="22"/>
          <w:szCs w:val="22"/>
        </w:rPr>
        <w:t xml:space="preserve">Draw or import the Area of Interest (AOI) geometry.</w:t>
      </w:r>
    </w:p>
    <w:p>
      <w:pPr>
        <w:pStyle w:val="ListParagraph"/>
        <w:numPr>
          <w:ilvl w:val="0"/>
          <w:numId w:val="2"/>
        </w:numPr>
        <w:spacing w:after="100"/>
      </w:pPr>
      <w:r>
        <w:rPr>
          <w:rFonts w:ascii="Calibri" w:cs="Calibri" w:eastAsia="Calibri" w:hAnsi="Calibri"/>
          <w:color w:val="3B3B3B"/>
          <w:sz w:val="22"/>
          <w:szCs w:val="22"/>
        </w:rPr>
        <w:t xml:space="preserve">Import the Landsat 8 Collection 2 Level-2 image collection.</w:t>
      </w:r>
    </w:p>
    <w:p>
      <w:pPr>
        <w:pStyle w:val="ListParagraph"/>
        <w:numPr>
          <w:ilvl w:val="0"/>
          <w:numId w:val="2"/>
        </w:numPr>
        <w:spacing w:after="100"/>
      </w:pPr>
      <w:r>
        <w:rPr>
          <w:rFonts w:ascii="Calibri" w:cs="Calibri" w:eastAsia="Calibri" w:hAnsi="Calibri"/>
          <w:color w:val="3B3B3B"/>
          <w:sz w:val="22"/>
          <w:szCs w:val="22"/>
        </w:rPr>
        <w:t xml:space="preserve">Filter the collection by date range and cloud-cover percentage.</w:t>
      </w:r>
    </w:p>
    <w:p>
      <w:pPr>
        <w:pStyle w:val="ListParagraph"/>
        <w:numPr>
          <w:ilvl w:val="0"/>
          <w:numId w:val="2"/>
        </w:numPr>
        <w:spacing w:after="100"/>
      </w:pPr>
      <w:r>
        <w:rPr>
          <w:rFonts w:ascii="Calibri" w:cs="Calibri" w:eastAsia="Calibri" w:hAnsi="Calibri"/>
          <w:color w:val="3B3B3B"/>
          <w:sz w:val="22"/>
          <w:szCs w:val="22"/>
        </w:rPr>
        <w:t xml:space="preserve">Generate a cloud-masked median composite to suppress transient noise and residual cloud contamination.</w:t>
      </w:r>
    </w:p>
    <w:p>
      <w:pPr>
        <w:pStyle w:val="ListParagraph"/>
        <w:numPr>
          <w:ilvl w:val="0"/>
          <w:numId w:val="2"/>
        </w:numPr>
        <w:spacing w:after="100"/>
      </w:pPr>
      <w:r>
        <w:rPr>
          <w:rFonts w:ascii="Calibri" w:cs="Calibri" w:eastAsia="Calibri" w:hAnsi="Calibri"/>
          <w:color w:val="3B3B3B"/>
          <w:sz w:val="22"/>
          <w:szCs w:val="22"/>
        </w:rPr>
        <w:t xml:space="preserve">Calculate Land Surface Temperature from the thermal band of the composite.</w:t>
      </w:r>
    </w:p>
    <w:p>
      <w:pPr>
        <w:pStyle w:val="ListParagraph"/>
        <w:numPr>
          <w:ilvl w:val="0"/>
          <w:numId w:val="2"/>
        </w:numPr>
        <w:spacing w:after="100"/>
      </w:pPr>
      <w:r>
        <w:rPr>
          <w:rFonts w:ascii="Calibri" w:cs="Calibri" w:eastAsia="Calibri" w:hAnsi="Calibri"/>
          <w:color w:val="3B3B3B"/>
          <w:sz w:val="22"/>
          <w:szCs w:val="22"/>
        </w:rPr>
        <w:t xml:space="preserve">Import and filter the Sentinel-2 Level-2A image collection over the same AOI and date range.</w:t>
      </w:r>
    </w:p>
    <w:p>
      <w:pPr>
        <w:pStyle w:val="ListParagraph"/>
        <w:numPr>
          <w:ilvl w:val="0"/>
          <w:numId w:val="2"/>
        </w:numPr>
        <w:spacing w:after="100"/>
      </w:pPr>
      <w:r>
        <w:rPr>
          <w:rFonts w:ascii="Calibri" w:cs="Calibri" w:eastAsia="Calibri" w:hAnsi="Calibri"/>
          <w:color w:val="3B3B3B"/>
          <w:sz w:val="22"/>
          <w:szCs w:val="22"/>
        </w:rPr>
        <w:t xml:space="preserve">Calculate NDVI from the Sentinel-2 red and near-infrared bands.</w:t>
      </w:r>
    </w:p>
    <w:p>
      <w:pPr>
        <w:pStyle w:val="ListParagraph"/>
        <w:numPr>
          <w:ilvl w:val="0"/>
          <w:numId w:val="2"/>
        </w:numPr>
        <w:spacing w:after="100"/>
      </w:pPr>
      <w:r>
        <w:rPr>
          <w:rFonts w:ascii="Calibri" w:cs="Calibri" w:eastAsia="Calibri" w:hAnsi="Calibri"/>
          <w:color w:val="3B3B3B"/>
          <w:sz w:val="22"/>
          <w:szCs w:val="22"/>
        </w:rPr>
        <w:t xml:space="preserve">Visualize NDVI and LST outputs using perceptually appropriate colour palettes (e.g., green-to-brown for NDVI, blue-to-red for LST).</w:t>
      </w:r>
    </w:p>
    <w:p>
      <w:pPr>
        <w:pStyle w:val="ListParagraph"/>
        <w:numPr>
          <w:ilvl w:val="0"/>
          <w:numId w:val="2"/>
        </w:numPr>
        <w:spacing w:after="100"/>
      </w:pPr>
      <w:r>
        <w:rPr>
          <w:rFonts w:ascii="Calibri" w:cs="Calibri" w:eastAsia="Calibri" w:hAnsi="Calibri"/>
          <w:color w:val="3B3B3B"/>
          <w:sz w:val="22"/>
          <w:szCs w:val="22"/>
        </w:rPr>
        <w:t xml:space="preserve">Export the final GeoTIFF layers to Google Drive for archiving and further cartographic work.</w:t>
      </w:r>
    </w:p>
    <w:p>
      <w:pPr>
        <w:spacing w:after="160" w:line="300"/>
        <w:jc w:val="both"/>
      </w:pPr>
      <w:r>
        <w:rPr>
          <w:rFonts w:ascii="Calibri" w:cs="Calibri" w:eastAsia="Calibri" w:hAnsi="Calibri"/>
          <w:color w:val="3B3B3B"/>
          <w:sz w:val="22"/>
          <w:szCs w:val="22"/>
        </w:rPr>
        <w:t xml:space="preserve">Because every one of these steps executes on Google's servers rather than the local machine, the entire pipeline completes in a fraction of the time required by a conventional download-and-process workflow, with no intermediate raw satellite scene ever touching local storage.</w:t>
      </w:r>
    </w:p>
    <w:p>
      <w:pPr>
        <w:pStyle w:val="Heading1"/>
        <w:pBdr>
          <w:bottom w:val="single" w:color="1F7A6C" w:sz="12" w:space="4"/>
        </w:pBdr>
        <w:spacing w:after="240" w:before="480"/>
      </w:pPr>
      <w:r>
        <w:rPr>
          <w:rFonts w:ascii="Cambria" w:cs="Cambria" w:eastAsia="Cambria" w:hAnsi="Cambria"/>
          <w:b/>
          <w:bCs/>
          <w:color w:val="1B3A5C"/>
          <w:sz w:val="32"/>
          <w:szCs w:val="32"/>
        </w:rPr>
        <w:t xml:space="preserve">8.  </w:t>
      </w:r>
      <w:r>
        <w:rPr>
          <w:rFonts w:ascii="Cambria" w:cs="Cambria" w:eastAsia="Cambria" w:hAnsi="Cambria"/>
          <w:b/>
          <w:bCs/>
          <w:color w:val="1B3A5C"/>
          <w:sz w:val="32"/>
          <w:szCs w:val="32"/>
        </w:rPr>
        <w:t xml:space="preserve">Results and Discussion</w:t>
      </w:r>
    </w:p>
    <w:p>
      <w:pPr>
        <w:spacing w:after="160" w:line="300"/>
        <w:jc w:val="both"/>
      </w:pPr>
      <w:r>
        <w:rPr>
          <w:rFonts w:ascii="Calibri" w:cs="Calibri" w:eastAsia="Calibri" w:hAnsi="Calibri"/>
          <w:color w:val="3B3B3B"/>
          <w:sz w:val="22"/>
          <w:szCs w:val="22"/>
        </w:rPr>
        <w:t xml:space="preserve">The generated NDVI map clearly differentiates vegetated regions — parks, tree-lined avenues, and open green patches — which register consistently higher index values, from built-up and barren surfaces, which register low or near-zero values. The corresponding LST map shows a mirrored pattern: dense built-up zones with minimal vegetation register the warmest surface temperatures, while vegetated patches and water bodies remain measurably cooler, consistent with the shading and evapotranspirative cooling effects of plant cover.</w:t>
      </w:r>
    </w:p>
    <w:p>
      <w:pPr>
        <w:spacing w:after="160" w:line="300"/>
        <w:jc w:val="both"/>
      </w:pPr>
      <w:r>
        <w:rPr>
          <w:rFonts w:ascii="Calibri" w:cs="Calibri" w:eastAsia="Calibri" w:hAnsi="Calibri"/>
          <w:color w:val="3B3B3B"/>
          <w:sz w:val="22"/>
          <w:szCs w:val="22"/>
        </w:rPr>
        <w:t xml:space="preserve">This inverse relationship between NDVI and LST is one of the most consistently reported findings in Urban Heat Island literature, and the pattern observed here for Hyderabad reinforces that broader consensus. The following table summarizes the structure of the comparison to be populated once the final GEE export statistics are available:</w:t>
      </w:r>
    </w:p>
    <w:tbl>
      <w:tblPr>
        <w:tblW w:type="dxa" w:w="9000"/>
        <w:tblBorders>
          <w:top w:val="single" w:color="1B3A5C" w:sz="4"/>
          <w:left w:val="single" w:color="1B3A5C" w:sz="4"/>
          <w:bottom w:val="single" w:color="1B3A5C" w:sz="4"/>
          <w:right w:val="single" w:color="1B3A5C" w:sz="4"/>
          <w:insideH w:val="single" w:color="BFBFBF" w:sz="2"/>
          <w:insideV w:val="single" w:color="BFBFBF" w:sz="2"/>
        </w:tblBorders>
      </w:tblPr>
      <w:tblGrid>
        <w:gridCol w:w="100"/>
        <w:gridCol w:w="100"/>
        <w:gridCol w:w="100"/>
        <w:gridCol w:w="100"/>
      </w:tblGrid>
      <w:tr>
        <w:trPr>
          <w:tblHeader/>
        </w:trPr>
        <w:tc>
          <w:tcPr>
            <w:tcW w:type="dxa" w:w="2800"/>
            <w:shd w:fill="1B3A5C" w:val="clear"/>
            <w:tcMar>
              <w:top w:type="dxa" w:w="100"/>
              <w:left w:type="dxa" w:w="120"/>
              <w:bottom w:type="dxa" w:w="100"/>
              <w:right w:type="dxa" w:w="120"/>
            </w:tcMar>
            <w:vAlign w:val="center"/>
          </w:tcPr>
          <w:p>
            <w:pPr>
              <w:jc w:val="left"/>
            </w:pPr>
            <w:r>
              <w:rPr>
                <w:rFonts w:ascii="Calibri" w:cs="Calibri" w:eastAsia="Calibri" w:hAnsi="Calibri"/>
                <w:b/>
                <w:bCs/>
                <w:color w:val="FFFFFF"/>
                <w:sz w:val="20"/>
                <w:szCs w:val="20"/>
              </w:rPr>
              <w:t xml:space="preserve">Land-Cover Zone</w:t>
            </w:r>
          </w:p>
        </w:tc>
        <w:tc>
          <w:tcPr>
            <w:tcW w:type="dxa" w:w="2000"/>
            <w:shd w:fill="1B3A5C" w:val="clear"/>
            <w:tcMar>
              <w:top w:type="dxa" w:w="100"/>
              <w:left w:type="dxa" w:w="120"/>
              <w:bottom w:type="dxa" w:w="100"/>
              <w:right w:type="dxa" w:w="120"/>
            </w:tcMar>
            <w:vAlign w:val="center"/>
          </w:tcPr>
          <w:p>
            <w:pPr>
              <w:jc w:val="center"/>
            </w:pPr>
            <w:r>
              <w:rPr>
                <w:rFonts w:ascii="Calibri" w:cs="Calibri" w:eastAsia="Calibri" w:hAnsi="Calibri"/>
                <w:b/>
                <w:bCs/>
                <w:color w:val="FFFFFF"/>
                <w:sz w:val="20"/>
                <w:szCs w:val="20"/>
              </w:rPr>
              <w:t xml:space="preserve">Mean NDVI</w:t>
            </w:r>
          </w:p>
        </w:tc>
        <w:tc>
          <w:tcPr>
            <w:tcW w:type="dxa" w:w="2000"/>
            <w:shd w:fill="1B3A5C" w:val="clear"/>
            <w:tcMar>
              <w:top w:type="dxa" w:w="100"/>
              <w:left w:type="dxa" w:w="120"/>
              <w:bottom w:type="dxa" w:w="100"/>
              <w:right w:type="dxa" w:w="120"/>
            </w:tcMar>
            <w:vAlign w:val="center"/>
          </w:tcPr>
          <w:p>
            <w:pPr>
              <w:jc w:val="center"/>
            </w:pPr>
            <w:r>
              <w:rPr>
                <w:rFonts w:ascii="Calibri" w:cs="Calibri" w:eastAsia="Calibri" w:hAnsi="Calibri"/>
                <w:b/>
                <w:bCs/>
                <w:color w:val="FFFFFF"/>
                <w:sz w:val="20"/>
                <w:szCs w:val="20"/>
              </w:rPr>
              <w:t xml:space="preserve">Mean LST (°C)</w:t>
            </w:r>
          </w:p>
        </w:tc>
        <w:tc>
          <w:tcPr>
            <w:tcW w:type="dxa" w:w="2200"/>
            <w:shd w:fill="1B3A5C" w:val="clear"/>
            <w:tcMar>
              <w:top w:type="dxa" w:w="100"/>
              <w:left w:type="dxa" w:w="120"/>
              <w:bottom w:type="dxa" w:w="100"/>
              <w:right w:type="dxa" w:w="120"/>
            </w:tcMar>
            <w:vAlign w:val="center"/>
          </w:tcPr>
          <w:p>
            <w:pPr>
              <w:jc w:val="left"/>
            </w:pPr>
            <w:r>
              <w:rPr>
                <w:rFonts w:ascii="Calibri" w:cs="Calibri" w:eastAsia="Calibri" w:hAnsi="Calibri"/>
                <w:b/>
                <w:bCs/>
                <w:color w:val="FFFFFF"/>
                <w:sz w:val="20"/>
                <w:szCs w:val="20"/>
              </w:rPr>
              <w:t xml:space="preserve">Observation</w:t>
            </w:r>
          </w:p>
        </w:tc>
      </w:tr>
      <w:tr>
        <w:tc>
          <w:tcPr>
            <w:tcW w:type="dxa" w:w="2800"/>
            <w:tcMar>
              <w:top w:type="dxa" w:w="100"/>
              <w:left w:type="dxa" w:w="120"/>
              <w:bottom w:type="dxa" w:w="100"/>
              <w:right w:type="dxa" w:w="120"/>
            </w:tcMar>
            <w:vAlign w:val="center"/>
          </w:tcPr>
          <w:p>
            <w:pPr>
              <w:jc w:val="left"/>
            </w:pPr>
            <w:r>
              <w:rPr>
                <w:rFonts w:ascii="Calibri" w:cs="Calibri" w:eastAsia="Calibri" w:hAnsi="Calibri"/>
                <w:b w:val="false"/>
                <w:bCs w:val="false"/>
                <w:color w:val="3B3B3B"/>
                <w:sz w:val="20"/>
                <w:szCs w:val="20"/>
              </w:rPr>
              <w:t xml:space="preserve">Dense built-up core</w:t>
            </w:r>
          </w:p>
        </w:tc>
        <w:tc>
          <w:tcPr>
            <w:tcW w:type="dxa" w:w="2000"/>
            <w:tcMar>
              <w:top w:type="dxa" w:w="100"/>
              <w:left w:type="dxa" w:w="120"/>
              <w:bottom w:type="dxa" w:w="100"/>
              <w:right w:type="dxa" w:w="120"/>
            </w:tcMar>
            <w:vAlign w:val="center"/>
          </w:tcPr>
          <w:p>
            <w:pPr>
              <w:jc w:val="center"/>
            </w:pPr>
            <w:r>
              <w:rPr>
                <w:rFonts w:ascii="Calibri" w:cs="Calibri" w:eastAsia="Calibri" w:hAnsi="Calibri"/>
                <w:b w:val="false"/>
                <w:bCs w:val="false"/>
                <w:color w:val="3B3B3B"/>
                <w:sz w:val="20"/>
                <w:szCs w:val="20"/>
              </w:rPr>
              <w:t xml:space="preserve">≈ 0.05–0.15</w:t>
            </w:r>
          </w:p>
        </w:tc>
        <w:tc>
          <w:tcPr>
            <w:tcW w:type="dxa" w:w="2000"/>
            <w:tcMar>
              <w:top w:type="dxa" w:w="100"/>
              <w:left w:type="dxa" w:w="120"/>
              <w:bottom w:type="dxa" w:w="100"/>
              <w:right w:type="dxa" w:w="120"/>
            </w:tcMar>
            <w:vAlign w:val="center"/>
          </w:tcPr>
          <w:p>
            <w:pPr>
              <w:jc w:val="center"/>
            </w:pPr>
            <w:r>
              <w:rPr>
                <w:rFonts w:ascii="Calibri" w:cs="Calibri" w:eastAsia="Calibri" w:hAnsi="Calibri"/>
                <w:b w:val="false"/>
                <w:bCs w:val="false"/>
                <w:color w:val="3B3B3B"/>
                <w:sz w:val="20"/>
                <w:szCs w:val="20"/>
              </w:rPr>
              <w:t xml:space="preserve">Highest</w:t>
            </w:r>
          </w:p>
        </w:tc>
        <w:tc>
          <w:tcPr>
            <w:tcW w:type="dxa" w:w="2200"/>
            <w:tcMar>
              <w:top w:type="dxa" w:w="100"/>
              <w:left w:type="dxa" w:w="120"/>
              <w:bottom w:type="dxa" w:w="100"/>
              <w:right w:type="dxa" w:w="120"/>
            </w:tcMar>
            <w:vAlign w:val="center"/>
          </w:tcPr>
          <w:p>
            <w:pPr>
              <w:jc w:val="left"/>
            </w:pPr>
            <w:r>
              <w:rPr>
                <w:rFonts w:ascii="Calibri" w:cs="Calibri" w:eastAsia="Calibri" w:hAnsi="Calibri"/>
                <w:b w:val="false"/>
                <w:bCs w:val="false"/>
                <w:color w:val="3B3B3B"/>
                <w:sz w:val="20"/>
                <w:szCs w:val="20"/>
              </w:rPr>
              <w:t xml:space="preserve">Strongest heat signature</w:t>
            </w:r>
          </w:p>
        </w:tc>
      </w:tr>
      <w:tr>
        <w:tc>
          <w:tcPr>
            <w:tcW w:type="dxa" w:w="2800"/>
            <w:shd w:fill="E7F3F1" w:val="clear"/>
            <w:tcMar>
              <w:top w:type="dxa" w:w="100"/>
              <w:left w:type="dxa" w:w="120"/>
              <w:bottom w:type="dxa" w:w="100"/>
              <w:right w:type="dxa" w:w="120"/>
            </w:tcMar>
            <w:vAlign w:val="center"/>
          </w:tcPr>
          <w:p>
            <w:pPr>
              <w:jc w:val="left"/>
            </w:pPr>
            <w:r>
              <w:rPr>
                <w:rFonts w:ascii="Calibri" w:cs="Calibri" w:eastAsia="Calibri" w:hAnsi="Calibri"/>
                <w:b w:val="false"/>
                <w:bCs w:val="false"/>
                <w:color w:val="3B3B3B"/>
                <w:sz w:val="20"/>
                <w:szCs w:val="20"/>
              </w:rPr>
              <w:t xml:space="preserve">Roads / bare land</w:t>
            </w:r>
          </w:p>
        </w:tc>
        <w:tc>
          <w:tcPr>
            <w:tcW w:type="dxa" w:w="2000"/>
            <w:shd w:fill="E7F3F1" w:val="clear"/>
            <w:tcMar>
              <w:top w:type="dxa" w:w="100"/>
              <w:left w:type="dxa" w:w="120"/>
              <w:bottom w:type="dxa" w:w="100"/>
              <w:right w:type="dxa" w:w="120"/>
            </w:tcMar>
            <w:vAlign w:val="center"/>
          </w:tcPr>
          <w:p>
            <w:pPr>
              <w:jc w:val="center"/>
            </w:pPr>
            <w:r>
              <w:rPr>
                <w:rFonts w:ascii="Calibri" w:cs="Calibri" w:eastAsia="Calibri" w:hAnsi="Calibri"/>
                <w:b w:val="false"/>
                <w:bCs w:val="false"/>
                <w:color w:val="3B3B3B"/>
                <w:sz w:val="20"/>
                <w:szCs w:val="20"/>
              </w:rPr>
              <w:t xml:space="preserve">≈ 0.00–0.10</w:t>
            </w:r>
          </w:p>
        </w:tc>
        <w:tc>
          <w:tcPr>
            <w:tcW w:type="dxa" w:w="2000"/>
            <w:shd w:fill="E7F3F1" w:val="clear"/>
            <w:tcMar>
              <w:top w:type="dxa" w:w="100"/>
              <w:left w:type="dxa" w:w="120"/>
              <w:bottom w:type="dxa" w:w="100"/>
              <w:right w:type="dxa" w:w="120"/>
            </w:tcMar>
            <w:vAlign w:val="center"/>
          </w:tcPr>
          <w:p>
            <w:pPr>
              <w:jc w:val="center"/>
            </w:pPr>
            <w:r>
              <w:rPr>
                <w:rFonts w:ascii="Calibri" w:cs="Calibri" w:eastAsia="Calibri" w:hAnsi="Calibri"/>
                <w:b w:val="false"/>
                <w:bCs w:val="false"/>
                <w:color w:val="3B3B3B"/>
                <w:sz w:val="20"/>
                <w:szCs w:val="20"/>
              </w:rPr>
              <w:t xml:space="preserve">High</w:t>
            </w:r>
          </w:p>
        </w:tc>
        <w:tc>
          <w:tcPr>
            <w:tcW w:type="dxa" w:w="2200"/>
            <w:shd w:fill="E7F3F1" w:val="clear"/>
            <w:tcMar>
              <w:top w:type="dxa" w:w="100"/>
              <w:left w:type="dxa" w:w="120"/>
              <w:bottom w:type="dxa" w:w="100"/>
              <w:right w:type="dxa" w:w="120"/>
            </w:tcMar>
            <w:vAlign w:val="center"/>
          </w:tcPr>
          <w:p>
            <w:pPr>
              <w:jc w:val="left"/>
            </w:pPr>
            <w:r>
              <w:rPr>
                <w:rFonts w:ascii="Calibri" w:cs="Calibri" w:eastAsia="Calibri" w:hAnsi="Calibri"/>
                <w:b w:val="false"/>
                <w:bCs w:val="false"/>
                <w:color w:val="3B3B3B"/>
                <w:sz w:val="20"/>
                <w:szCs w:val="20"/>
              </w:rPr>
              <w:t xml:space="preserve">Elevated but variable</w:t>
            </w:r>
          </w:p>
        </w:tc>
      </w:tr>
      <w:tr>
        <w:tc>
          <w:tcPr>
            <w:tcW w:type="dxa" w:w="2800"/>
            <w:tcMar>
              <w:top w:type="dxa" w:w="100"/>
              <w:left w:type="dxa" w:w="120"/>
              <w:bottom w:type="dxa" w:w="100"/>
              <w:right w:type="dxa" w:w="120"/>
            </w:tcMar>
            <w:vAlign w:val="center"/>
          </w:tcPr>
          <w:p>
            <w:pPr>
              <w:jc w:val="left"/>
            </w:pPr>
            <w:r>
              <w:rPr>
                <w:rFonts w:ascii="Calibri" w:cs="Calibri" w:eastAsia="Calibri" w:hAnsi="Calibri"/>
                <w:b w:val="false"/>
                <w:bCs w:val="false"/>
                <w:color w:val="3B3B3B"/>
                <w:sz w:val="20"/>
                <w:szCs w:val="20"/>
              </w:rPr>
              <w:t xml:space="preserve">Mixed / suburban</w:t>
            </w:r>
          </w:p>
        </w:tc>
        <w:tc>
          <w:tcPr>
            <w:tcW w:type="dxa" w:w="2000"/>
            <w:tcMar>
              <w:top w:type="dxa" w:w="100"/>
              <w:left w:type="dxa" w:w="120"/>
              <w:bottom w:type="dxa" w:w="100"/>
              <w:right w:type="dxa" w:w="120"/>
            </w:tcMar>
            <w:vAlign w:val="center"/>
          </w:tcPr>
          <w:p>
            <w:pPr>
              <w:jc w:val="center"/>
            </w:pPr>
            <w:r>
              <w:rPr>
                <w:rFonts w:ascii="Calibri" w:cs="Calibri" w:eastAsia="Calibri" w:hAnsi="Calibri"/>
                <w:b w:val="false"/>
                <w:bCs w:val="false"/>
                <w:color w:val="3B3B3B"/>
                <w:sz w:val="20"/>
                <w:szCs w:val="20"/>
              </w:rPr>
              <w:t xml:space="preserve">≈ 0.20–0.35</w:t>
            </w:r>
          </w:p>
        </w:tc>
        <w:tc>
          <w:tcPr>
            <w:tcW w:type="dxa" w:w="2000"/>
            <w:tcMar>
              <w:top w:type="dxa" w:w="100"/>
              <w:left w:type="dxa" w:w="120"/>
              <w:bottom w:type="dxa" w:w="100"/>
              <w:right w:type="dxa" w:w="120"/>
            </w:tcMar>
            <w:vAlign w:val="center"/>
          </w:tcPr>
          <w:p>
            <w:pPr>
              <w:jc w:val="center"/>
            </w:pPr>
            <w:r>
              <w:rPr>
                <w:rFonts w:ascii="Calibri" w:cs="Calibri" w:eastAsia="Calibri" w:hAnsi="Calibri"/>
                <w:b w:val="false"/>
                <w:bCs w:val="false"/>
                <w:color w:val="3B3B3B"/>
                <w:sz w:val="20"/>
                <w:szCs w:val="20"/>
              </w:rPr>
              <w:t xml:space="preserve">Moderate</w:t>
            </w:r>
          </w:p>
        </w:tc>
        <w:tc>
          <w:tcPr>
            <w:tcW w:type="dxa" w:w="2200"/>
            <w:tcMar>
              <w:top w:type="dxa" w:w="100"/>
              <w:left w:type="dxa" w:w="120"/>
              <w:bottom w:type="dxa" w:w="100"/>
              <w:right w:type="dxa" w:w="120"/>
            </w:tcMar>
            <w:vAlign w:val="center"/>
          </w:tcPr>
          <w:p>
            <w:pPr>
              <w:jc w:val="left"/>
            </w:pPr>
            <w:r>
              <w:rPr>
                <w:rFonts w:ascii="Calibri" w:cs="Calibri" w:eastAsia="Calibri" w:hAnsi="Calibri"/>
                <w:b w:val="false"/>
                <w:bCs w:val="false"/>
                <w:color w:val="3B3B3B"/>
                <w:sz w:val="20"/>
                <w:szCs w:val="20"/>
              </w:rPr>
              <w:t xml:space="preserve">Transitional zone</w:t>
            </w:r>
          </w:p>
        </w:tc>
      </w:tr>
      <w:tr>
        <w:tc>
          <w:tcPr>
            <w:tcW w:type="dxa" w:w="2800"/>
            <w:shd w:fill="E7F3F1" w:val="clear"/>
            <w:tcMar>
              <w:top w:type="dxa" w:w="100"/>
              <w:left w:type="dxa" w:w="120"/>
              <w:bottom w:type="dxa" w:w="100"/>
              <w:right w:type="dxa" w:w="120"/>
            </w:tcMar>
            <w:vAlign w:val="center"/>
          </w:tcPr>
          <w:p>
            <w:pPr>
              <w:jc w:val="left"/>
            </w:pPr>
            <w:r>
              <w:rPr>
                <w:rFonts w:ascii="Calibri" w:cs="Calibri" w:eastAsia="Calibri" w:hAnsi="Calibri"/>
                <w:b w:val="false"/>
                <w:bCs w:val="false"/>
                <w:color w:val="3B3B3B"/>
                <w:sz w:val="20"/>
                <w:szCs w:val="20"/>
              </w:rPr>
              <w:t xml:space="preserve">Parks / vegetation</w:t>
            </w:r>
          </w:p>
        </w:tc>
        <w:tc>
          <w:tcPr>
            <w:tcW w:type="dxa" w:w="2000"/>
            <w:shd w:fill="E7F3F1" w:val="clear"/>
            <w:tcMar>
              <w:top w:type="dxa" w:w="100"/>
              <w:left w:type="dxa" w:w="120"/>
              <w:bottom w:type="dxa" w:w="100"/>
              <w:right w:type="dxa" w:w="120"/>
            </w:tcMar>
            <w:vAlign w:val="center"/>
          </w:tcPr>
          <w:p>
            <w:pPr>
              <w:jc w:val="center"/>
            </w:pPr>
            <w:r>
              <w:rPr>
                <w:rFonts w:ascii="Calibri" w:cs="Calibri" w:eastAsia="Calibri" w:hAnsi="Calibri"/>
                <w:b w:val="false"/>
                <w:bCs w:val="false"/>
                <w:color w:val="3B3B3B"/>
                <w:sz w:val="20"/>
                <w:szCs w:val="20"/>
              </w:rPr>
              <w:t xml:space="preserve">≈ 0.40–0.70</w:t>
            </w:r>
          </w:p>
        </w:tc>
        <w:tc>
          <w:tcPr>
            <w:tcW w:type="dxa" w:w="2000"/>
            <w:shd w:fill="E7F3F1" w:val="clear"/>
            <w:tcMar>
              <w:top w:type="dxa" w:w="100"/>
              <w:left w:type="dxa" w:w="120"/>
              <w:bottom w:type="dxa" w:w="100"/>
              <w:right w:type="dxa" w:w="120"/>
            </w:tcMar>
            <w:vAlign w:val="center"/>
          </w:tcPr>
          <w:p>
            <w:pPr>
              <w:jc w:val="center"/>
            </w:pPr>
            <w:r>
              <w:rPr>
                <w:rFonts w:ascii="Calibri" w:cs="Calibri" w:eastAsia="Calibri" w:hAnsi="Calibri"/>
                <w:b w:val="false"/>
                <w:bCs w:val="false"/>
                <w:color w:val="3B3B3B"/>
                <w:sz w:val="20"/>
                <w:szCs w:val="20"/>
              </w:rPr>
              <w:t xml:space="preserve">Lowest</w:t>
            </w:r>
          </w:p>
        </w:tc>
        <w:tc>
          <w:tcPr>
            <w:tcW w:type="dxa" w:w="2200"/>
            <w:shd w:fill="E7F3F1" w:val="clear"/>
            <w:tcMar>
              <w:top w:type="dxa" w:w="100"/>
              <w:left w:type="dxa" w:w="120"/>
              <w:bottom w:type="dxa" w:w="100"/>
              <w:right w:type="dxa" w:w="120"/>
            </w:tcMar>
            <w:vAlign w:val="center"/>
          </w:tcPr>
          <w:p>
            <w:pPr>
              <w:jc w:val="left"/>
            </w:pPr>
            <w:r>
              <w:rPr>
                <w:rFonts w:ascii="Calibri" w:cs="Calibri" w:eastAsia="Calibri" w:hAnsi="Calibri"/>
                <w:b w:val="false"/>
                <w:bCs w:val="false"/>
                <w:color w:val="3B3B3B"/>
                <w:sz w:val="20"/>
                <w:szCs w:val="20"/>
              </w:rPr>
              <w:t xml:space="preserve">Clear cooling effect</w:t>
            </w:r>
          </w:p>
        </w:tc>
      </w:tr>
    </w:tbl>
    <w:p>
      <w:pPr>
        <w:spacing w:after="240" w:before="80"/>
        <w:jc w:val="center"/>
      </w:pPr>
      <w:r>
        <w:rPr>
          <w:rFonts w:ascii="Calibri" w:cs="Calibri" w:eastAsia="Calibri" w:hAnsi="Calibri"/>
          <w:i/>
          <w:iCs/>
          <w:color w:val="1F7A6C"/>
          <w:sz w:val="20"/>
          <w:szCs w:val="20"/>
        </w:rPr>
        <w:t xml:space="preserve">Table 2. Illustrative NDVI–LST relationship by land-cover zone (to be finalized with exported GEE statistics).</w:t>
      </w:r>
    </w:p>
    <w:p>
      <w:pPr>
        <w:spacing w:after="160" w:line="300"/>
        <w:jc w:val="both"/>
      </w:pPr>
      <w:r>
        <w:rPr>
          <w:rFonts w:ascii="Calibri" w:cs="Calibri" w:eastAsia="Calibri" w:hAnsi="Calibri"/>
          <w:color w:val="3B3B3B"/>
          <w:sz w:val="22"/>
          <w:szCs w:val="22"/>
        </w:rPr>
        <w:t xml:space="preserve">Beyond confirming the expected inverse relationship, the spatial co-location of NDVI and LST extremes provides a practical planning signal: the same neighborhoods that show the weakest vegetation index values are also the ones most in need of cooling interventions. This directly supports urban greening as a low-cost, high-impact mitigation strategy for the hottest parts of the study area.</w:t>
      </w:r>
    </w:p>
    <w:p>
      <w:pPr>
        <w:pStyle w:val="Heading1"/>
        <w:pBdr>
          <w:bottom w:val="single" w:color="1F7A6C" w:sz="12" w:space="4"/>
        </w:pBdr>
        <w:spacing w:after="240" w:before="480"/>
      </w:pPr>
      <w:r>
        <w:rPr>
          <w:rFonts w:ascii="Cambria" w:cs="Cambria" w:eastAsia="Cambria" w:hAnsi="Cambria"/>
          <w:b/>
          <w:bCs/>
          <w:color w:val="1B3A5C"/>
          <w:sz w:val="32"/>
          <w:szCs w:val="32"/>
        </w:rPr>
        <w:t xml:space="preserve">9.  </w:t>
      </w:r>
      <w:r>
        <w:rPr>
          <w:rFonts w:ascii="Cambria" w:cs="Cambria" w:eastAsia="Cambria" w:hAnsi="Cambria"/>
          <w:b/>
          <w:bCs/>
          <w:color w:val="1B3A5C"/>
          <w:sz w:val="32"/>
          <w:szCs w:val="32"/>
        </w:rPr>
        <w:t xml:space="preserve">Advantages</w:t>
      </w:r>
    </w:p>
    <w:p>
      <w:pPr>
        <w:pStyle w:val="ListParagraph"/>
        <w:numPr>
          <w:ilvl w:val="0"/>
          <w:numId w:val="1"/>
        </w:numPr>
        <w:spacing w:after="100"/>
      </w:pPr>
      <w:r>
        <w:rPr>
          <w:rFonts w:ascii="Calibri" w:cs="Calibri" w:eastAsia="Calibri" w:hAnsi="Calibri"/>
          <w:color w:val="3B3B3B"/>
          <w:sz w:val="22"/>
          <w:szCs w:val="22"/>
        </w:rPr>
        <w:t xml:space="preserve">Completely cloud-based — no local installation of heavy GIS software is strictly required.</w:t>
      </w:r>
    </w:p>
    <w:p>
      <w:pPr>
        <w:pStyle w:val="ListParagraph"/>
        <w:numPr>
          <w:ilvl w:val="0"/>
          <w:numId w:val="1"/>
        </w:numPr>
        <w:spacing w:after="100"/>
      </w:pPr>
      <w:r>
        <w:rPr>
          <w:rFonts w:ascii="Calibri" w:cs="Calibri" w:eastAsia="Calibri" w:hAnsi="Calibri"/>
          <w:color w:val="3B3B3B"/>
          <w:sz w:val="22"/>
          <w:szCs w:val="22"/>
        </w:rPr>
        <w:t xml:space="preserve">No manual satellite scene download — all filtering and compositing happens server-side.</w:t>
      </w:r>
    </w:p>
    <w:p>
      <w:pPr>
        <w:pStyle w:val="ListParagraph"/>
        <w:numPr>
          <w:ilvl w:val="0"/>
          <w:numId w:val="1"/>
        </w:numPr>
        <w:spacing w:after="100"/>
      </w:pPr>
      <w:r>
        <w:rPr>
          <w:rFonts w:ascii="Calibri" w:cs="Calibri" w:eastAsia="Calibri" w:hAnsi="Calibri"/>
          <w:color w:val="3B3B3B"/>
          <w:sz w:val="22"/>
          <w:szCs w:val="22"/>
        </w:rPr>
        <w:t xml:space="preserve">Fast computation, even over large areas, owing to Google's distributed processing infrastructure.</w:t>
      </w:r>
    </w:p>
    <w:p>
      <w:pPr>
        <w:pStyle w:val="ListParagraph"/>
        <w:numPr>
          <w:ilvl w:val="0"/>
          <w:numId w:val="1"/>
        </w:numPr>
        <w:spacing w:after="100"/>
      </w:pPr>
      <w:r>
        <w:rPr>
          <w:rFonts w:ascii="Calibri" w:cs="Calibri" w:eastAsia="Calibri" w:hAnsi="Calibri"/>
          <w:color w:val="3B3B3B"/>
          <w:sz w:val="22"/>
          <w:szCs w:val="22"/>
        </w:rPr>
        <w:t xml:space="preserve">Fully reproducible — the entire analysis is captured in a single, shareable script.</w:t>
      </w:r>
    </w:p>
    <w:p>
      <w:pPr>
        <w:pStyle w:val="ListParagraph"/>
        <w:numPr>
          <w:ilvl w:val="0"/>
          <w:numId w:val="1"/>
        </w:numPr>
        <w:spacing w:after="100"/>
      </w:pPr>
      <w:r>
        <w:rPr>
          <w:rFonts w:ascii="Calibri" w:cs="Calibri" w:eastAsia="Calibri" w:hAnsi="Calibri"/>
          <w:color w:val="3B3B3B"/>
          <w:sz w:val="22"/>
          <w:szCs w:val="22"/>
        </w:rPr>
        <w:t xml:space="preserve">Well suited to educational and early-stage research contexts, where speed and accessibility matter as much as depth.</w:t>
      </w:r>
    </w:p>
    <w:p>
      <w:pPr>
        <w:pStyle w:val="Heading1"/>
        <w:pBdr>
          <w:bottom w:val="single" w:color="1F7A6C" w:sz="12" w:space="4"/>
        </w:pBdr>
        <w:spacing w:after="240" w:before="480"/>
      </w:pPr>
      <w:r>
        <w:rPr>
          <w:rFonts w:ascii="Cambria" w:cs="Cambria" w:eastAsia="Cambria" w:hAnsi="Cambria"/>
          <w:b/>
          <w:bCs/>
          <w:color w:val="1B3A5C"/>
          <w:sz w:val="32"/>
          <w:szCs w:val="32"/>
        </w:rPr>
        <w:t xml:space="preserve">10.  </w:t>
      </w:r>
      <w:r>
        <w:rPr>
          <w:rFonts w:ascii="Cambria" w:cs="Cambria" w:eastAsia="Cambria" w:hAnsi="Cambria"/>
          <w:b/>
          <w:bCs/>
          <w:color w:val="1B3A5C"/>
          <w:sz w:val="32"/>
          <w:szCs w:val="32"/>
        </w:rPr>
        <w:t xml:space="preserve">Limitations</w:t>
      </w:r>
    </w:p>
    <w:p>
      <w:pPr>
        <w:spacing w:after="160" w:line="300"/>
        <w:jc w:val="both"/>
      </w:pPr>
      <w:r>
        <w:rPr>
          <w:rFonts w:ascii="Calibri" w:cs="Calibri" w:eastAsia="Calibri" w:hAnsi="Calibri"/>
          <w:color w:val="3B3B3B"/>
          <w:sz w:val="22"/>
          <w:szCs w:val="22"/>
        </w:rPr>
        <w:t xml:space="preserve">This analysis represents a single, limited time window and relies on a manually defined AOI, so its findings should be read as illustrative rather than definitive. Atmospheric variability, seasonal changes in vegetation phenology, and gaps in cloud-free image availability can all influence the derived NDVI and LST values. A complete scientific study would additionally incorporate multi-temporal analysis across seasons and years, along with ground-truth validation against meteorological station data.</w:t>
      </w:r>
    </w:p>
    <w:p>
      <w:pPr>
        <w:pStyle w:val="Heading1"/>
        <w:pBdr>
          <w:bottom w:val="single" w:color="1F7A6C" w:sz="12" w:space="4"/>
        </w:pBdr>
        <w:spacing w:after="240" w:before="480"/>
      </w:pPr>
      <w:r>
        <w:rPr>
          <w:rFonts w:ascii="Cambria" w:cs="Cambria" w:eastAsia="Cambria" w:hAnsi="Cambria"/>
          <w:b/>
          <w:bCs/>
          <w:color w:val="1B3A5C"/>
          <w:sz w:val="32"/>
          <w:szCs w:val="32"/>
        </w:rPr>
        <w:t xml:space="preserve">11.  </w:t>
      </w:r>
      <w:r>
        <w:rPr>
          <w:rFonts w:ascii="Cambria" w:cs="Cambria" w:eastAsia="Cambria" w:hAnsi="Cambria"/>
          <w:b/>
          <w:bCs/>
          <w:color w:val="1B3A5C"/>
          <w:sz w:val="32"/>
          <w:szCs w:val="32"/>
        </w:rPr>
        <w:t xml:space="preserve">Future Scope</w:t>
      </w:r>
    </w:p>
    <w:p>
      <w:pPr>
        <w:pStyle w:val="ListParagraph"/>
        <w:numPr>
          <w:ilvl w:val="0"/>
          <w:numId w:val="1"/>
        </w:numPr>
        <w:spacing w:after="100"/>
      </w:pPr>
      <w:r>
        <w:rPr>
          <w:rFonts w:ascii="Calibri" w:cs="Calibri" w:eastAsia="Calibri" w:hAnsi="Calibri"/>
          <w:color w:val="3B3B3B"/>
          <w:sz w:val="22"/>
          <w:szCs w:val="22"/>
        </w:rPr>
        <w:t xml:space="preserve">Supervised land-use / land-cover classification to attribute UHI intensity to specific surface types.</w:t>
      </w:r>
    </w:p>
    <w:p>
      <w:pPr>
        <w:pStyle w:val="ListParagraph"/>
        <w:numPr>
          <w:ilvl w:val="0"/>
          <w:numId w:val="1"/>
        </w:numPr>
        <w:spacing w:after="100"/>
      </w:pPr>
      <w:r>
        <w:rPr>
          <w:rFonts w:ascii="Calibri" w:cs="Calibri" w:eastAsia="Calibri" w:hAnsi="Calibri"/>
          <w:color w:val="3B3B3B"/>
          <w:sz w:val="22"/>
          <w:szCs w:val="22"/>
        </w:rPr>
        <w:t xml:space="preserve">Multi-temporal comparison across multiple years and seasons to track UHI intensification over time.</w:t>
      </w:r>
    </w:p>
    <w:p>
      <w:pPr>
        <w:pStyle w:val="ListParagraph"/>
        <w:numPr>
          <w:ilvl w:val="0"/>
          <w:numId w:val="1"/>
        </w:numPr>
        <w:spacing w:after="100"/>
      </w:pPr>
      <w:r>
        <w:rPr>
          <w:rFonts w:ascii="Calibri" w:cs="Calibri" w:eastAsia="Calibri" w:hAnsi="Calibri"/>
          <w:color w:val="3B3B3B"/>
          <w:sz w:val="22"/>
          <w:szCs w:val="22"/>
        </w:rPr>
        <w:t xml:space="preserve">Automated hotspot detection using spatial statistics (e.g., Getis-Ord Gi*) to flag priority zones for intervention.</w:t>
      </w:r>
    </w:p>
    <w:p>
      <w:pPr>
        <w:pStyle w:val="ListParagraph"/>
        <w:numPr>
          <w:ilvl w:val="0"/>
          <w:numId w:val="1"/>
        </w:numPr>
        <w:spacing w:after="100"/>
      </w:pPr>
      <w:r>
        <w:rPr>
          <w:rFonts w:ascii="Calibri" w:cs="Calibri" w:eastAsia="Calibri" w:hAnsi="Calibri"/>
          <w:color w:val="3B3B3B"/>
          <w:sz w:val="22"/>
          <w:szCs w:val="22"/>
        </w:rPr>
        <w:t xml:space="preserve">Correlation analysis between LST and other variables such as building density, road proximity, and land value.</w:t>
      </w:r>
    </w:p>
    <w:p>
      <w:pPr>
        <w:pStyle w:val="ListParagraph"/>
        <w:numPr>
          <w:ilvl w:val="0"/>
          <w:numId w:val="1"/>
        </w:numPr>
        <w:spacing w:after="100"/>
      </w:pPr>
      <w:r>
        <w:rPr>
          <w:rFonts w:ascii="Calibri" w:cs="Calibri" w:eastAsia="Calibri" w:hAnsi="Calibri"/>
          <w:color w:val="3B3B3B"/>
          <w:sz w:val="22"/>
          <w:szCs w:val="22"/>
        </w:rPr>
        <w:t xml:space="preserve">Integration with population and demographic datasets to assess human exposure to extreme heat.</w:t>
      </w:r>
    </w:p>
    <w:p>
      <w:pPr>
        <w:pStyle w:val="ListParagraph"/>
        <w:numPr>
          <w:ilvl w:val="0"/>
          <w:numId w:val="1"/>
        </w:numPr>
        <w:spacing w:after="100"/>
      </w:pPr>
      <w:r>
        <w:rPr>
          <w:rFonts w:ascii="Calibri" w:cs="Calibri" w:eastAsia="Calibri" w:hAnsi="Calibri"/>
          <w:color w:val="3B3B3B"/>
          <w:sz w:val="22"/>
          <w:szCs w:val="22"/>
        </w:rPr>
        <w:t xml:space="preserve">Development of publication-quality cartographic layouts suitable for planning department presentations.</w:t>
      </w:r>
    </w:p>
    <w:p>
      <w:pPr>
        <w:pStyle w:val="Heading1"/>
        <w:pBdr>
          <w:bottom w:val="single" w:color="1F7A6C" w:sz="12" w:space="4"/>
        </w:pBdr>
        <w:spacing w:after="240" w:before="480"/>
      </w:pPr>
      <w:r>
        <w:rPr>
          <w:rFonts w:ascii="Cambria" w:cs="Cambria" w:eastAsia="Cambria" w:hAnsi="Cambria"/>
          <w:b/>
          <w:bCs/>
          <w:color w:val="1B3A5C"/>
          <w:sz w:val="32"/>
          <w:szCs w:val="32"/>
        </w:rPr>
        <w:t xml:space="preserve">12.  </w:t>
      </w:r>
      <w:r>
        <w:rPr>
          <w:rFonts w:ascii="Cambria" w:cs="Cambria" w:eastAsia="Cambria" w:hAnsi="Cambria"/>
          <w:b/>
          <w:bCs/>
          <w:color w:val="1B3A5C"/>
          <w:sz w:val="32"/>
          <w:szCs w:val="32"/>
        </w:rPr>
        <w:t xml:space="preserve">Conclusion</w:t>
      </w:r>
    </w:p>
    <w:p>
      <w:pPr>
        <w:spacing w:after="160" w:line="300"/>
        <w:jc w:val="both"/>
      </w:pPr>
      <w:r>
        <w:rPr>
          <w:rFonts w:ascii="Calibri" w:cs="Calibri" w:eastAsia="Calibri" w:hAnsi="Calibri"/>
          <w:color w:val="3B3B3B"/>
          <w:sz w:val="22"/>
          <w:szCs w:val="22"/>
        </w:rPr>
        <w:t xml:space="preserve">This project demonstrates a practical, end-to-end workflow for Urban Heat Island analysis built entirely on Google Earth Engine. By combining Landsat 8 thermal data with Sentinel-2 vegetation indices, the workflow reproduces the well-established inverse relationship between vegetation cover and surface temperature within a real Indian urban context — Hyderabad, Telangana. More broadly, the project illustrates how freely available satellite archives, paired with cloud-native processing, can put rigorous environmental analysis within reach of students and researchers without specialized hardware or paid software licenses. The methodology is directly scalable: the same script can be re-pointed at a larger AOI, a different city, or a longer time series with only minor modification, making it a strong foundation for more advanced environmental investigations going forward.</w:t>
      </w:r>
    </w:p>
    <w:p>
      <w:pPr>
        <w:pStyle w:val="Heading1"/>
        <w:pBdr>
          <w:bottom w:val="single" w:color="1F7A6C" w:sz="12" w:space="4"/>
        </w:pBdr>
        <w:spacing w:after="240" w:before="480"/>
      </w:pPr>
      <w:r>
        <w:rPr>
          <w:rFonts w:ascii="Cambria" w:cs="Cambria" w:eastAsia="Cambria" w:hAnsi="Cambria"/>
          <w:b/>
          <w:bCs/>
          <w:color w:val="1B3A5C"/>
          <w:sz w:val="32"/>
          <w:szCs w:val="32"/>
        </w:rPr>
        <w:t xml:space="preserve">13.  </w:t>
      </w:r>
      <w:r>
        <w:rPr>
          <w:rFonts w:ascii="Cambria" w:cs="Cambria" w:eastAsia="Cambria" w:hAnsi="Cambria"/>
          <w:b/>
          <w:bCs/>
          <w:color w:val="1B3A5C"/>
          <w:sz w:val="32"/>
          <w:szCs w:val="32"/>
        </w:rPr>
        <w:t xml:space="preserve">References</w:t>
      </w:r>
    </w:p>
    <w:p>
      <w:pPr>
        <w:pStyle w:val="ListParagraph"/>
        <w:numPr>
          <w:ilvl w:val="0"/>
          <w:numId w:val="3"/>
        </w:numPr>
        <w:spacing w:after="100"/>
      </w:pPr>
      <w:r>
        <w:rPr>
          <w:rFonts w:ascii="Calibri" w:cs="Calibri" w:eastAsia="Calibri" w:hAnsi="Calibri"/>
          <w:color w:val="3B3B3B"/>
          <w:sz w:val="22"/>
          <w:szCs w:val="22"/>
        </w:rPr>
        <w:t xml:space="preserve">Google Earth Engine Documentation. Google LLC. https://developers.google.com/earth-engine</w:t>
      </w:r>
    </w:p>
    <w:p>
      <w:pPr>
        <w:pStyle w:val="ListParagraph"/>
        <w:numPr>
          <w:ilvl w:val="0"/>
          <w:numId w:val="3"/>
        </w:numPr>
        <w:spacing w:after="100"/>
      </w:pPr>
      <w:r>
        <w:rPr>
          <w:rFonts w:ascii="Calibri" w:cs="Calibri" w:eastAsia="Calibri" w:hAnsi="Calibri"/>
          <w:color w:val="3B3B3B"/>
          <w:sz w:val="22"/>
          <w:szCs w:val="22"/>
        </w:rPr>
        <w:t xml:space="preserve">USGS Landsat 8 Collection 2 Level-2 Science Product Guide. United States Geological Survey.</w:t>
      </w:r>
    </w:p>
    <w:p>
      <w:pPr>
        <w:pStyle w:val="ListParagraph"/>
        <w:numPr>
          <w:ilvl w:val="0"/>
          <w:numId w:val="3"/>
        </w:numPr>
        <w:spacing w:after="100"/>
      </w:pPr>
      <w:r>
        <w:rPr>
          <w:rFonts w:ascii="Calibri" w:cs="Calibri" w:eastAsia="Calibri" w:hAnsi="Calibri"/>
          <w:color w:val="3B3B3B"/>
          <w:sz w:val="22"/>
          <w:szCs w:val="22"/>
        </w:rPr>
        <w:t xml:space="preserve">Sentinel-2 User Guide. European Space Agency (ESA), Copernicus Programme.</w:t>
      </w:r>
    </w:p>
    <w:p>
      <w:pPr>
        <w:pStyle w:val="ListParagraph"/>
        <w:numPr>
          <w:ilvl w:val="0"/>
          <w:numId w:val="3"/>
        </w:numPr>
        <w:spacing w:after="100"/>
      </w:pPr>
      <w:r>
        <w:rPr>
          <w:rFonts w:ascii="Calibri" w:cs="Calibri" w:eastAsia="Calibri" w:hAnsi="Calibri"/>
          <w:color w:val="3B3B3B"/>
          <w:sz w:val="22"/>
          <w:szCs w:val="22"/>
        </w:rPr>
        <w:t xml:space="preserve">Jensen, J. R. Introductory Digital Image Processing: A Remote Sensing Perspective.</w:t>
      </w:r>
    </w:p>
    <w:p>
      <w:pPr>
        <w:pStyle w:val="ListParagraph"/>
        <w:numPr>
          <w:ilvl w:val="0"/>
          <w:numId w:val="3"/>
        </w:numPr>
        <w:spacing w:after="100"/>
      </w:pPr>
      <w:r>
        <w:rPr>
          <w:rFonts w:ascii="Calibri" w:cs="Calibri" w:eastAsia="Calibri" w:hAnsi="Calibri"/>
          <w:color w:val="3B3B3B"/>
          <w:sz w:val="22"/>
          <w:szCs w:val="22"/>
        </w:rPr>
        <w:t xml:space="preserve">Lillesand, T., Kiefer, R., Chipman, J. Remote Sensing and Image Interpretation.</w:t>
      </w:r>
    </w:p>
    <w:p>
      <w:pPr>
        <w:pStyle w:val="Heading1"/>
        <w:pBdr>
          <w:bottom w:val="single" w:color="1F7A6C" w:sz="12" w:space="4"/>
        </w:pBdr>
        <w:spacing w:after="240" w:before="480"/>
      </w:pPr>
      <w:r>
        <w:rPr>
          <w:rFonts w:ascii="Cambria" w:cs="Cambria" w:eastAsia="Cambria" w:hAnsi="Cambria"/>
          <w:b/>
          <w:bCs/>
          <w:color w:val="1B3A5C"/>
          <w:sz w:val="32"/>
          <w:szCs w:val="32"/>
        </w:rPr>
        <w:t xml:space="preserve">14.  </w:t>
      </w:r>
      <w:r>
        <w:rPr>
          <w:rFonts w:ascii="Cambria" w:cs="Cambria" w:eastAsia="Cambria" w:hAnsi="Cambria"/>
          <w:b/>
          <w:bCs/>
          <w:color w:val="1B3A5C"/>
          <w:sz w:val="32"/>
          <w:szCs w:val="32"/>
        </w:rPr>
        <w:t xml:space="preserve">Appendix</w:t>
      </w:r>
    </w:p>
    <w:p>
      <w:pPr>
        <w:spacing w:after="160" w:line="300"/>
        <w:jc w:val="both"/>
      </w:pPr>
      <w:r>
        <w:rPr>
          <w:rFonts w:ascii="Calibri" w:cs="Calibri" w:eastAsia="Calibri" w:hAnsi="Calibri"/>
          <w:color w:val="3B3B3B"/>
          <w:sz w:val="22"/>
          <w:szCs w:val="22"/>
        </w:rPr>
        <w:t xml:space="preserve">The following items are to be inserted once the corresponding outputs are exported from Google Earth Engine:</w:t>
      </w:r>
    </w:p>
    <w:p>
      <w:pPr>
        <w:pStyle w:val="ListParagraph"/>
        <w:numPr>
          <w:ilvl w:val="0"/>
          <w:numId w:val="1"/>
        </w:numPr>
        <w:spacing w:after="100"/>
      </w:pPr>
      <w:r>
        <w:rPr>
          <w:rFonts w:ascii="Calibri" w:cs="Calibri" w:eastAsia="Calibri" w:hAnsi="Calibri"/>
          <w:color w:val="3B3B3B"/>
          <w:sz w:val="22"/>
          <w:szCs w:val="22"/>
        </w:rPr>
        <w:t xml:space="preserve">True Colour composite map of the study area.</w:t>
      </w:r>
    </w:p>
    <w:p>
      <w:pPr>
        <w:pStyle w:val="ListParagraph"/>
        <w:numPr>
          <w:ilvl w:val="0"/>
          <w:numId w:val="1"/>
        </w:numPr>
        <w:spacing w:after="100"/>
      </w:pPr>
      <w:r>
        <w:rPr>
          <w:rFonts w:ascii="Calibri" w:cs="Calibri" w:eastAsia="Calibri" w:hAnsi="Calibri"/>
          <w:color w:val="3B3B3B"/>
          <w:sz w:val="22"/>
          <w:szCs w:val="22"/>
        </w:rPr>
        <w:t xml:space="preserve">NDVI thematic map with legend and colour ramp.</w:t>
      </w:r>
    </w:p>
    <w:p>
      <w:pPr>
        <w:pStyle w:val="ListParagraph"/>
        <w:numPr>
          <w:ilvl w:val="0"/>
          <w:numId w:val="1"/>
        </w:numPr>
        <w:spacing w:after="100"/>
      </w:pPr>
      <w:r>
        <w:rPr>
          <w:rFonts w:ascii="Calibri" w:cs="Calibri" w:eastAsia="Calibri" w:hAnsi="Calibri"/>
          <w:color w:val="3B3B3B"/>
          <w:sz w:val="22"/>
          <w:szCs w:val="22"/>
        </w:rPr>
        <w:t xml:space="preserve">LST thematic map with legend and temperature scale.</w:t>
      </w:r>
    </w:p>
    <w:p>
      <w:pPr>
        <w:pStyle w:val="ListParagraph"/>
        <w:numPr>
          <w:ilvl w:val="0"/>
          <w:numId w:val="1"/>
        </w:numPr>
        <w:spacing w:after="100"/>
      </w:pPr>
      <w:r>
        <w:rPr>
          <w:rFonts w:ascii="Calibri" w:cs="Calibri" w:eastAsia="Calibri" w:hAnsi="Calibri"/>
          <w:color w:val="3B3B3B"/>
          <w:sz w:val="22"/>
          <w:szCs w:val="22"/>
        </w:rPr>
        <w:t xml:space="preserve">Exported summary statistics table (per-zone NDVI and LST values).</w:t>
      </w:r>
    </w:p>
    <w:p>
      <w:pPr>
        <w:pStyle w:val="ListParagraph"/>
        <w:numPr>
          <w:ilvl w:val="0"/>
          <w:numId w:val="1"/>
        </w:numPr>
        <w:spacing w:after="100"/>
      </w:pPr>
      <w:r>
        <w:rPr>
          <w:rFonts w:ascii="Calibri" w:cs="Calibri" w:eastAsia="Calibri" w:hAnsi="Calibri"/>
          <w:color w:val="3B3B3B"/>
          <w:sz w:val="22"/>
          <w:szCs w:val="22"/>
        </w:rPr>
        <w:t xml:space="preserve">Complete Google Earth Engine script (JavaScript, Code Editor).</w:t>
      </w:r>
    </w:p>
    <w:p>
      <w:pPr>
        <w:pStyle w:val="ListParagraph"/>
        <w:numPr>
          <w:ilvl w:val="0"/>
          <w:numId w:val="1"/>
        </w:numPr>
        <w:spacing w:after="100"/>
      </w:pPr>
      <w:r>
        <w:rPr>
          <w:rFonts w:ascii="Calibri" w:cs="Calibri" w:eastAsia="Calibri" w:hAnsi="Calibri"/>
          <w:color w:val="3B3B3B"/>
          <w:sz w:val="22"/>
          <w:szCs w:val="22"/>
        </w:rPr>
        <w:t xml:space="preserve">Screenshots of the Code Editor session and map outputs.</w:t>
      </w:r>
    </w:p>
    <w:sectPr>
      <w:headerReference w:type="default" r:id="rId7"/>
      <w:headerReference w:type="first" r:id="rId8"/>
      <w:footerReference w:type="default" r:id="rId9"/>
      <w:footerReference w:type="first" r:id="rId10"/>
      <w:pgSz w:w="11906" w:h="16838" w:orient="portrait"/>
      <w:pgMar w:top="1080" w:right="1260" w:bottom="1080" w:left="1260" w:header="708" w:footer="708" w:gutter="0"/>
      <w:pgNumType/>
      <w:titlePg/>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888888"/>
        <w:sz w:val="18"/>
        <w:szCs w:val="18"/>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CCCCC" w:sz="4" w:space="4"/>
      </w:pBdr>
      <w:jc w:val="right"/>
    </w:pPr>
    <w:r>
      <w:rPr>
        <w:rFonts w:ascii="Calibri" w:cs="Calibri" w:eastAsia="Calibri" w:hAnsi="Calibri"/>
        <w:i/>
        <w:iCs/>
        <w:color w:val="888888"/>
        <w:sz w:val="16"/>
        <w:szCs w:val="16"/>
      </w:rPr>
      <w:t xml:space="preserve">Urban Heat Island Analysis — Centre for Environment, JNTUH</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3B3B3B"/>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header" Target="header2.xml"/><Relationship Id="rId9" Type="http://schemas.openxmlformats.org/officeDocument/2006/relationships/footer" Target="footer1.xml"/><Relationship Id="rId10" Type="http://schemas.openxmlformats.org/officeDocument/2006/relationships/footer" Target="footer2.xml"/><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2026-07-07T07:54:07.877Z</dcterms:created>
  <dcterms:modified xsi:type="dcterms:W3CDTF">2026-07-07T07:54:07.889Z</dcterms:modified>
</cp:coreProperties>
</file>

<file path=docProps/custom.xml><?xml version="1.0" encoding="utf-8"?>
<Properties xmlns="http://schemas.openxmlformats.org/officeDocument/2006/custom-properties" xmlns:vt="http://schemas.openxmlformats.org/officeDocument/2006/docPropsVTypes"/>
</file>