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0"/>
        <w:jc w:val="center"/>
      </w:pPr>
      <w:r>
        <w:rPr>
          <w:rFonts w:ascii="Arial" w:cs="Arial" w:eastAsia="Arial" w:hAnsi="Arial"/>
          <w:b/>
          <w:bCs/>
          <w:i w:val="false"/>
          <w:iCs w:val="false"/>
          <w:color w:val="1F3864"/>
          <w:sz w:val="52"/>
          <w:szCs w:val="52"/>
        </w:rPr>
        <w:t xml:space="preserve">PsicoManager</w:t>
      </w:r>
    </w:p>
    <w:p>
      <w:pPr>
        <w:spacing w:after="140" w:before="0"/>
        <w:jc w:val="center"/>
      </w:pPr>
      <w:r>
        <w:rPr>
          <w:rFonts w:ascii="Arial" w:cs="Arial" w:eastAsia="Arial" w:hAnsi="Arial"/>
          <w:b/>
          <w:bCs/>
          <w:i w:val="false"/>
          <w:iCs w:val="false"/>
          <w:color w:val="2E75B6"/>
          <w:sz w:val="32"/>
          <w:szCs w:val="32"/>
        </w:rPr>
        <w:t xml:space="preserve">Dicionário de Dados — Glossário</w:t>
      </w:r>
    </w:p>
    <w:p>
      <w:pPr>
        <w:spacing w:after="1400" w:before="0"/>
        <w:jc w:val="center"/>
      </w:pPr>
      <w:r>
        <w:rPr>
          <w:rFonts w:ascii="Arial" w:cs="Arial" w:eastAsia="Arial" w:hAnsi="Arial"/>
          <w:b w:val="false"/>
          <w:bCs w:val="false"/>
          <w:i/>
          <w:iCs/>
          <w:color w:val="888888"/>
          <w:sz w:val="20"/>
          <w:szCs w:val="20"/>
        </w:rPr>
        <w:t xml:space="preserve">Referência: Larman, Cap. 7.8 e 7.9  |  Gabarito Cockburn / PU  |  Maio de 2026</w:t>
      </w:r>
    </w:p>
    <w:p>
      <w:pPr>
        <w:spacing w:after="40" w:before="40"/>
        <w:jc w:val="center"/>
      </w:pPr>
      <w:r>
        <w:rPr>
          <w:rFonts w:ascii="Arial" w:cs="Arial" w:eastAsia="Arial" w:hAnsi="Arial"/>
          <w:b w:val="false"/>
          <w:bCs w:val="false"/>
          <w:i/>
          <w:iCs/>
          <w:color w:val="555555"/>
          <w:sz w:val="19"/>
          <w:szCs w:val="19"/>
        </w:rPr>
        <w:t xml:space="preserve">Equipe: Vinicius · Blamires · Adriano · Gabriel Borges · Gabriel Rodrigues · Heitor · Jefferson</w:t>
      </w:r>
    </w:p>
    <w:p>
      <w:pPr>
        <w:spacing w:after="40" w:before="40"/>
        <w:jc w:val="left"/>
      </w:pPr>
      <w:r>
        <w:br w:type="page"/>
      </w:r>
    </w:p>
    <w:p>
      <w:pPr>
        <w:pStyle w:val="Heading1"/>
        <w:spacing w:after="180" w:before="480"/>
      </w:pPr>
      <w:r>
        <w:rPr>
          <w:rFonts w:ascii="Arial" w:cs="Arial" w:eastAsia="Arial" w:hAnsi="Arial"/>
          <w:b/>
          <w:bCs/>
          <w:color w:val="1F3864"/>
          <w:sz w:val="28"/>
          <w:szCs w:val="28"/>
        </w:rPr>
        <w:t xml:space="preserve">1. Histórico de Revisões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560"/>
        <w:gridCol w:w="1400"/>
      </w:tblGrid>
      <w:tr>
        <w:tc>
          <w:tcPr>
            <w:tcW w:type="dxa" w:w="1400"/>
            <w:tcBorders>
              <w:top w:val="single" w:color="CCCCCC" w:sz="1"/>
              <w:left w:val="single" w:color="CCCCCC" w:sz="1"/>
              <w:bottom w:val="single" w:color="CCCCCC" w:sz="1"/>
              <w:right w:val="single" w:color="CCCCCC" w:sz="1"/>
            </w:tcBorders>
            <w:shd w:fill="BDD7F0"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F3864"/>
                <w:sz w:val="18"/>
                <w:szCs w:val="18"/>
              </w:rPr>
              <w:t xml:space="preserve">Versão</w:t>
            </w:r>
          </w:p>
        </w:tc>
        <w:tc>
          <w:tcPr>
            <w:tcW w:type="dxa" w:w="2000"/>
            <w:tcBorders>
              <w:top w:val="single" w:color="CCCCCC" w:sz="1"/>
              <w:left w:val="single" w:color="CCCCCC" w:sz="1"/>
              <w:bottom w:val="single" w:color="CCCCCC" w:sz="1"/>
              <w:right w:val="single" w:color="CCCCCC" w:sz="1"/>
            </w:tcBorders>
            <w:shd w:fill="BDD7F0"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F3864"/>
                <w:sz w:val="18"/>
                <w:szCs w:val="18"/>
              </w:rPr>
              <w:t xml:space="preserve">Data</w:t>
            </w:r>
          </w:p>
        </w:tc>
        <w:tc>
          <w:tcPr>
            <w:tcW w:type="dxa" w:w="4560"/>
            <w:tcBorders>
              <w:top w:val="single" w:color="CCCCCC" w:sz="1"/>
              <w:left w:val="single" w:color="CCCCCC" w:sz="1"/>
              <w:bottom w:val="single" w:color="CCCCCC" w:sz="1"/>
              <w:right w:val="single" w:color="CCCCCC" w:sz="1"/>
            </w:tcBorders>
            <w:shd w:fill="BDD7F0"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F3864"/>
                <w:sz w:val="18"/>
                <w:szCs w:val="18"/>
              </w:rPr>
              <w:t xml:space="preserve">Descrição</w:t>
            </w:r>
          </w:p>
        </w:tc>
        <w:tc>
          <w:tcPr>
            <w:tcW w:type="dxa" w:w="1400"/>
            <w:tcBorders>
              <w:top w:val="single" w:color="CCCCCC" w:sz="1"/>
              <w:left w:val="single" w:color="CCCCCC" w:sz="1"/>
              <w:bottom w:val="single" w:color="CCCCCC" w:sz="1"/>
              <w:right w:val="single" w:color="CCCCCC" w:sz="1"/>
            </w:tcBorders>
            <w:shd w:fill="BDD7F0"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F3864"/>
                <w:sz w:val="18"/>
                <w:szCs w:val="18"/>
              </w:rPr>
              <w:t xml:space="preserve">Autor</w:t>
            </w:r>
          </w:p>
        </w:tc>
      </w:tr>
      <w:tr>
        <w:tc>
          <w:tcPr>
            <w:tcW w:type="dxa" w:w="14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Maio / 2026</w:t>
            </w:r>
          </w:p>
        </w:tc>
        <w:tc>
          <w:tcPr>
            <w:tcW w:type="dxa" w:w="456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Primeira minuta — concepção. A ser refinada durante a elaboração.</w:t>
            </w:r>
          </w:p>
        </w:tc>
        <w:tc>
          <w:tcPr>
            <w:tcW w:type="dxa" w:w="14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Equipe</w:t>
            </w:r>
          </w:p>
        </w:tc>
      </w:tr>
    </w:tbl>
    <w:p>
      <w:pPr>
        <w:spacing w:after="40" w:before="40"/>
        <w:jc w:val="left"/>
      </w:pPr>
      <w:r>
        <w:rPr>
          <w:rFonts w:ascii="Arial" w:cs="Arial" w:eastAsia="Arial" w:hAnsi="Arial"/>
          <w:b w:val="false"/>
          <w:bCs w:val="false"/>
          <w:i w:val="false"/>
          <w:iCs w:val="false"/>
          <w:color w:val="222222"/>
          <w:sz w:val="19"/>
          <w:szCs w:val="19"/>
        </w:rPr>
        <w:t xml:space="preserve"/>
      </w:r>
    </w:p>
    <w:p>
      <w:pPr>
        <w:pStyle w:val="Heading1"/>
        <w:spacing w:after="180" w:before="480"/>
      </w:pPr>
      <w:r>
        <w:rPr>
          <w:rFonts w:ascii="Arial" w:cs="Arial" w:eastAsia="Arial" w:hAnsi="Arial"/>
          <w:b/>
          <w:bCs/>
          <w:color w:val="1F3864"/>
          <w:sz w:val="28"/>
          <w:szCs w:val="28"/>
        </w:rPr>
        <w:t xml:space="preserve">2. Introdução</w:t>
      </w:r>
    </w:p>
    <w:p>
      <w:pPr>
        <w:spacing w:after="60" w:before="60"/>
        <w:jc w:val="both"/>
      </w:pPr>
      <w:r>
        <w:rPr>
          <w:rFonts w:ascii="Arial" w:cs="Arial" w:eastAsia="Arial" w:hAnsi="Arial"/>
          <w:b w:val="false"/>
          <w:bCs w:val="false"/>
          <w:i w:val="false"/>
          <w:iCs w:val="false"/>
          <w:color w:val="222222"/>
          <w:sz w:val="19"/>
          <w:szCs w:val="19"/>
        </w:rPr>
        <w:t xml:space="preserve">Este documento constitui o Glossário e Dicionário de Dados do sistema PsicoManager, conforme modelo proposto por Larman (Cap. 7.8 e 7.9). Na sua forma mais simples, o Glossário define os termos relevantes do domínio. Na sua forma expandida — aqui adotada — atua como Dicionário de Dados, registrando metadados de cada elemento: tipo, tamanho, unidade, relacionamentos com outros elementos, intervalo de valores válidos e regras de validação.</w:t>
      </w:r>
    </w:p>
    <w:p>
      <w:pPr>
        <w:spacing w:after="60" w:before="60"/>
        <w:jc w:val="both"/>
      </w:pPr>
      <w:r>
        <w:rPr>
          <w:rFonts w:ascii="Arial" w:cs="Arial" w:eastAsia="Arial" w:hAnsi="Arial"/>
          <w:b w:val="false"/>
          <w:bCs w:val="false"/>
          <w:i w:val="false"/>
          <w:iCs w:val="false"/>
          <w:color w:val="222222"/>
          <w:sz w:val="19"/>
          <w:szCs w:val="19"/>
        </w:rPr>
        <w:t xml:space="preserve">Conforme orientação de Larman: "Comece o Glossário desde o início do projeto. Ele vai se tornar rapidamente um repositório útil de informação detalhada relativa a elementos de granularidade fina" (Cap. 7.9). Os termos aqui definidos correspondem às entidades, atores, atributos e conceitos identificados nos Casos de Uso, no Documento Visão e na Especificação Suplementar do PsicoManager.</w:t>
      </w:r>
    </w:p>
    <w:p>
      <w:pPr>
        <w:spacing w:after="40" w:before="40"/>
        <w:jc w:val="left"/>
      </w:pPr>
      <w:r>
        <w:rPr>
          <w:rFonts w:ascii="Arial" w:cs="Arial" w:eastAsia="Arial" w:hAnsi="Arial"/>
          <w:b w:val="false"/>
          <w:bCs w:val="false"/>
          <w:i w:val="false"/>
          <w:iCs w:val="false"/>
          <w:color w:val="222222"/>
          <w:sz w:val="19"/>
          <w:szCs w:val="19"/>
        </w:rPr>
        <w:t xml:space="preserve"/>
      </w:r>
    </w:p>
    <w:p>
      <w:pPr>
        <w:pStyle w:val="Heading1"/>
        <w:spacing w:after="180" w:before="480"/>
      </w:pPr>
      <w:r>
        <w:rPr>
          <w:rFonts w:ascii="Arial" w:cs="Arial" w:eastAsia="Arial" w:hAnsi="Arial"/>
          <w:b/>
          <w:bCs/>
          <w:color w:val="1F3864"/>
          <w:sz w:val="28"/>
          <w:szCs w:val="28"/>
        </w:rPr>
        <w:t xml:space="preserve">3. Estrutura das Colunas</w:t>
      </w:r>
    </w:p>
    <w:p>
      <w:pPr>
        <w:spacing w:after="60" w:before="60"/>
        <w:jc w:val="both"/>
      </w:pPr>
      <w:r>
        <w:rPr>
          <w:rFonts w:ascii="Arial" w:cs="Arial" w:eastAsia="Arial" w:hAnsi="Arial"/>
          <w:b w:val="false"/>
          <w:bCs w:val="false"/>
          <w:i w:val="false"/>
          <w:iCs w:val="false"/>
          <w:color w:val="222222"/>
          <w:sz w:val="19"/>
          <w:szCs w:val="19"/>
        </w:rPr>
        <w:t xml:space="preserve">Cada entrada do dicionário contém as seguintes colunas, conforme especificado por Larman (Cap. 7.9):</w:t>
      </w:r>
    </w:p>
    <w:p>
      <w:pPr>
        <w:pStyle w:val="ListParagraph"/>
        <w:numPr>
          <w:ilvl w:val="0"/>
          <w:numId w:val="2"/>
        </w:numPr>
        <w:spacing w:after="30" w:before="30"/>
      </w:pPr>
      <w:r>
        <w:rPr>
          <w:rFonts w:ascii="Arial" w:cs="Arial" w:eastAsia="Arial" w:hAnsi="Arial"/>
          <w:b w:val="false"/>
          <w:bCs w:val="false"/>
          <w:i w:val="false"/>
          <w:iCs w:val="false"/>
          <w:color w:val="222222"/>
          <w:sz w:val="19"/>
          <w:szCs w:val="19"/>
        </w:rPr>
        <w:t xml:space="preserve">Termo — Nome do elemento de domínio. Começa com maiúscula.</w:t>
      </w:r>
    </w:p>
    <w:p>
      <w:pPr>
        <w:pStyle w:val="ListParagraph"/>
        <w:numPr>
          <w:ilvl w:val="0"/>
          <w:numId w:val="2"/>
        </w:numPr>
        <w:spacing w:after="30" w:before="30"/>
      </w:pPr>
      <w:r>
        <w:rPr>
          <w:rFonts w:ascii="Arial" w:cs="Arial" w:eastAsia="Arial" w:hAnsi="Arial"/>
          <w:b w:val="false"/>
          <w:bCs w:val="false"/>
          <w:i w:val="false"/>
          <w:iCs w:val="false"/>
          <w:color w:val="222222"/>
          <w:sz w:val="19"/>
          <w:szCs w:val="19"/>
        </w:rPr>
        <w:t xml:space="preserve">Definição e Informações — Descrição precisa do conceito, incluindo contexto de negócio e restrições de acesso.</w:t>
      </w:r>
    </w:p>
    <w:p>
      <w:pPr>
        <w:pStyle w:val="ListParagraph"/>
        <w:numPr>
          <w:ilvl w:val="0"/>
          <w:numId w:val="2"/>
        </w:numPr>
        <w:spacing w:after="30" w:before="30"/>
      </w:pPr>
      <w:r>
        <w:rPr>
          <w:rFonts w:ascii="Arial" w:cs="Arial" w:eastAsia="Arial" w:hAnsi="Arial"/>
          <w:b w:val="false"/>
          <w:bCs w:val="false"/>
          <w:i w:val="false"/>
          <w:iCs w:val="false"/>
          <w:color w:val="222222"/>
          <w:sz w:val="19"/>
          <w:szCs w:val="19"/>
        </w:rPr>
        <w:t xml:space="preserve">Formato (Tipo / Tamanho / Unidade) — Tipo de dado, tamanho máximo ou estrutura, e unidade quando aplicável.</w:t>
      </w:r>
    </w:p>
    <w:p>
      <w:pPr>
        <w:pStyle w:val="ListParagraph"/>
        <w:numPr>
          <w:ilvl w:val="0"/>
          <w:numId w:val="2"/>
        </w:numPr>
        <w:spacing w:after="30" w:before="30"/>
      </w:pPr>
      <w:r>
        <w:rPr>
          <w:rFonts w:ascii="Arial" w:cs="Arial" w:eastAsia="Arial" w:hAnsi="Arial"/>
          <w:b w:val="false"/>
          <w:bCs w:val="false"/>
          <w:i w:val="false"/>
          <w:iCs w:val="false"/>
          <w:color w:val="222222"/>
          <w:sz w:val="19"/>
          <w:szCs w:val="19"/>
        </w:rPr>
        <w:t xml:space="preserve">Relacionamentos com outros elementos — Associações com outras entidades do domínio.</w:t>
      </w:r>
    </w:p>
    <w:p>
      <w:pPr>
        <w:pStyle w:val="ListParagraph"/>
        <w:numPr>
          <w:ilvl w:val="0"/>
          <w:numId w:val="2"/>
        </w:numPr>
        <w:spacing w:after="30" w:before="30"/>
      </w:pPr>
      <w:r>
        <w:rPr>
          <w:rFonts w:ascii="Arial" w:cs="Arial" w:eastAsia="Arial" w:hAnsi="Arial"/>
          <w:b w:val="false"/>
          <w:bCs w:val="false"/>
          <w:i w:val="false"/>
          <w:iCs w:val="false"/>
          <w:color w:val="222222"/>
          <w:sz w:val="19"/>
          <w:szCs w:val="19"/>
        </w:rPr>
        <w:t xml:space="preserve">Regra de Validação / Valores Válidos — Restrições que o sistema deve verificar. São requisitos com implicação direta no comportamento do sistema.</w:t>
      </w:r>
    </w:p>
    <w:p>
      <w:pPr>
        <w:pStyle w:val="ListParagraph"/>
        <w:numPr>
          <w:ilvl w:val="0"/>
          <w:numId w:val="2"/>
        </w:numPr>
        <w:spacing w:after="30" w:before="30"/>
      </w:pPr>
      <w:r>
        <w:rPr>
          <w:rFonts w:ascii="Arial" w:cs="Arial" w:eastAsia="Arial" w:hAnsi="Arial"/>
          <w:b w:val="false"/>
          <w:bCs w:val="false"/>
          <w:i w:val="false"/>
          <w:iCs w:val="false"/>
          <w:color w:val="222222"/>
          <w:sz w:val="19"/>
          <w:szCs w:val="19"/>
        </w:rPr>
        <w:t xml:space="preserve">Sinônimos — Termos alternativos usados por diferentes stakeholders.</w:t>
      </w:r>
    </w:p>
    <w:p>
      <w:pPr>
        <w:spacing w:after="40" w:before="40"/>
        <w:jc w:val="left"/>
      </w:pPr>
      <w:r>
        <w:rPr>
          <w:rFonts w:ascii="Arial" w:cs="Arial" w:eastAsia="Arial" w:hAnsi="Arial"/>
          <w:b w:val="false"/>
          <w:bCs w:val="false"/>
          <w:i w:val="false"/>
          <w:iCs w:val="false"/>
          <w:color w:val="222222"/>
          <w:sz w:val="19"/>
          <w:szCs w:val="19"/>
        </w:rPr>
        <w:t xml:space="preserve"/>
      </w:r>
    </w:p>
    <w:p>
      <w:pPr>
        <w:pStyle w:val="Heading1"/>
        <w:spacing w:after="180" w:before="480"/>
      </w:pPr>
      <w:r>
        <w:rPr>
          <w:rFonts w:ascii="Arial" w:cs="Arial" w:eastAsia="Arial" w:hAnsi="Arial"/>
          <w:b/>
          <w:bCs/>
          <w:color w:val="1F3864"/>
          <w:sz w:val="28"/>
          <w:szCs w:val="28"/>
        </w:rPr>
        <w:t xml:space="preserve">4. Dicionário de Dados</w:t>
      </w:r>
    </w:p>
    <w:p>
      <w:pPr>
        <w:spacing w:after="60" w:before="60"/>
        <w:jc w:val="both"/>
      </w:pPr>
      <w:r>
        <w:rPr>
          <w:rFonts w:ascii="Arial" w:cs="Arial" w:eastAsia="Arial" w:hAnsi="Arial"/>
          <w:b w:val="false"/>
          <w:bCs w:val="false"/>
          <w:i w:val="false"/>
          <w:iCs w:val="false"/>
          <w:color w:val="222222"/>
          <w:sz w:val="19"/>
          <w:szCs w:val="19"/>
        </w:rPr>
        <w:t xml:space="preserve">Os 22 termos abaixo estão agrupados por módulo funcional do sistema.</w:t>
      </w:r>
    </w:p>
    <w:p>
      <w:pPr>
        <w:spacing w:after="40" w:before="40"/>
        <w:jc w:val="left"/>
      </w:pPr>
      <w:r>
        <w:rPr>
          <w:rFonts w:ascii="Arial" w:cs="Arial" w:eastAsia="Arial" w:hAnsi="Arial"/>
          <w:b w:val="false"/>
          <w:bCs w:val="false"/>
          <w:i w:val="false"/>
          <w:iCs w:val="false"/>
          <w:color w:val="222222"/>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1500"/>
        <w:gridCol w:w="1500"/>
        <w:gridCol w:w="1500"/>
        <w:gridCol w:w="560"/>
      </w:tblGrid>
      <w:tr>
        <w:tc>
          <w:tcPr>
            <w:tcW w:type="dxa" w:w="1600"/>
            <w:tcBorders>
              <w:top w:val="single" w:color="CCCCCC" w:sz="1"/>
              <w:left w:val="single" w:color="CCCCCC" w:sz="1"/>
              <w:bottom w:val="single" w:color="CCCCCC" w:sz="1"/>
              <w:right w:val="single" w:color="CCCCCC" w:sz="1"/>
            </w:tcBorders>
            <w:shd w:fill="BDD7F0"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F3864"/>
                <w:sz w:val="18"/>
                <w:szCs w:val="18"/>
              </w:rPr>
              <w:t xml:space="preserve">Termo</w:t>
            </w:r>
          </w:p>
        </w:tc>
        <w:tc>
          <w:tcPr>
            <w:tcW w:type="dxa" w:w="2700"/>
            <w:tcBorders>
              <w:top w:val="single" w:color="CCCCCC" w:sz="1"/>
              <w:left w:val="single" w:color="CCCCCC" w:sz="1"/>
              <w:bottom w:val="single" w:color="CCCCCC" w:sz="1"/>
              <w:right w:val="single" w:color="CCCCCC" w:sz="1"/>
            </w:tcBorders>
            <w:shd w:fill="BDD7F0"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F3864"/>
                <w:sz w:val="18"/>
                <w:szCs w:val="18"/>
              </w:rPr>
              <w:t xml:space="preserve">Definição e Informações</w:t>
            </w:r>
          </w:p>
        </w:tc>
        <w:tc>
          <w:tcPr>
            <w:tcW w:type="dxa" w:w="1500"/>
            <w:tcBorders>
              <w:top w:val="single" w:color="CCCCCC" w:sz="1"/>
              <w:left w:val="single" w:color="CCCCCC" w:sz="1"/>
              <w:bottom w:val="single" w:color="CCCCCC" w:sz="1"/>
              <w:right w:val="single" w:color="CCCCCC" w:sz="1"/>
            </w:tcBorders>
            <w:shd w:fill="BDD7F0"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F3864"/>
                <w:sz w:val="18"/>
                <w:szCs w:val="18"/>
              </w:rPr>
              <w:t xml:space="preserve">Formato (Tipo / Tamanho / Unidade)</w:t>
            </w:r>
          </w:p>
        </w:tc>
        <w:tc>
          <w:tcPr>
            <w:tcW w:type="dxa" w:w="1500"/>
            <w:tcBorders>
              <w:top w:val="single" w:color="CCCCCC" w:sz="1"/>
              <w:left w:val="single" w:color="CCCCCC" w:sz="1"/>
              <w:bottom w:val="single" w:color="CCCCCC" w:sz="1"/>
              <w:right w:val="single" w:color="CCCCCC" w:sz="1"/>
            </w:tcBorders>
            <w:shd w:fill="BDD7F0"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F3864"/>
                <w:sz w:val="18"/>
                <w:szCs w:val="18"/>
              </w:rPr>
              <w:t xml:space="preserve">Relacionamentos com outros elementos</w:t>
            </w:r>
          </w:p>
        </w:tc>
        <w:tc>
          <w:tcPr>
            <w:tcW w:type="dxa" w:w="1500"/>
            <w:tcBorders>
              <w:top w:val="single" w:color="CCCCCC" w:sz="1"/>
              <w:left w:val="single" w:color="CCCCCC" w:sz="1"/>
              <w:bottom w:val="single" w:color="CCCCCC" w:sz="1"/>
              <w:right w:val="single" w:color="CCCCCC" w:sz="1"/>
            </w:tcBorders>
            <w:shd w:fill="BDD7F0"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F3864"/>
                <w:sz w:val="18"/>
                <w:szCs w:val="18"/>
              </w:rPr>
              <w:t xml:space="preserve">Regra de Validação / Valores Válidos</w:t>
            </w:r>
          </w:p>
        </w:tc>
        <w:tc>
          <w:tcPr>
            <w:tcW w:type="dxa" w:w="560"/>
            <w:tcBorders>
              <w:top w:val="single" w:color="CCCCCC" w:sz="1"/>
              <w:left w:val="single" w:color="CCCCCC" w:sz="1"/>
              <w:bottom w:val="single" w:color="CCCCCC" w:sz="1"/>
              <w:right w:val="single" w:color="CCCCCC" w:sz="1"/>
            </w:tcBorders>
            <w:shd w:fill="BDD7F0"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F3864"/>
                <w:sz w:val="18"/>
                <w:szCs w:val="18"/>
              </w:rPr>
              <w:t xml:space="preserve">Sinônimos</w:t>
            </w:r>
          </w:p>
        </w:tc>
      </w:tr>
      <w:tr>
        <w:tc>
          <w:tcPr>
            <w:tcW w:type="dxa" w:w="9360"/>
            <w:gridSpan w:val="6"/>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tcPr>
          <w:p>
            <w:pPr>
              <w:spacing w:after="0" w:before="0"/>
              <w:jc w:val="left"/>
            </w:pPr>
            <w:r>
              <w:rPr>
                <w:rFonts w:ascii="Arial" w:cs="Arial" w:eastAsia="Arial" w:hAnsi="Arial"/>
                <w:b/>
                <w:bCs/>
                <w:i w:val="false"/>
                <w:iCs w:val="false"/>
                <w:color w:val="FFFFFF"/>
                <w:sz w:val="18"/>
                <w:szCs w:val="18"/>
              </w:rPr>
              <w:t xml:space="preserve">ATORES DO SISTEMA</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Psicólogo</w:t>
            </w:r>
          </w:p>
        </w:tc>
        <w:tc>
          <w:tcPr>
            <w:tcW w:type="dxa" w:w="27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Profissional de psicologia registrado no CFP que utiliza o PsicoManager como usuário principal. Responsável pela gestão de todos os dados clínicos, financeiros e de agenda.</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Entidade / Ator principal
Atributos-chave: nome, CRP, e-mail, telefone, especialidade</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Possui Pacientes, Sessões, Prontuários, Cobranças, Documentos</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Deve possuir CRP válido (formato: XX/XXXXXX). E-mail único no sistema. Senha mínima de 8 caracteres com MFA.</w:t>
            </w:r>
          </w:p>
        </w:tc>
        <w:tc>
          <w:tcPr>
            <w:tcW w:type="dxa" w:w="56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Terapeuta
Profissional</w:t>
            </w:r>
          </w:p>
        </w:tc>
      </w:tr>
      <w:tr>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Paciente</w:t>
            </w:r>
          </w:p>
        </w:tc>
        <w:tc>
          <w:tcPr>
            <w:tcW w:type="dxa" w:w="27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Pessoa física que realiza sessões de psicoterapia com o Psicólogo. Usuário secundário da plataforma, com acesso restrito ao Painel do Paciente.</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Entidade / Ator principal
Atributos-chave: nome, CPF, data de nascimento, e-mail, telefone, WhatsApp</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Vinculado a um Psicólogo. Possui Sessões, Cobranças, DiárioEmoções, Documentos</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CPF válido (11 dígitos, algoritmo de validação da Receita Federal). E-mail único por psicólogo. Data de nascimento não pode ser futura.</w:t>
            </w:r>
          </w:p>
        </w:tc>
        <w:tc>
          <w:tcPr>
            <w:tcW w:type="dxa" w:w="56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Cliente
Analisando</w:t>
            </w:r>
          </w:p>
        </w:tc>
      </w:tr>
      <w:tr>
        <w:tc>
          <w:tcPr>
            <w:tcW w:type="dxa" w:w="9360"/>
            <w:gridSpan w:val="6"/>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pPr>
              <w:spacing w:after="0" w:before="0"/>
              <w:jc w:val="left"/>
            </w:pPr>
            <w:r>
              <w:rPr>
                <w:rFonts w:ascii="Arial" w:cs="Arial" w:eastAsia="Arial" w:hAnsi="Arial"/>
                <w:b/>
                <w:bCs/>
                <w:i w:val="false"/>
                <w:iCs w:val="false"/>
                <w:color w:val="FFFFFF"/>
                <w:sz w:val="18"/>
                <w:szCs w:val="18"/>
              </w:rPr>
              <w:t xml:space="preserve">AGENDA E SESSÃO</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Sessão</w:t>
            </w:r>
          </w:p>
        </w:tc>
        <w:tc>
          <w:tcPr>
            <w:tcW w:type="dxa" w:w="27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Atendimento clínico agendado entre Psicólogo e Paciente. Pode ser presencial ou teleconsulta. Unidade central de negócio do sistema — vincula agenda, prontuário e cobrança.</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Entidade composta
Tipo: presencial | teleconsulta
Duração: Integer (minutos)
Status: agendada | realizada | falta | cancelada</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Pertence a Psicólogo e Paciente. Gera Prontuário, Cobrança e Notificação. Associada a HorárioAgenda.</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Data/hora não pode ser passada no momento do agendamento. Status só avança — não permite retrocesso após 'realizada'. Não pode existir duas sessões simultâneas para o mesmo psicólogo (RN2).</w:t>
            </w:r>
          </w:p>
        </w:tc>
        <w:tc>
          <w:tcPr>
            <w:tcW w:type="dxa" w:w="56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Consulta
Atendimento
Appointment</w:t>
            </w:r>
          </w:p>
        </w:tc>
      </w:tr>
      <w:tr>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Horário da Agenda</w:t>
            </w:r>
          </w:p>
        </w:tc>
        <w:tc>
          <w:tcPr>
            <w:tcW w:type="dxa" w:w="27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Slot de tempo na grade semanal do Psicólogo. Pode estar disponível, ocupado (por Sessão) ou bloqueado (pausa, férias, deslocamento). Unidade mínima de agendamento.</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Entidade
Data: Date
Hora início: Time (HH:MM)
Duração: Integer (min)
Tipo: disponível | ocupado | bloqueado
Recorrência: única | semanal | quinzenal | mensal</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Pertence a Psicólogo. Pode estar associado a uma Sessão.</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Duração mínima: 30 min. Duração máxima: 240 min. Hora início deve ser múltipla de 15 min. Recorrência semanal exige data de término.</w:t>
            </w:r>
          </w:p>
        </w:tc>
        <w:tc>
          <w:tcPr>
            <w:tcW w:type="dxa" w:w="56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Slot
TimeSlot</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Bloqueio de Agenda</w:t>
            </w:r>
          </w:p>
        </w:tc>
        <w:tc>
          <w:tcPr>
            <w:tcW w:type="dxa" w:w="27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Período da agenda do Psicólogo reservado para fins não clínicos (pausa, almoço, férias, deslocamento). Impede agendamento de sessões no intervalo bloqueado.</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Entidade
Data início: Date
Data fim: Date
Motivo: texto livre (máx 100 chars)
Tipo: pausa | almoço | férias | deslocamento | outro</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Pertence a Psicólogo. Impede criação de Sessão no mesmo período.</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Data início ≤ Data fim. Não pode sobrepor Sessão já agendada no período.</w:t>
            </w:r>
          </w:p>
        </w:tc>
        <w:tc>
          <w:tcPr>
            <w:tcW w:type="dxa" w:w="56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Indisponibilidade
Bloqueio</w:t>
            </w:r>
          </w:p>
        </w:tc>
      </w:tr>
      <w:tr>
        <w:tc>
          <w:tcPr>
            <w:tcW w:type="dxa" w:w="9360"/>
            <w:gridSpan w:val="6"/>
            <w:tcBorders>
              <w:top w:val="single" w:color="CCCCCC" w:sz="1"/>
              <w:left w:val="single" w:color="CCCCCC" w:sz="1"/>
              <w:bottom w:val="single" w:color="CCCCCC" w:sz="1"/>
              <w:right w:val="single" w:color="CCCCCC" w:sz="1"/>
            </w:tcBorders>
            <w:shd w:fill="185FA5" w:val="clear"/>
            <w:tcMar>
              <w:top w:type="dxa" w:w="60"/>
              <w:left w:type="dxa" w:w="110"/>
              <w:bottom w:type="dxa" w:w="60"/>
              <w:right w:type="dxa" w:w="110"/>
            </w:tcMar>
          </w:tcPr>
          <w:p>
            <w:pPr>
              <w:spacing w:after="0" w:before="0"/>
              <w:jc w:val="left"/>
            </w:pPr>
            <w:r>
              <w:rPr>
                <w:rFonts w:ascii="Arial" w:cs="Arial" w:eastAsia="Arial" w:hAnsi="Arial"/>
                <w:b/>
                <w:bCs/>
                <w:i w:val="false"/>
                <w:iCs w:val="false"/>
                <w:color w:val="FFFFFF"/>
                <w:sz w:val="18"/>
                <w:szCs w:val="18"/>
              </w:rPr>
              <w:t xml:space="preserve">PRONTUÁRIO CLÍNICO</w:t>
            </w:r>
          </w:p>
        </w:tc>
      </w:tr>
      <w:tr>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Prontuário Clínico</w:t>
            </w:r>
          </w:p>
        </w:tc>
        <w:tc>
          <w:tcPr>
            <w:tcW w:type="dxa" w:w="27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Registro eletrônico sigiloso das evoluções clínicas de um Paciente. Conjunto de todas as Evoluções registradas pelo Psicólogo ao longo do tratamento. Acesso exclusivo do Psicólogo responsável (RN1). Nunca visível ao Paciente.</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Entidade agregada
ID: UUID
Data criação: DateTime
Status: ativo | arquivado
RetençãoMínima: 5 anos (RN3)</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Pertence a um Paciente e a um Psicólogo. Composto por Evoluções Clínicas e Anexos.</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Não pode ser excluído antes de 5 anos da última evolução (RN3). Acesso restrito ao Psicólogo responsável — qualquer tentativa de acesso por outro perfil gera log de auditoria e bloqueio (RN1).</w:t>
            </w:r>
          </w:p>
        </w:tc>
        <w:tc>
          <w:tcPr>
            <w:tcW w:type="dxa" w:w="56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Prontuário eletrônico
Histórico clínico
Medical record</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Evolução Clínica</w:t>
            </w:r>
          </w:p>
        </w:tc>
        <w:tc>
          <w:tcPr>
            <w:tcW w:type="dxa" w:w="27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Registro textual feito pelo Psicólogo após cada Sessão, descrevendo o desenvolvimento clínico do Paciente. Pode conter texto livre e arquivos anexados. Recebe trava de edição após prazo configurável.</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Entidade
ID: UUID
Texto: TEXT (sem limite de caracteres)
DataHora: DateTime (gerado pelo sistema)
Autor: ref. Psicólogo
Status: editável | travada
Travamento: após N horas (padrão 24h, configurável)</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Pertence a Prontuário Clínico. Vinculada a uma Sessão. Pode ter Anexos. Gera entrada no LogAuditoria.</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Texto obrigatório — não pode ser salva vazia. DataHora gerada pelo sistema (não editável pelo usuário). Após travamento, nenhum campo pode ser alterado. Arquivos anexados: PDF, JPEG, PNG; máx. 10 MB por arquivo.</w:t>
            </w:r>
          </w:p>
        </w:tc>
        <w:tc>
          <w:tcPr>
            <w:tcW w:type="dxa" w:w="56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Nota clínica
Registro de sessão
Sessão clínica</w:t>
            </w:r>
          </w:p>
        </w:tc>
      </w:tr>
      <w:tr>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Anexo</w:t>
            </w:r>
          </w:p>
        </w:tc>
        <w:tc>
          <w:tcPr>
            <w:tcW w:type="dxa" w:w="27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Arquivo digital vinculado a uma Evolução Clínica ou Documento. Pode ser um teste psicológico, laudo, relatório ou imagem.</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Entidade
Tipo: PDF | JPEG | PNG
Tamanho: máx. 10 MB
Nome: texto (máx. 255 chars)
DataUpload: DateTime</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Pertence a Evolução Clínica ou Documento. Armazenado em serviço de storage em nuvem com criptografia.</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Tipos aceitos: PDF, JPEG, PNG. Tamanho máximo por arquivo: 10 MB. Nome não pode conter caracteres especiais proibidos (/, \, :, *, ?, ", &lt;, &gt;, |).</w:t>
            </w:r>
          </w:p>
        </w:tc>
        <w:tc>
          <w:tcPr>
            <w:tcW w:type="dxa" w:w="56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Arquivo
Attachment</w:t>
            </w:r>
          </w:p>
        </w:tc>
      </w:tr>
      <w:tr>
        <w:tc>
          <w:tcPr>
            <w:tcW w:type="dxa" w:w="9360"/>
            <w:gridSpan w:val="6"/>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pPr>
              <w:spacing w:after="0" w:before="0"/>
              <w:jc w:val="left"/>
            </w:pPr>
            <w:r>
              <w:rPr>
                <w:rFonts w:ascii="Arial" w:cs="Arial" w:eastAsia="Arial" w:hAnsi="Arial"/>
                <w:b/>
                <w:bCs/>
                <w:i w:val="false"/>
                <w:iCs w:val="false"/>
                <w:color w:val="FFFFFF"/>
                <w:sz w:val="18"/>
                <w:szCs w:val="18"/>
              </w:rPr>
              <w:t xml:space="preserve">TELECONSULTA</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Teleconsulta</w:t>
            </w:r>
          </w:p>
        </w:tc>
        <w:tc>
          <w:tcPr>
            <w:tcW w:type="dxa" w:w="27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Sessão de atendimento psicológico realizada remotamente via videoconferência nativa do PsicoManager, em conformidade com a Resolução CFP 11/2018. A sala virtual é criptografada ponta a ponta e gerada automaticamente pelo sistema.</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Tipo de Sessão
LinkAcesso: URL única (UUID)
Status: aguardando | em andamento | encerrada
Criptografia: TLS + E2EE obrigatório
Duração real: Integer (minutos, registrada ao encerrar)</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É um tipo de Sessão. Gera link de acesso para o Paciente. Associada a Prontuário após encerramento.</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Link gerado automaticamente pelo sistema — não configurável pelo usuário. Link expira ao encerrar a sessão. Acesso sem autenticação válida é bloqueado e registrado em log. Plataformas externas (Zoom, Meet) são vedadas (RN5).</w:t>
            </w:r>
          </w:p>
        </w:tc>
        <w:tc>
          <w:tcPr>
            <w:tcW w:type="dxa" w:w="56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Videochamada
Sessão online
Atendimento remoto</w:t>
            </w:r>
          </w:p>
        </w:tc>
      </w:tr>
      <w:tr>
        <w:tc>
          <w:tcPr>
            <w:tcW w:type="dxa" w:w="9360"/>
            <w:gridSpan w:val="6"/>
            <w:tcBorders>
              <w:top w:val="single" w:color="CCCCCC" w:sz="1"/>
              <w:left w:val="single" w:color="CCCCCC" w:sz="1"/>
              <w:bottom w:val="single" w:color="CCCCCC" w:sz="1"/>
              <w:right w:val="single" w:color="CCCCCC" w:sz="1"/>
            </w:tcBorders>
            <w:shd w:fill="533AB7" w:val="clear"/>
            <w:tcMar>
              <w:top w:type="dxa" w:w="60"/>
              <w:left w:type="dxa" w:w="110"/>
              <w:bottom w:type="dxa" w:w="60"/>
              <w:right w:type="dxa" w:w="110"/>
            </w:tcMar>
          </w:tcPr>
          <w:p>
            <w:pPr>
              <w:spacing w:after="0" w:before="0"/>
              <w:jc w:val="left"/>
            </w:pPr>
            <w:r>
              <w:rPr>
                <w:rFonts w:ascii="Arial" w:cs="Arial" w:eastAsia="Arial" w:hAnsi="Arial"/>
                <w:b/>
                <w:bCs/>
                <w:i w:val="false"/>
                <w:iCs w:val="false"/>
                <w:color w:val="FFFFFF"/>
                <w:sz w:val="18"/>
                <w:szCs w:val="18"/>
              </w:rPr>
              <w:t xml:space="preserve">GESTÃO FINANCEIRA</w:t>
            </w:r>
          </w:p>
        </w:tc>
      </w:tr>
      <w:tr>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Cobrança</w:t>
            </w:r>
          </w:p>
        </w:tc>
        <w:tc>
          <w:tcPr>
            <w:tcW w:type="dxa" w:w="27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Registro financeiro de um honorário lançado pelo Psicólogo referente a uma Sessão realizada. Contém o valor, a forma de pagamento e o status de recebimento.</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Entidade
ID: UUID
Valor: Decimal(10,2) — em BRL
Status: pendente | pago | inadimplente
FormaPagamento: Pix | outro
DataLancamento: Date
DataPagamento: Date (nullable)</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Pertence a Psicólogo e Paciente. Vinculada a uma Sessão. Pode gerar Recibo.</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Valor &gt; 0,00. Status só avança (pendente → pago; não permite reverter). DataPagamento obrigatória quando status = 'pago'. Visível apenas ao Paciente vinculado (RN4). Não pode ser excluída após lançamento — apenas estornada com registro.</w:t>
            </w:r>
          </w:p>
        </w:tc>
        <w:tc>
          <w:tcPr>
            <w:tcW w:type="dxa" w:w="56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Honorário
Fatura
Cobrança de sessão</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Pix Copia-e-Cola</w:t>
            </w:r>
          </w:p>
        </w:tc>
        <w:tc>
          <w:tcPr>
            <w:tcW w:type="dxa" w:w="27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Código de pagamento instantâneo gerado pelo sistema ou pelo Psicólogo para recebimento do honorário da Sessão. Compartilhado com o Paciente no Painel do Paciente.</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String
Formato: EMV (padrão Banco Central do Brasil)
Tamanho: variável (máx. 512 chars)
Validade: configurável (padrão: 24h)</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Vinculado a uma Cobrança. Gerado pelo Gateway de Pagamento (ator externo).</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Formato EMV obrigatório (padrão BACEN Open Finance). Valor deve coincidir com o da Cobrança vinculada. Expirado após o prazo de validade.</w:t>
            </w:r>
          </w:p>
        </w:tc>
        <w:tc>
          <w:tcPr>
            <w:tcW w:type="dxa" w:w="56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QR Code Pix
Código Pix</w:t>
            </w:r>
          </w:p>
        </w:tc>
      </w:tr>
      <w:tr>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Relatório Financeiro</w:t>
            </w:r>
          </w:p>
        </w:tc>
        <w:tc>
          <w:tcPr>
            <w:tcW w:type="dxa" w:w="27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Relatório mensal automático gerado pelo sistema com o resumo financeiro do Psicólogo: faturamento total, recebimentos, inadimplência e previsão de recebimentos futuros.</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Documento gerado
Período: mês/ano (MM/YYYY)
Formatos: visualização na tela | exportação PDF | exportação CSV
Geração: automática no 1.° dia de cada mês</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Agrega dados de Cobranças do período. Gerado por Psicólogo.</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Período deve ser um mês/ano válido. Não pode ser editado após geração — é um snapshot. Acessível apenas pelo Psicólogo proprietário.</w:t>
            </w:r>
          </w:p>
        </w:tc>
        <w:tc>
          <w:tcPr>
            <w:tcW w:type="dxa" w:w="56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Extrato financeiro
DRE simplificado</w:t>
            </w:r>
          </w:p>
        </w:tc>
      </w:tr>
      <w:tr>
        <w:tc>
          <w:tcPr>
            <w:tcW w:type="dxa" w:w="9360"/>
            <w:gridSpan w:val="6"/>
            <w:tcBorders>
              <w:top w:val="single" w:color="CCCCCC" w:sz="1"/>
              <w:left w:val="single" w:color="CCCCCC" w:sz="1"/>
              <w:bottom w:val="single" w:color="CCCCCC" w:sz="1"/>
              <w:right w:val="single" w:color="CCCCCC" w:sz="1"/>
            </w:tcBorders>
            <w:shd w:fill="854F0B" w:val="clear"/>
            <w:tcMar>
              <w:top w:type="dxa" w:w="60"/>
              <w:left w:type="dxa" w:w="110"/>
              <w:bottom w:type="dxa" w:w="60"/>
              <w:right w:type="dxa" w:w="110"/>
            </w:tcMar>
          </w:tcPr>
          <w:p>
            <w:pPr>
              <w:spacing w:after="0" w:before="0"/>
              <w:jc w:val="left"/>
            </w:pPr>
            <w:r>
              <w:rPr>
                <w:rFonts w:ascii="Arial" w:cs="Arial" w:eastAsia="Arial" w:hAnsi="Arial"/>
                <w:b/>
                <w:bCs/>
                <w:i w:val="false"/>
                <w:iCs w:val="false"/>
                <w:color w:val="FFFFFF"/>
                <w:sz w:val="18"/>
                <w:szCs w:val="18"/>
              </w:rPr>
              <w:t xml:space="preserve">NOTIFICAÇÕES</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Notificação</w:t>
            </w:r>
          </w:p>
        </w:tc>
        <w:tc>
          <w:tcPr>
            <w:tcW w:type="dxa" w:w="27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Mensagem automatizada enviada pelo sistema para Psicólogo ou Paciente via WhatsApp e/ou e-mail, relacionada a eventos da agenda (lembrete de sessão, agendamento, cancelamento, reagendamento).</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Entidade
Tipo: lembrete_sessão | confirmação_agendamento | alerta_cancelamento | alerta_reagendamento | alerta_psicólogo
Canal: whatsapp | email | ambos
Status: pendente | enviado | falha
Tentativas: Integer (máx. 3)</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Disparada por evento de Sessão ou HorárioAgenda. Referencia Paciente ou Psicólogo. Registrada em LogNotificação.</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Mensagem não deve conter termos sensíveis visíveis em tela de bloqueio. Antecedência configurável pelo Psicólogo (padrão: 24h antes da sessão). Após 3 falhas consecutivas, alerta é gerado para o Psicólogo.</w:t>
            </w:r>
          </w:p>
        </w:tc>
        <w:tc>
          <w:tcPr>
            <w:tcW w:type="dxa" w:w="56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Lembrete
Alerta
Mensagem automática</w:t>
            </w:r>
          </w:p>
        </w:tc>
      </w:tr>
      <w:tr>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Lembrete de Sessão</w:t>
            </w:r>
          </w:p>
        </w:tc>
        <w:tc>
          <w:tcPr>
            <w:tcW w:type="dxa" w:w="27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Tipo específico de Notificação enviada ao Paciente com antecedência configurável, informando sobre a sessão agendada de forma discreta (sem revelar natureza clínica na prévia da mensagem).</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Subtipo de Notificação
Antecedência: Integer (horas, padrão 24h)
Tom: configurável pelo Psicólogo (formal | informal)
Conteúdo: texto gerado pelo sistema a partir de template configurável</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É uma Notificação. Vinculado a uma Sessão e a um Paciente.</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Não pode ser enviado se a sessão já foi cancelada. Antecedência mínima: 1 hora. Antecedência máxima: 72 horas. Template não pode conter termos que revelem a natureza da consulta na tela de bloqueio.</w:t>
            </w:r>
          </w:p>
        </w:tc>
        <w:tc>
          <w:tcPr>
            <w:tcW w:type="dxa" w:w="56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Reminder
Aviso de sessão</w:t>
            </w:r>
          </w:p>
        </w:tc>
      </w:tr>
      <w:tr>
        <w:tc>
          <w:tcPr>
            <w:tcW w:type="dxa" w:w="9360"/>
            <w:gridSpan w:val="6"/>
            <w:tcBorders>
              <w:top w:val="single" w:color="CCCCCC" w:sz="1"/>
              <w:left w:val="single" w:color="CCCCCC" w:sz="1"/>
              <w:bottom w:val="single" w:color="CCCCCC" w:sz="1"/>
              <w:right w:val="single" w:color="CCCCCC" w:sz="1"/>
            </w:tcBorders>
            <w:shd w:fill="712B13" w:val="clear"/>
            <w:tcMar>
              <w:top w:type="dxa" w:w="60"/>
              <w:left w:type="dxa" w:w="110"/>
              <w:bottom w:type="dxa" w:w="60"/>
              <w:right w:type="dxa" w:w="110"/>
            </w:tcMar>
          </w:tcPr>
          <w:p>
            <w:pPr>
              <w:spacing w:after="0" w:before="0"/>
              <w:jc w:val="left"/>
            </w:pPr>
            <w:r>
              <w:rPr>
                <w:rFonts w:ascii="Arial" w:cs="Arial" w:eastAsia="Arial" w:hAnsi="Arial"/>
                <w:b/>
                <w:bCs/>
                <w:i w:val="false"/>
                <w:iCs w:val="false"/>
                <w:color w:val="FFFFFF"/>
                <w:sz w:val="18"/>
                <w:szCs w:val="18"/>
              </w:rPr>
              <w:t xml:space="preserve">DOCUMENTOS E MATERIAIS</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Documento</w:t>
            </w:r>
          </w:p>
        </w:tc>
        <w:tc>
          <w:tcPr>
            <w:tcW w:type="dxa" w:w="27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Arquivo ou formulário criado pelo Psicólogo e disponibilizado ao Paciente. Inclui recibos, atestados, declarações, exercícios, questionários e materiais de leitura.</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Entidade
Tipo: recibo | atestado | declaração | exercício | questionário | material_leitura
Formato: PDF gerado | template preenchido | arquivo externo
Status: rascunho | publicado | respondido</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Criado por Psicólogo. Vinculado a Paciente. Pode ter Respostas (questionários). Pode conter Anexos.</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Tipos com preenchimento automático (recibo, atestado, declaração) requerem dados completos do Paciente cadastrado. Documento publicado é imutável — somente novo documento pode substituir. Resposta de questionário vinculada ao Paciente respondente.</w:t>
            </w:r>
          </w:p>
        </w:tc>
        <w:tc>
          <w:tcPr>
            <w:tcW w:type="dxa" w:w="56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Material
Artefato clínico
Formulário</w:t>
            </w:r>
          </w:p>
        </w:tc>
      </w:tr>
      <w:tr>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Recibo</w:t>
            </w:r>
          </w:p>
        </w:tc>
        <w:tc>
          <w:tcPr>
            <w:tcW w:type="dxa" w:w="27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Documento fiscal gerado pelo sistema comprovando o pagamento de honorários por uma Sessão. Preenchido automaticamente com dados do Psicólogo e do Paciente.</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Subtipo de Documento
Número: Integer sequencial por Psicólogo
Valor: Decimal(10,2) — BRL
DataEmissão: Date
DescriçãoServiço: texto (máx. 500 chars)</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É um Documento. Vinculado a uma Cobrança paga. Acessível ao Paciente na Central de Documentos.</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Só pode ser emitido quando Cobrança está com status 'pago'. Número de recibo único por Psicólogo. Após emissão, não pode ser alterado. Valor deve coincidir com o da Cobrança.</w:t>
            </w:r>
          </w:p>
        </w:tc>
        <w:tc>
          <w:tcPr>
            <w:tcW w:type="dxa" w:w="56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Comprovante
Recibo de pagamento</w:t>
            </w:r>
          </w:p>
        </w:tc>
      </w:tr>
      <w:tr>
        <w:tc>
          <w:tcPr>
            <w:tcW w:type="dxa" w:w="9360"/>
            <w:gridSpan w:val="6"/>
            <w:tcBorders>
              <w:top w:val="single" w:color="CCCCCC" w:sz="1"/>
              <w:left w:val="single" w:color="CCCCCC" w:sz="1"/>
              <w:bottom w:val="single" w:color="CCCCCC" w:sz="1"/>
              <w:right w:val="single" w:color="CCCCCC" w:sz="1"/>
            </w:tcBorders>
            <w:shd w:fill="3C3489" w:val="clear"/>
            <w:tcMar>
              <w:top w:type="dxa" w:w="60"/>
              <w:left w:type="dxa" w:w="110"/>
              <w:bottom w:type="dxa" w:w="60"/>
              <w:right w:type="dxa" w:w="110"/>
            </w:tcMar>
          </w:tcPr>
          <w:p>
            <w:pPr>
              <w:spacing w:after="0" w:before="0"/>
              <w:jc w:val="left"/>
            </w:pPr>
            <w:r>
              <w:rPr>
                <w:rFonts w:ascii="Arial" w:cs="Arial" w:eastAsia="Arial" w:hAnsi="Arial"/>
                <w:b/>
                <w:bCs/>
                <w:i w:val="false"/>
                <w:iCs w:val="false"/>
                <w:color w:val="FFFFFF"/>
                <w:sz w:val="18"/>
                <w:szCs w:val="18"/>
              </w:rPr>
              <w:t xml:space="preserve">DIÁRIO DE EMOÇÕES</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Diário de Emoções</w:t>
            </w:r>
          </w:p>
        </w:tc>
        <w:tc>
          <w:tcPr>
            <w:tcW w:type="dxa" w:w="27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Área privada e sigilosa no Painel do Paciente onde ele pode registrar livremente seu humor, pensamentos e anotações entre as sessões. Por padrão, inacessível ao Psicólogo.</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Entidade agregada
ID: UUID
Proprietário: ref. Paciente
Compartilhado: Boolean (padrão: false)</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Pertence exclusivamente ao Paciente. Composto por Registros de Emoção. Não vinculado ao Prontuário por padrão.</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Inacessível ao Psicólogo a menos que o Paciente compartilhe explicitamente. Criptografado em repouso. Não pode ser acessado por outros pacientes.</w:t>
            </w:r>
          </w:p>
        </w:tc>
        <w:tc>
          <w:tcPr>
            <w:tcW w:type="dxa" w:w="56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Mood journal
Diário pessoal</w:t>
            </w:r>
          </w:p>
        </w:tc>
      </w:tr>
      <w:tr>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Registro de Emoção</w:t>
            </w:r>
          </w:p>
        </w:tc>
        <w:tc>
          <w:tcPr>
            <w:tcW w:type="dxa" w:w="27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Entrada individual no Diário de Emoções do Paciente. Contém seleção de humor e texto livre, registrada em uma data/hora específica.</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Entidade
ID: UUID
DataHora: DateTime (gerada pelo sistema)
Humor: Integer (1–10) ou enum (muito mal | mal | neutro | bem | muito bem)
Texto: TEXT (nullable, sem limite)
Editável: Boolean (editável até 24h após criação)</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Pertence ao Diário de Emoções de um Paciente.</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Humor obrigatório (texto é opcional). DataHora gerada pelo sistema. Editável apenas nas primeiras 24 horas. Após exclusão, registro removido definitivamente (sem recuperação).</w:t>
            </w:r>
          </w:p>
        </w:tc>
        <w:tc>
          <w:tcPr>
            <w:tcW w:type="dxa" w:w="56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Entrada do diário
Mood entry</w:t>
            </w:r>
          </w:p>
        </w:tc>
      </w:tr>
      <w:tr>
        <w:tc>
          <w:tcPr>
            <w:tcW w:type="dxa" w:w="9360"/>
            <w:gridSpan w:val="6"/>
            <w:tcBorders>
              <w:top w:val="single" w:color="CCCCCC" w:sz="1"/>
              <w:left w:val="single" w:color="CCCCCC" w:sz="1"/>
              <w:bottom w:val="single" w:color="CCCCCC" w:sz="1"/>
              <w:right w:val="single" w:color="CCCCCC" w:sz="1"/>
            </w:tcBorders>
            <w:shd w:fill="444441" w:val="clear"/>
            <w:tcMar>
              <w:top w:type="dxa" w:w="60"/>
              <w:left w:type="dxa" w:w="110"/>
              <w:bottom w:type="dxa" w:w="60"/>
              <w:right w:type="dxa" w:w="110"/>
            </w:tcMar>
          </w:tcPr>
          <w:p>
            <w:pPr>
              <w:spacing w:after="0" w:before="0"/>
              <w:jc w:val="left"/>
            </w:pPr>
            <w:r>
              <w:rPr>
                <w:rFonts w:ascii="Arial" w:cs="Arial" w:eastAsia="Arial" w:hAnsi="Arial"/>
                <w:b/>
                <w:bCs/>
                <w:i w:val="false"/>
                <w:iCs w:val="false"/>
                <w:color w:val="FFFFFF"/>
                <w:sz w:val="18"/>
                <w:szCs w:val="18"/>
              </w:rPr>
              <w:t xml:space="preserve">SEGURANÇA E AUDITORIA</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Log de Auditoria</w:t>
            </w:r>
          </w:p>
        </w:tc>
        <w:tc>
          <w:tcPr>
            <w:tcW w:type="dxa" w:w="27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Registro imutável de todas as ações realizadas sobre dados clínicos e financeiros no sistema. Inclui: quem executou, o quê, quando e sobre qual entidade.</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Entidade de sistema
ID: UUID
UsuárioID: ref. Psicólogo ou Paciente
Ação: criação | leitura | edição | exclusão | tentativa_acesso_negado
Entidade: Prontuário | Evolução | Cobrança | Documento
EntidadeID: UUID
DataHora: DateTime
IPOrigem: String (IPv4/IPv6)</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Gerado automaticamente pelo sistema em todas as operações sobre dados sensíveis. Não pode ser alterado nem excluído por nenhum perfil de usuário.</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Registro imutável — nenhuma operação de UPDATE ou DELETE permitida na tabela de log. Retenção mínima: 5 anos. IPOrigem deve ser registrado mesmo em caso de acesso negado.</w:t>
            </w:r>
          </w:p>
        </w:tc>
        <w:tc>
          <w:tcPr>
            <w:tcW w:type="dxa" w:w="56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Audit log
Rastro de auditoria
Log de acesso</w:t>
            </w:r>
          </w:p>
        </w:tc>
      </w:tr>
      <w:tr>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CRP</w:t>
            </w:r>
          </w:p>
        </w:tc>
        <w:tc>
          <w:tcPr>
            <w:tcW w:type="dxa" w:w="27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Número de registro profissional do psicólogo no Conselho Regional de Psicologia. Identificador único obrigatório para cadastro de Psicólogo na plataforma.</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String
Formato: XX/XXXXXX (UF/número)
Exemplo: GO/12345
Tamanho: 2 letras + 1 barra + 4 a 6 dígitos</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Atributo do Psicólogo. Usado para validação do perfil profissional.</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Formato: duas letras maiúsculas (sigla do estado) + barra + 4 a 6 dígitos numéricos. Deve ser único no sistema. Validação de formato obrigatória no cadastro.</w:t>
            </w:r>
          </w:p>
        </w:tc>
        <w:tc>
          <w:tcPr>
            <w:tcW w:type="dxa" w:w="56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Registro CFP
Número de registro</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CPF</w:t>
            </w:r>
          </w:p>
        </w:tc>
        <w:tc>
          <w:tcPr>
            <w:tcW w:type="dxa" w:w="27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Cadastro de Pessoa Física — número único de identificação do Paciente perante a Receita Federal do Brasil.</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String
Formato: XXX.XXX.XXX-XX ou 11 dígitos sem formatação
Tamanho: 11 dígitos numéricos</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Atributo do Paciente. Usado para emissão de Recibo.</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Deve passar no algoritmo de validação da Receita Federal (dígitos verificadores). CPFs com todos os dígitos iguais (111.111.111-11 etc.) são inválidos. Único por Psicólogo (um paciente não pode ter dois cadastros com o mesmo CPF no mesmo consultório).</w:t>
            </w:r>
          </w:p>
        </w:tc>
        <w:tc>
          <w:tcPr>
            <w:tcW w:type="dxa" w:w="56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Documento
Identificação fiscal</w:t>
            </w:r>
          </w:p>
        </w:tc>
      </w:tr>
      <w:tr>
        <w:tc>
          <w:tcPr>
            <w:tcW w:type="dxa" w:w="9360"/>
            <w:gridSpan w:val="6"/>
            <w:tcBorders>
              <w:top w:val="single" w:color="CCCCCC" w:sz="1"/>
              <w:left w:val="single" w:color="CCCCCC" w:sz="1"/>
              <w:bottom w:val="single" w:color="CCCCCC" w:sz="1"/>
              <w:right w:val="single" w:color="CCCCCC" w:sz="1"/>
            </w:tcBorders>
            <w:shd w:fill="3B6D11" w:val="clear"/>
            <w:tcMar>
              <w:top w:type="dxa" w:w="60"/>
              <w:left w:type="dxa" w:w="110"/>
              <w:bottom w:type="dxa" w:w="60"/>
              <w:right w:type="dxa" w:w="110"/>
            </w:tcMar>
          </w:tcPr>
          <w:p>
            <w:pPr>
              <w:spacing w:after="0" w:before="0"/>
              <w:jc w:val="left"/>
            </w:pPr>
            <w:r>
              <w:rPr>
                <w:rFonts w:ascii="Arial" w:cs="Arial" w:eastAsia="Arial" w:hAnsi="Arial"/>
                <w:b/>
                <w:bCs/>
                <w:i w:val="false"/>
                <w:iCs w:val="false"/>
                <w:color w:val="FFFFFF"/>
                <w:sz w:val="18"/>
                <w:szCs w:val="18"/>
              </w:rPr>
              <w:t xml:space="preserve">INTEGRAÇÕES EXTERNAS</w:t>
            </w:r>
          </w:p>
        </w:tc>
      </w:tr>
      <w:tr>
        <w:tc>
          <w:tcPr>
            <w:tcW w:type="dxa" w:w="16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Gateway de Pagamento</w:t>
            </w:r>
          </w:p>
        </w:tc>
        <w:tc>
          <w:tcPr>
            <w:tcW w:type="dxa" w:w="27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Sistema externo responsável pelo processamento e confirmação de pagamentos via Pix. Fornece o código EMV (Pix copia-e-cola) e retorna confirmação de pagamento ao PsicoManager.</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Ator externo / Serviço
Protocolo: REST API (HTTPS)
Formato de dados: JSON
Autenticação: OAuth 2.0 / API Key</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Integrado ao módulo Financeiro. Fornece Pix Copia-e-Cola para Cobrança. Retorna status de pagamento.</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Comunicação exclusiva por HTTPS com certificado válido. Timeout máximo de resposta: 10 segundos. Em caso de falha, sistema registra localmente e permite baixa manual.</w:t>
            </w:r>
          </w:p>
        </w:tc>
        <w:tc>
          <w:tcPr>
            <w:tcW w:type="dxa" w:w="560"/>
            <w:tcBorders>
              <w:top w:val="single" w:color="CCCCCC" w:sz="1"/>
              <w:left w:val="single" w:color="CCCCCC" w:sz="1"/>
              <w:bottom w:val="single" w:color="CCCCCC" w:sz="1"/>
              <w:right w:val="single" w:color="CCCCCC" w:sz="1"/>
            </w:tcBorders>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Processador de pagamento
Adquirente
Payment gateway</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bCs/>
                <w:i w:val="false"/>
                <w:iCs w:val="false"/>
                <w:color w:val="185FA5"/>
                <w:sz w:val="18"/>
                <w:szCs w:val="18"/>
              </w:rPr>
              <w:t xml:space="preserve">API de Notificações</w:t>
            </w:r>
          </w:p>
        </w:tc>
        <w:tc>
          <w:tcPr>
            <w:tcW w:type="dxa" w:w="27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Serviço externo responsável pelo envio de mensagens ao Paciente e ao Psicólogo via WhatsApp Business API e/ou e-mail SMTP.</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Ator externo / Serviço
Canais: WhatsApp Business API | SMTP
Protocolo: REST API (HTTPS) + SMTP
Formato: JSON (WhatsApp) | MIME (e-mail)</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Integrada ao módulo de Notificações. Recebe eventos do sistema e envia mensagens aos destinatários.</w:t>
            </w:r>
          </w:p>
        </w:tc>
        <w:tc>
          <w:tcPr>
            <w:tcW w:type="dxa" w:w="150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val="false"/>
                <w:iCs w:val="false"/>
                <w:color w:val="222222"/>
                <w:sz w:val="18"/>
                <w:szCs w:val="18"/>
              </w:rPr>
              <w:t xml:space="preserve">Mensagens WhatsApp devem seguir templates aprovados pela Meta (WhatsApp Business Policy). E-mails devem incluir link de descadastro (LGPD). Timeout: 5 segundos por tentativa. Máximo de 3 tentativas por notificação.</w:t>
            </w:r>
          </w:p>
        </w:tc>
        <w:tc>
          <w:tcPr>
            <w:tcW w:type="dxa" w:w="560"/>
            <w:tcBorders>
              <w:top w:val="single" w:color="CCCCCC" w:sz="1"/>
              <w:left w:val="single" w:color="CCCCCC" w:sz="1"/>
              <w:bottom w:val="single" w:color="CCCCCC" w:sz="1"/>
              <w:right w:val="single" w:color="CCCCCC" w:sz="1"/>
            </w:tcBorders>
            <w:shd w:fill="F5F5FF" w:val="clear"/>
            <w:tcMar>
              <w:top w:type="dxa" w:w="80"/>
              <w:left w:type="dxa" w:w="110"/>
              <w:bottom w:type="dxa" w:w="80"/>
              <w:right w:type="dxa" w:w="110"/>
            </w:tcMar>
            <w:vAlign w:val="top"/>
          </w:tcPr>
          <w:p>
            <w:pPr>
              <w:spacing w:after="0" w:before="0"/>
              <w:jc w:val="left"/>
            </w:pPr>
            <w:r>
              <w:rPr>
                <w:rFonts w:ascii="Arial" w:cs="Arial" w:eastAsia="Arial" w:hAnsi="Arial"/>
                <w:b w:val="false"/>
                <w:bCs w:val="false"/>
                <w:i/>
                <w:iCs/>
                <w:color w:val="222222"/>
                <w:sz w:val="18"/>
                <w:szCs w:val="18"/>
              </w:rPr>
              <w:t xml:space="preserve">Serviço de mensageria
Messaging API</w:t>
            </w:r>
          </w:p>
        </w:tc>
      </w:tr>
    </w:tbl>
    <w:p>
      <w:pPr>
        <w:spacing w:after="40" w:before="40"/>
        <w:jc w:val="left"/>
      </w:pPr>
      <w:r>
        <w:rPr>
          <w:rFonts w:ascii="Arial" w:cs="Arial" w:eastAsia="Arial" w:hAnsi="Arial"/>
          <w:b w:val="false"/>
          <w:bCs w:val="false"/>
          <w:i w:val="false"/>
          <w:iCs w:val="false"/>
          <w:color w:val="222222"/>
          <w:sz w:val="19"/>
          <w:szCs w:val="19"/>
        </w:rPr>
        <w:t xml:space="preserve"/>
      </w:r>
    </w:p>
    <w:p>
      <w:pPr>
        <w:pStyle w:val="Heading1"/>
        <w:spacing w:after="180" w:before="480"/>
      </w:pPr>
      <w:r>
        <w:rPr>
          <w:rFonts w:ascii="Arial" w:cs="Arial" w:eastAsia="Arial" w:hAnsi="Arial"/>
          <w:b/>
          <w:bCs/>
          <w:color w:val="1F3864"/>
          <w:sz w:val="28"/>
          <w:szCs w:val="28"/>
        </w:rPr>
        <w:t xml:space="preserve">5. Referências</w:t>
      </w:r>
    </w:p>
    <w:p>
      <w:pPr>
        <w:spacing w:after="60" w:before="60"/>
        <w:jc w:val="both"/>
      </w:pPr>
      <w:r>
        <w:rPr>
          <w:rFonts w:ascii="Arial" w:cs="Arial" w:eastAsia="Arial" w:hAnsi="Arial"/>
          <w:b w:val="false"/>
          <w:bCs w:val="false"/>
          <w:i w:val="false"/>
          <w:iCs w:val="false"/>
          <w:color w:val="222222"/>
          <w:sz w:val="19"/>
          <w:szCs w:val="19"/>
        </w:rPr>
        <w:t xml:space="preserve">LARMAN, Craig. Utilizando UML e Padrões. 3. ed. Porto Alegre: Bookman, 2007. Cap. 7.8 — Exemplo ProxGer: um Glossário (parcial). Cap. 7.9 — Comentário: Glossário (dicionário de dados).</w:t>
      </w:r>
    </w:p>
    <w:p>
      <w:pPr>
        <w:spacing w:after="60" w:before="60"/>
        <w:jc w:val="both"/>
      </w:pPr>
      <w:r>
        <w:rPr>
          <w:rFonts w:ascii="Arial" w:cs="Arial" w:eastAsia="Arial" w:hAnsi="Arial"/>
          <w:b w:val="false"/>
          <w:bCs w:val="false"/>
          <w:i w:val="false"/>
          <w:iCs w:val="false"/>
          <w:color w:val="222222"/>
          <w:sz w:val="19"/>
          <w:szCs w:val="19"/>
        </w:rPr>
        <w:t xml:space="preserve">BRASIL. Lei n.° 13.709/2018 — Lei Geral de Proteção de Dados Pessoais (LGPD).</w:t>
      </w:r>
    </w:p>
    <w:p>
      <w:pPr>
        <w:spacing w:after="60" w:before="60"/>
        <w:jc w:val="both"/>
      </w:pPr>
      <w:r>
        <w:rPr>
          <w:rFonts w:ascii="Arial" w:cs="Arial" w:eastAsia="Arial" w:hAnsi="Arial"/>
          <w:b w:val="false"/>
          <w:bCs w:val="false"/>
          <w:i w:val="false"/>
          <w:iCs w:val="false"/>
          <w:color w:val="222222"/>
          <w:sz w:val="19"/>
          <w:szCs w:val="19"/>
        </w:rPr>
        <w:t xml:space="preserve">CONSELHO FEDERAL DE PSICOLOGIA. Resolucoes CFP n.° 10/2005, 01/2009 e 11/2018.</w:t>
      </w:r>
    </w:p>
    <w:p>
      <w:pPr>
        <w:spacing w:after="60" w:before="60"/>
        <w:jc w:val="both"/>
      </w:pPr>
      <w:r>
        <w:rPr>
          <w:rFonts w:ascii="Arial" w:cs="Arial" w:eastAsia="Arial" w:hAnsi="Arial"/>
          <w:b w:val="false"/>
          <w:bCs w:val="false"/>
          <w:i w:val="false"/>
          <w:iCs w:val="false"/>
          <w:color w:val="222222"/>
          <w:sz w:val="19"/>
          <w:szCs w:val="19"/>
        </w:rPr>
        <w:t xml:space="preserve">BANCO CENTRAL DO BRASIL. Manual do Pix — Padrão EMV para QR Code. Disponível em: https://www.bcb.gov.br/estabilidadefinanceira/pix</w:t>
      </w:r>
    </w:p>
    <w:sectPr>
      <w:pgSz w:w="16838" w:h="11906" w:orient="portrait"/>
      <w:pgMar w:top="900" w:right="72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3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2026-05-12T22:59:18.823Z</dcterms:created>
  <dcterms:modified xsi:type="dcterms:W3CDTF">2026-05-12T22:59:18.823Z</dcterms:modified>
</cp:coreProperties>
</file>

<file path=docProps/custom.xml><?xml version="1.0" encoding="utf-8"?>
<Properties xmlns="http://schemas.openxmlformats.org/officeDocument/2006/custom-properties" xmlns:vt="http://schemas.openxmlformats.org/officeDocument/2006/docPropsVTypes"/>
</file>