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  <w:bookmarkStart w:id="0" w:name="_GoBack"/>
      <w:bookmarkEnd w:id="0"/>
    </w:p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1830B3" w:rsidRDefault="001830B3">
      <w:pPr>
        <w:spacing w:before="100" w:after="40"/>
        <w:jc w:val="center"/>
        <w:rPr>
          <w:b/>
          <w:bCs/>
          <w:color w:val="2E75B6"/>
          <w:sz w:val="36"/>
          <w:szCs w:val="36"/>
        </w:rPr>
      </w:pPr>
    </w:p>
    <w:p w:rsidR="00767B66" w:rsidRDefault="008D0338">
      <w:pPr>
        <w:spacing w:before="100" w:after="4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PsicoManager</w:t>
      </w:r>
      <w:proofErr w:type="spellEnd"/>
    </w:p>
    <w:p w:rsidR="00767B66" w:rsidRDefault="008D0338">
      <w:pPr>
        <w:spacing w:after="20"/>
        <w:jc w:val="center"/>
      </w:pPr>
      <w:r>
        <w:rPr>
          <w:color w:val="000000"/>
          <w:sz w:val="24"/>
          <w:szCs w:val="24"/>
        </w:rPr>
        <w:t>Especificação de Requisitos de Software — Revisão Parcial</w:t>
      </w:r>
    </w:p>
    <w:p w:rsidR="00767B66" w:rsidRDefault="008D0338">
      <w:pPr>
        <w:spacing w:after="20"/>
        <w:jc w:val="center"/>
      </w:pPr>
      <w:r>
        <w:rPr>
          <w:i/>
          <w:iCs/>
          <w:color w:val="555555"/>
          <w:sz w:val="18"/>
          <w:szCs w:val="18"/>
        </w:rPr>
        <w:t xml:space="preserve">Seção 3 (novos casos de uso: CSU08 e CSU09) </w:t>
      </w:r>
      <w:proofErr w:type="gramStart"/>
      <w:r>
        <w:rPr>
          <w:i/>
          <w:iCs/>
          <w:color w:val="555555"/>
          <w:sz w:val="18"/>
          <w:szCs w:val="18"/>
        </w:rPr>
        <w:t>+</w:t>
      </w:r>
      <w:proofErr w:type="gramEnd"/>
      <w:r>
        <w:rPr>
          <w:i/>
          <w:iCs/>
          <w:color w:val="555555"/>
          <w:sz w:val="18"/>
          <w:szCs w:val="18"/>
        </w:rPr>
        <w:t xml:space="preserve"> Seção 4 (</w:t>
      </w:r>
      <w:proofErr w:type="spellStart"/>
      <w:r>
        <w:rPr>
          <w:i/>
          <w:iCs/>
          <w:color w:val="555555"/>
          <w:sz w:val="18"/>
          <w:szCs w:val="18"/>
        </w:rPr>
        <w:t>RNFs</w:t>
      </w:r>
      <w:proofErr w:type="spellEnd"/>
      <w:r>
        <w:rPr>
          <w:i/>
          <w:iCs/>
          <w:color w:val="555555"/>
          <w:sz w:val="18"/>
          <w:szCs w:val="18"/>
        </w:rPr>
        <w:t xml:space="preserve"> revisados)</w:t>
      </w:r>
    </w:p>
    <w:p w:rsidR="00767B66" w:rsidRDefault="008D0338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Atualização motivada por feedback do avaliador — Junho/2026</w:t>
      </w: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1830B3" w:rsidRDefault="001830B3">
      <w:pPr>
        <w:pStyle w:val="Ttulo1"/>
        <w:spacing w:before="200" w:after="100"/>
      </w:pPr>
    </w:p>
    <w:p w:rsidR="00767B66" w:rsidRDefault="008D0338">
      <w:pPr>
        <w:pStyle w:val="Ttulo1"/>
        <w:spacing w:before="200" w:after="100"/>
      </w:pPr>
      <w:r>
        <w:t>Motivação das Alterações</w:t>
      </w:r>
    </w:p>
    <w:p w:rsidR="00767B66" w:rsidRDefault="008D0338">
      <w:pPr>
        <w:spacing w:before="80" w:after="60"/>
        <w:jc w:val="both"/>
      </w:pPr>
      <w:r>
        <w:rPr>
          <w:color w:val="000000"/>
        </w:rPr>
        <w:t>O avaliador identificou dois pontos de melhoria na versão anterior deste documento:</w:t>
      </w:r>
    </w:p>
    <w:p w:rsidR="00767B66" w:rsidRDefault="008D0338">
      <w:pPr>
        <w:spacing w:before="40" w:after="40"/>
        <w:jc w:val="both"/>
      </w:pPr>
      <w:r>
        <w:rPr>
          <w:color w:val="000000"/>
        </w:rPr>
        <w:t xml:space="preserve">1.  Requisitos não funcionais genéricos — os </w:t>
      </w:r>
      <w:proofErr w:type="spellStart"/>
      <w:r>
        <w:rPr>
          <w:color w:val="000000"/>
        </w:rPr>
        <w:t>RNFs</w:t>
      </w:r>
      <w:proofErr w:type="spellEnd"/>
      <w:r>
        <w:rPr>
          <w:color w:val="000000"/>
        </w:rPr>
        <w:t xml:space="preserve"> anteriores poderiam ser aplicados a qualquer sistema de informação, sem especificidade ao domínio clínico-psicológico do </w:t>
      </w:r>
      <w:proofErr w:type="spellStart"/>
      <w:r>
        <w:rPr>
          <w:color w:val="000000"/>
        </w:rPr>
        <w:t>P</w:t>
      </w:r>
      <w:r>
        <w:rPr>
          <w:color w:val="000000"/>
        </w:rPr>
        <w:t>sicoManager</w:t>
      </w:r>
      <w:proofErr w:type="spellEnd"/>
      <w:r>
        <w:rPr>
          <w:color w:val="000000"/>
        </w:rPr>
        <w:t>.</w:t>
      </w:r>
    </w:p>
    <w:p w:rsidR="00767B66" w:rsidRDefault="008D0338">
      <w:pPr>
        <w:spacing w:before="40" w:after="40"/>
        <w:jc w:val="both"/>
      </w:pPr>
      <w:r>
        <w:rPr>
          <w:color w:val="000000"/>
        </w:rPr>
        <w:t>2.  'Relatórios' tratados como RNF — funcionalidades de relatório (financeiro, presença) foram identificadas erroneamente como requisitos não funcionais, quando na verdade constituem casos de uso com ator, fluxo e pós-condições próprios.</w:t>
      </w:r>
    </w:p>
    <w:p w:rsidR="00767B66" w:rsidRDefault="008D0338">
      <w:pPr>
        <w:spacing w:before="40" w:after="200"/>
        <w:jc w:val="both"/>
      </w:pPr>
      <w:r>
        <w:rPr>
          <w:color w:val="000000"/>
        </w:rPr>
        <w:t xml:space="preserve">Este </w:t>
      </w:r>
      <w:r>
        <w:rPr>
          <w:color w:val="000000"/>
        </w:rPr>
        <w:t>documento apresenta: (a) dois novos casos de uso — CSU08 e CSU09 — extraídos da lógica de relatórios; e (b) a reescrita completa da Seção 4 (</w:t>
      </w:r>
      <w:proofErr w:type="spellStart"/>
      <w:r>
        <w:rPr>
          <w:color w:val="000000"/>
        </w:rPr>
        <w:t>RNFs</w:t>
      </w:r>
      <w:proofErr w:type="spellEnd"/>
      <w:r>
        <w:rPr>
          <w:color w:val="000000"/>
        </w:rPr>
        <w:t>), com requisitos específicos ao contexto de gestão clínica, sigilo de prontuário, conformidade CFP/LGPD e roti</w:t>
      </w:r>
      <w:r>
        <w:rPr>
          <w:color w:val="000000"/>
        </w:rPr>
        <w:t>na de atendimento.</w:t>
      </w:r>
    </w:p>
    <w:p w:rsidR="00767B66" w:rsidRDefault="008D0338">
      <w:pPr>
        <w:pStyle w:val="Ttulo1"/>
        <w:spacing w:before="200" w:after="100"/>
      </w:pPr>
      <w:r>
        <w:t>3.3 Novos Casos de Uso — Relatórios (Formato EOR)</w:t>
      </w:r>
    </w:p>
    <w:p w:rsidR="00767B66" w:rsidRDefault="008D0338">
      <w:pPr>
        <w:spacing w:before="80" w:after="120"/>
        <w:jc w:val="both"/>
      </w:pPr>
      <w:r>
        <w:rPr>
          <w:color w:val="000000"/>
        </w:rPr>
        <w:t xml:space="preserve">Os casos de uso a seguir foram extraídos do escopo de 'gestão financeira e de agenda' e formalizados como </w:t>
      </w:r>
      <w:proofErr w:type="spellStart"/>
      <w:r>
        <w:rPr>
          <w:color w:val="000000"/>
        </w:rPr>
        <w:t>UCs</w:t>
      </w:r>
      <w:proofErr w:type="spellEnd"/>
      <w:r>
        <w:rPr>
          <w:color w:val="000000"/>
        </w:rPr>
        <w:t xml:space="preserve"> independentes, conforme orientação do avaliador. Cada relatório possui ator, </w:t>
      </w:r>
      <w:r>
        <w:rPr>
          <w:color w:val="000000"/>
        </w:rPr>
        <w:t xml:space="preserve">entradas, saídas, </w:t>
      </w:r>
      <w:proofErr w:type="spellStart"/>
      <w:r>
        <w:rPr>
          <w:color w:val="000000"/>
        </w:rPr>
        <w:t>pré</w:t>
      </w:r>
      <w:proofErr w:type="spellEnd"/>
      <w:r>
        <w:rPr>
          <w:color w:val="000000"/>
        </w:rPr>
        <w:t xml:space="preserve"> e pós-condições próprias e critério de aceitação verificável.</w:t>
      </w:r>
    </w:p>
    <w:p w:rsidR="00767B66" w:rsidRDefault="008D0338">
      <w:pPr>
        <w:pStyle w:val="Ttulo2"/>
        <w:spacing w:after="100"/>
      </w:pPr>
      <w:r>
        <w:t>CSU08 — Gerar Relatório Financeiro Mensal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ID / Nome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CSU08 — Gerar Relatório Financeiro Mensal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proofErr w:type="gramStart"/>
            <w:r>
              <w:rPr>
                <w:b/>
                <w:bCs/>
                <w:sz w:val="18"/>
                <w:szCs w:val="18"/>
              </w:rPr>
              <w:t>Ator(</w:t>
            </w:r>
            <w:proofErr w:type="gramEnd"/>
            <w:r>
              <w:rPr>
                <w:b/>
                <w:bCs/>
                <w:sz w:val="18"/>
                <w:szCs w:val="18"/>
              </w:rPr>
              <w:t>es)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Psicólogo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O Psicólogo solicita a geração do relatório financeiro de um mês específico. O sistema consolida sessões realizadas, honorários lançados, pagamentos confirmados, inadimplência e projeção de receita para o mês seguinte, apresentando o resultado em tela com </w:t>
            </w:r>
            <w:r>
              <w:rPr>
                <w:sz w:val="18"/>
                <w:szCs w:val="18"/>
              </w:rPr>
              <w:t>opção de exportação em PDF.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Mês e ano de referência selecionados pelo psicólogo.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Saídas / Resultados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Relatório exibido em tela com: total faturado, total recebido, valor em aberto por paciente, percentual de inadimplência e projeção de receita. </w:t>
            </w:r>
            <w:r>
              <w:rPr>
                <w:sz w:val="18"/>
                <w:szCs w:val="18"/>
              </w:rPr>
              <w:t>Botão de exportação gera PDF com cabeçalho do consultório.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Psicólogo autenticado. Ao menos uma sessão registrada no período solicitado.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Dados financeiros do período exibidos corretamente. PDF gerado disponível para download imediato.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Requisitos Funcionais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RF04 — Gestão Financeira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RN4 — Paciente visualiza apenas suas próprias cobranças (relatório restrito ao psicólogo). </w:t>
            </w:r>
            <w:r>
              <w:rPr>
                <w:sz w:val="18"/>
                <w:szCs w:val="18"/>
              </w:rPr>
              <w:t>RN6 — Relatório gerado a partir de registros imutáveis; não permite estorno retroativo sem log.</w:t>
            </w:r>
          </w:p>
        </w:tc>
      </w:tr>
    </w:tbl>
    <w:p w:rsidR="00767B66" w:rsidRDefault="00767B66">
      <w:pPr>
        <w:spacing w:after="120"/>
        <w:jc w:val="both"/>
      </w:pPr>
    </w:p>
    <w:p w:rsidR="00767B66" w:rsidRDefault="008D0338">
      <w:pPr>
        <w:pStyle w:val="Ttulo2"/>
        <w:spacing w:after="100"/>
      </w:pPr>
      <w:r>
        <w:t>CSU09 — Gerar Relatório de Presença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ID / Nome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CSU09 — Gerar Relatório de Presença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proofErr w:type="gramStart"/>
            <w:r>
              <w:rPr>
                <w:b/>
                <w:bCs/>
                <w:sz w:val="18"/>
                <w:szCs w:val="18"/>
              </w:rPr>
              <w:t>Ator(</w:t>
            </w:r>
            <w:proofErr w:type="gramEnd"/>
            <w:r>
              <w:rPr>
                <w:b/>
                <w:bCs/>
                <w:sz w:val="18"/>
                <w:szCs w:val="18"/>
              </w:rPr>
              <w:t>es)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Psicólogo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O Psicólogo solicita o relatório de presença de um período selecionado. O sistema lista todas as sessões do período, classificando-as por status: realizada, cancelada com antecedência, cancelada sem antecedência (no-show) e remarcada. O relatório permite i</w:t>
            </w:r>
            <w:r>
              <w:rPr>
                <w:sz w:val="18"/>
                <w:szCs w:val="18"/>
              </w:rPr>
              <w:t>dentificar padrões de falta por paciente.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Entradas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Intervalo de datas (início e fim). Filtro opcional por paciente.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Saídas / Resultados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Lista de sessões com data, paciente, tipo (presencial/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>) e status. Totalizadores: taxa de presença geral, t</w:t>
            </w:r>
            <w:r>
              <w:rPr>
                <w:sz w:val="18"/>
                <w:szCs w:val="18"/>
              </w:rPr>
              <w:t>axa de no-show por paciente. Exportação em PDF opcional.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Psicólogo autenticado. Sessões registradas no intervalo solicitado.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Relatório exibido com dados do período. Status de cada sessão reflete o registro histórico imutável d</w:t>
            </w:r>
            <w:r>
              <w:rPr>
                <w:sz w:val="18"/>
                <w:szCs w:val="18"/>
              </w:rPr>
              <w:t>a agenda.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Requisitos Funcionais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RF01 — Agenda Dinâmica RF05 — Comunicação Automatizada (registro de lembretes enviados por sessão)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Regras de Negócio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RN2 — Status de sessão calculado com base nos registros de movimentação da agenda (não editável retroativamente).</w:t>
            </w:r>
          </w:p>
        </w:tc>
      </w:tr>
    </w:tbl>
    <w:p w:rsidR="00767B66" w:rsidRDefault="00767B66"/>
    <w:p w:rsidR="00767B66" w:rsidRDefault="008D0338">
      <w:pPr>
        <w:pStyle w:val="Ttulo1"/>
        <w:spacing w:before="200" w:after="100"/>
      </w:pPr>
      <w:r>
        <w:t>4. Requisitos Não Funcionais — Versão Revisada (IEEE 830 §3 + ISO/IEC 25010)</w:t>
      </w:r>
    </w:p>
    <w:p w:rsidR="00767B66" w:rsidRDefault="008D0338">
      <w:pPr>
        <w:spacing w:before="80" w:after="60"/>
        <w:jc w:val="both"/>
      </w:pPr>
      <w:r>
        <w:rPr>
          <w:color w:val="000000"/>
        </w:rPr>
        <w:t>O</w:t>
      </w:r>
      <w:r>
        <w:rPr>
          <w:color w:val="000000"/>
        </w:rPr>
        <w:t xml:space="preserve">s </w:t>
      </w:r>
      <w:proofErr w:type="spellStart"/>
      <w:r>
        <w:rPr>
          <w:color w:val="000000"/>
        </w:rPr>
        <w:t>RNFs</w:t>
      </w:r>
      <w:proofErr w:type="spellEnd"/>
      <w:r>
        <w:rPr>
          <w:color w:val="000000"/>
        </w:rPr>
        <w:t xml:space="preserve"> abaixo substituem integralmente a tabela da versão an</w:t>
      </w:r>
      <w:r>
        <w:rPr>
          <w:color w:val="000000"/>
        </w:rPr>
        <w:t xml:space="preserve">terior. Cada requisito foi reescrito para ser específico ao domínio clínico-psicológico do </w:t>
      </w:r>
      <w:proofErr w:type="spellStart"/>
      <w:r>
        <w:rPr>
          <w:color w:val="000000"/>
        </w:rPr>
        <w:t>PsicoManager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referencia</w:t>
      </w:r>
      <w:proofErr w:type="spellEnd"/>
      <w:r>
        <w:rPr>
          <w:color w:val="000000"/>
        </w:rPr>
        <w:t xml:space="preserve"> normas aplicáveis (Res. CFP, LGPD), operações concretas do sistema (abertura de prontuário, </w:t>
      </w:r>
      <w:proofErr w:type="spellStart"/>
      <w:r>
        <w:rPr>
          <w:color w:val="000000"/>
        </w:rPr>
        <w:t>teleconsulta</w:t>
      </w:r>
      <w:proofErr w:type="spellEnd"/>
      <w:r>
        <w:rPr>
          <w:color w:val="000000"/>
        </w:rPr>
        <w:t>, lançamento de cobrança) e possui c</w:t>
      </w:r>
      <w:r>
        <w:rPr>
          <w:color w:val="000000"/>
        </w:rPr>
        <w:t>ritério de aceitação diretamente verificável por teste ou auditoria.</w:t>
      </w:r>
    </w:p>
    <w:p w:rsidR="00767B66" w:rsidRDefault="008D0338">
      <w:pPr>
        <w:spacing w:before="40" w:after="120"/>
        <w:jc w:val="both"/>
      </w:pPr>
      <w:r>
        <w:rPr>
          <w:i/>
          <w:iCs/>
          <w:color w:val="555555"/>
        </w:rPr>
        <w:t xml:space="preserve">Nota: funcionalidades de relatório (financeiro, presença) foram migradas para os casos de uso CSU08 e CSU09 (Seção 3.3), eliminando redundância entre </w:t>
      </w:r>
      <w:proofErr w:type="spellStart"/>
      <w:r>
        <w:rPr>
          <w:i/>
          <w:iCs/>
          <w:color w:val="555555"/>
        </w:rPr>
        <w:t>RFs</w:t>
      </w:r>
      <w:proofErr w:type="spellEnd"/>
      <w:r>
        <w:rPr>
          <w:i/>
          <w:iCs/>
          <w:color w:val="555555"/>
        </w:rPr>
        <w:t xml:space="preserve"> e </w:t>
      </w:r>
      <w:proofErr w:type="spellStart"/>
      <w:r>
        <w:rPr>
          <w:i/>
          <w:iCs/>
          <w:color w:val="555555"/>
        </w:rPr>
        <w:t>RNFs</w:t>
      </w:r>
      <w:proofErr w:type="spellEnd"/>
      <w:r>
        <w:rPr>
          <w:i/>
          <w:iCs/>
          <w:color w:val="555555"/>
        </w:rPr>
        <w:t>. O RNF de 'tolerância a fa</w:t>
      </w:r>
      <w:r>
        <w:rPr>
          <w:i/>
          <w:iCs/>
          <w:color w:val="555555"/>
        </w:rPr>
        <w:t xml:space="preserve">lhas' foi substituído por requisitos de disponibilidade e backup dimensionados ao porte real do sistema (psicólogo autônomo), evitando </w:t>
      </w:r>
      <w:proofErr w:type="spellStart"/>
      <w:r>
        <w:rPr>
          <w:i/>
          <w:iCs/>
          <w:color w:val="555555"/>
        </w:rPr>
        <w:t>sobrecusto</w:t>
      </w:r>
      <w:proofErr w:type="spellEnd"/>
      <w:r>
        <w:rPr>
          <w:i/>
          <w:iCs/>
          <w:color w:val="555555"/>
        </w:rPr>
        <w:t xml:space="preserve"> de implementação.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1"/>
        <w:gridCol w:w="1521"/>
        <w:gridCol w:w="1601"/>
        <w:gridCol w:w="2851"/>
        <w:gridCol w:w="2576"/>
      </w:tblGrid>
      <w:tr w:rsidR="00767B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Categoria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Critério de Aceitação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Sigilo do Prontuário Clínico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Segurança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O prontuário de um paciente é acessível exclusivamente ao psicólogo responsável pelo vínculo terapêutico. Nenhuma rota da API deve retornar conteúdo clínico para o perfil Paciente ou para psicólogos sem vínculo com aquele paciente.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Teste de penet</w:t>
            </w:r>
            <w:r>
              <w:rPr>
                <w:sz w:val="18"/>
                <w:szCs w:val="18"/>
              </w:rPr>
              <w:t>ração: perfil Paciente e psicólogo sem vínculo recebem HTTP 403 em todas as rotas /</w:t>
            </w:r>
            <w:proofErr w:type="spellStart"/>
            <w:r>
              <w:rPr>
                <w:sz w:val="18"/>
                <w:szCs w:val="18"/>
              </w:rPr>
              <w:t>prontuario</w:t>
            </w:r>
            <w:proofErr w:type="spellEnd"/>
            <w:proofErr w:type="gramStart"/>
            <w:r>
              <w:rPr>
                <w:sz w:val="18"/>
                <w:szCs w:val="18"/>
              </w:rPr>
              <w:t>/{</w:t>
            </w:r>
            <w:proofErr w:type="gramEnd"/>
            <w:r>
              <w:rPr>
                <w:sz w:val="18"/>
                <w:szCs w:val="18"/>
              </w:rPr>
              <w:t>id}. 0 vazamentos em 100 tentativas de acesso cruzado.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RNF02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Criptografia de Dados Clínicos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Segurança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Evoluções clínicas, diário de emoções e arquivos anexados são armazenados com AES-256 em repouso. Todo tráfego entre cliente e servidor usa TLS 1.2+. Sessões de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usam E2EE conforme exigência da Res. CFP 11/2018.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Auditoria de certificados TLS vá</w:t>
            </w:r>
            <w:r>
              <w:rPr>
                <w:sz w:val="18"/>
                <w:szCs w:val="18"/>
              </w:rPr>
              <w:t xml:space="preserve">lidos em produção. Teste de interceptação de tráfego de </w:t>
            </w:r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sem leitura de conteúdo. Inspeção de banco confirma dados em coluna criptografada.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RNF03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Trava de Edição de Prontuário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Segurança / Confiabilidade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Após o prazo configurado pelo psicólogo (padrão: 24 h após registro), o sistema impede qualquer edição ou exclusão da evolução clínica. A imutabilidade protege a validade </w:t>
            </w:r>
            <w:r>
              <w:rPr>
                <w:sz w:val="18"/>
                <w:szCs w:val="18"/>
              </w:rPr>
              <w:lastRenderedPageBreak/>
              <w:t>jurídica do prontuário conforme Res. CFP 10/2005.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lastRenderedPageBreak/>
              <w:t>Tentativa de edição via API após ex</w:t>
            </w:r>
            <w:r>
              <w:rPr>
                <w:sz w:val="18"/>
                <w:szCs w:val="18"/>
              </w:rPr>
              <w:t xml:space="preserve">piração retorna HTTP 403 com mensagem 'Prontuário travado'. Nenhum UPDATE direto é possível na tabela de evoluções após o prazo — validado por teste </w:t>
            </w:r>
            <w:r>
              <w:rPr>
                <w:sz w:val="18"/>
                <w:szCs w:val="18"/>
              </w:rPr>
              <w:lastRenderedPageBreak/>
              <w:t>unitário no serviço de domínio.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lastRenderedPageBreak/>
              <w:t>RNF04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Log de Auditoria Imutável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Segurança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Toda operação de leitura, criação ou tentativa de modificação sobre prontuários, cobranças e agendamentos é registrada em tabela de auditoria com: ID do usuário, perfil (psicólogo/paciente), data/hora UTC, IP de origem e resultado (sucesso/negado). O log n</w:t>
            </w:r>
            <w:r>
              <w:rPr>
                <w:sz w:val="18"/>
                <w:szCs w:val="18"/>
              </w:rPr>
              <w:t>ão admite UPDATE nem DELETE.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100% das operações CRUD em prontuário e cobrança geram entrada no log — validado por testes de integração. Tentativa de DELETE na tabela de auditoria retorna erro de restrição de banco. Relatório de auditoria disponível para o </w:t>
            </w:r>
            <w:r>
              <w:rPr>
                <w:sz w:val="18"/>
                <w:szCs w:val="18"/>
              </w:rPr>
              <w:t>psicólogo em ≤ 5 s.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Retenção de Histórico Clínico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Confiabilidade / Legal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Todo prontuário e registro clínico é retido por no mínimo 5 anos a contar da última sessão registrada, atendendo ao art. 17 da Res. CFP 10/2005. A exclusão definitiva é bloqueada tecnicamente antes desse prazo.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Tentativa de exclusão de paciente com históri</w:t>
            </w:r>
            <w:r>
              <w:rPr>
                <w:sz w:val="18"/>
                <w:szCs w:val="18"/>
              </w:rPr>
              <w:t>co inferior a 5 anos retorna erro de negócio 'Retenção obrigatória não cumprida'. Simulação de rotina de limpeza confirma que registros dentro do prazo não são removidos.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RNF06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Disponibilidade no Horário de Atendimento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Confiabilidade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O sistema deve estar disponível com SLA ≥ 99,5 % durante o horário de atendimento clínico (08h–20h BRT, segunda a sábado). Janelas de manutenção devem ser agendadas fora desse intervalo e comunicadas ao psicólogo com ≥ 24 h de antecedência.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Monitoramento d</w:t>
            </w:r>
            <w:r>
              <w:rPr>
                <w:sz w:val="18"/>
                <w:szCs w:val="18"/>
              </w:rPr>
              <w:t xml:space="preserve">e </w:t>
            </w:r>
            <w:proofErr w:type="spellStart"/>
            <w:r>
              <w:rPr>
                <w:sz w:val="18"/>
                <w:szCs w:val="18"/>
              </w:rPr>
              <w:t>uptime</w:t>
            </w:r>
            <w:proofErr w:type="spellEnd"/>
            <w:r>
              <w:rPr>
                <w:sz w:val="18"/>
                <w:szCs w:val="18"/>
              </w:rPr>
              <w:t xml:space="preserve"> por 30 dias confirma ≥ 99,5 % no horário definido. Nenhuma manutenção ocorre entre 08h e 20h BRT sem comunicação prévia registrada.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RNF07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Backup e Recuperação de Dados Clínicos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Confiabilidade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Backup automático diário de todos os dados clínicos e financeiros. Em caso de falha, a restauração não deve implicar perda de evoluções de prontuário ou cobranças registradas nas últimas 24 h.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Simulação de falha de banco de dados: restauração concluída em </w:t>
            </w:r>
            <w:r>
              <w:rPr>
                <w:sz w:val="18"/>
                <w:szCs w:val="18"/>
              </w:rPr>
              <w:t>&lt; 4 h. Verificação confirma que nenhuma evolução das últimas 24 h foi perdida.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RNF08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Tempo de Resposta em Operações Clínicas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Desempenho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A abertura de prontuário, a visualização da agenda semanal e o carregamento do painel do paciente devem completar em ≤ 3 </w:t>
            </w:r>
            <w:proofErr w:type="gramStart"/>
            <w:r>
              <w:rPr>
                <w:sz w:val="18"/>
                <w:szCs w:val="18"/>
              </w:rPr>
              <w:t>s</w:t>
            </w:r>
            <w:proofErr w:type="gramEnd"/>
            <w:r>
              <w:rPr>
                <w:sz w:val="18"/>
                <w:szCs w:val="18"/>
              </w:rPr>
              <w:t xml:space="preserve"> no percentil 95, sob condições normais de rede (latência &lt; 100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), garantindo fluidez durante o atendimento.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Teste de carga com 500 </w:t>
            </w:r>
            <w:r>
              <w:rPr>
                <w:sz w:val="18"/>
                <w:szCs w:val="18"/>
              </w:rPr>
              <w:t xml:space="preserve">sessões simultâneas: p95 ≤ 3 s para as três operações citadas, medido com k6 ou </w:t>
            </w:r>
            <w:proofErr w:type="spellStart"/>
            <w:r>
              <w:rPr>
                <w:sz w:val="18"/>
                <w:szCs w:val="18"/>
              </w:rPr>
              <w:t>JMeter</w:t>
            </w:r>
            <w:proofErr w:type="spellEnd"/>
            <w:r>
              <w:rPr>
                <w:sz w:val="18"/>
                <w:szCs w:val="18"/>
              </w:rPr>
              <w:t xml:space="preserve"> em ambiente de homologação.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RNF09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Usabilidade para Psicólogos com Baixo Letramento Digital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Usabilidade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As operações mais frequentes — registrar evolução clínica, confirmar sessão e lançar cobrança — devem ser concluídas em ≤ 3 cliques/toques a partir da tela inicial do psicólogo, sem necessidade de consultar documentação.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Teste de usabilidade com 5 psicólog</w:t>
            </w:r>
            <w:r>
              <w:rPr>
                <w:sz w:val="18"/>
                <w:szCs w:val="18"/>
              </w:rPr>
              <w:t>os não familiarizados com o sistema: ≥ 80 % concluem agendamento e registro de evolução sem ajuda externa em ≤ 5 min cada.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proofErr w:type="spellStart"/>
            <w:r>
              <w:rPr>
                <w:sz w:val="18"/>
                <w:szCs w:val="18"/>
              </w:rPr>
              <w:t>Responsividade</w:t>
            </w:r>
            <w:proofErr w:type="spellEnd"/>
            <w:r>
              <w:rPr>
                <w:sz w:val="18"/>
                <w:szCs w:val="18"/>
              </w:rPr>
              <w:t xml:space="preserve"> em Dispositivos do Consultório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Portabilidade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A interface deve ser funcional em desktop (≥ 1024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) e em smartphones (≥ 360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), nos navegadores Chrome, Firefox, Safari e Edge, sem perda de acesso às funcionalidades clínicas essenciais — </w:t>
            </w:r>
            <w:r>
              <w:rPr>
                <w:sz w:val="18"/>
                <w:szCs w:val="18"/>
              </w:rPr>
              <w:lastRenderedPageBreak/>
              <w:t xml:space="preserve">atendendo ao uso em </w:t>
            </w:r>
            <w:proofErr w:type="spellStart"/>
            <w:r>
              <w:rPr>
                <w:sz w:val="18"/>
                <w:szCs w:val="18"/>
              </w:rPr>
              <w:t>tablets</w:t>
            </w:r>
            <w:proofErr w:type="spellEnd"/>
            <w:r>
              <w:rPr>
                <w:sz w:val="18"/>
                <w:szCs w:val="18"/>
              </w:rPr>
              <w:t xml:space="preserve"> durante o atendimento.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lastRenderedPageBreak/>
              <w:t>Testes automa</w:t>
            </w:r>
            <w:r>
              <w:rPr>
                <w:sz w:val="18"/>
                <w:szCs w:val="18"/>
              </w:rPr>
              <w:t>tizados (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>) em 4 navegadores × 2 resoluções (1280×800 e 360×780) sem erros de layout ou funcionalidades inacessíveis.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RNF11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Independência entre Módulo do Profissional e Módulo do Paciente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proofErr w:type="spellStart"/>
            <w:r>
              <w:rPr>
                <w:sz w:val="18"/>
                <w:szCs w:val="18"/>
              </w:rPr>
              <w:t>Manutenibilidade</w:t>
            </w:r>
            <w:proofErr w:type="spellEnd"/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Alterações no módulo financeiro ou de prontuário não devem exigir </w:t>
            </w:r>
            <w:proofErr w:type="spellStart"/>
            <w:r>
              <w:rPr>
                <w:sz w:val="18"/>
                <w:szCs w:val="18"/>
              </w:rPr>
              <w:t>redeployment</w:t>
            </w:r>
            <w:proofErr w:type="spellEnd"/>
            <w:r>
              <w:rPr>
                <w:sz w:val="18"/>
                <w:szCs w:val="18"/>
              </w:rPr>
              <w:t xml:space="preserve"> do módulo do paciente (painel, diário de emoções, agendamento), preservando a estabilidade do acesso do paciente durante atualizações do sistema.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 isolado do módulo financ</w:t>
            </w:r>
            <w:r>
              <w:rPr>
                <w:sz w:val="18"/>
                <w:szCs w:val="18"/>
              </w:rPr>
              <w:t xml:space="preserve">eiro executado em ambiente de homologação: painel do paciente permanece acessível e funcional durante e após o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, validado por </w:t>
            </w:r>
            <w:proofErr w:type="spellStart"/>
            <w:r>
              <w:rPr>
                <w:sz w:val="18"/>
                <w:szCs w:val="18"/>
              </w:rPr>
              <w:t>smoke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automatizado.</w:t>
            </w:r>
          </w:p>
        </w:tc>
      </w:tr>
    </w:tbl>
    <w:p w:rsidR="00767B66" w:rsidRDefault="00767B66">
      <w:pPr>
        <w:spacing w:after="200"/>
        <w:jc w:val="both"/>
      </w:pPr>
    </w:p>
    <w:p w:rsidR="00767B66" w:rsidRDefault="008D0338">
      <w:pPr>
        <w:pStyle w:val="Ttulo1"/>
        <w:spacing w:before="200" w:after="100"/>
      </w:pPr>
      <w:r>
        <w:t>6. Rastreabilidade Atualizada — Objetivos × Requisitos</w:t>
      </w:r>
    </w:p>
    <w:p w:rsidR="00767B66" w:rsidRDefault="008D0338">
      <w:pPr>
        <w:spacing w:before="80" w:after="120"/>
        <w:jc w:val="both"/>
      </w:pPr>
      <w:r>
        <w:rPr>
          <w:color w:val="000000"/>
        </w:rPr>
        <w:t xml:space="preserve">A tabela abaixo atualiza a rastreabilidade da Seção 6 para refletir os novos casos de uso (CSU08, CSU09) e os </w:t>
      </w:r>
      <w:proofErr w:type="spellStart"/>
      <w:r>
        <w:rPr>
          <w:color w:val="000000"/>
        </w:rPr>
        <w:t>RNFs</w:t>
      </w:r>
      <w:proofErr w:type="spellEnd"/>
      <w:r>
        <w:rPr>
          <w:color w:val="000000"/>
        </w:rPr>
        <w:t xml:space="preserve"> revisados.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"/>
        <w:gridCol w:w="3269"/>
        <w:gridCol w:w="5300"/>
      </w:tblGrid>
      <w:tr w:rsidR="00767B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OBJ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Objetivo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b/>
                <w:bCs/>
                <w:sz w:val="18"/>
                <w:szCs w:val="18"/>
              </w:rPr>
              <w:t>Requisitos que atendem (atualizado)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OBJ01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Centralizar operações do consultório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RF01–RF10, CSU08, CSU09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OBJ02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Segurança jurídica dos registros clínicos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RF02, RNF01, RNF02, RNF03, RNF04, RNF05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OBJ03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Redução de no-shows por automação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RF05, RF09, CSU09 (visibilidade de no-shows)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OBJ04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proofErr w:type="spellStart"/>
            <w:r>
              <w:rPr>
                <w:sz w:val="18"/>
                <w:szCs w:val="18"/>
              </w:rPr>
              <w:t>Teleconsulta</w:t>
            </w:r>
            <w:proofErr w:type="spellEnd"/>
            <w:r>
              <w:rPr>
                <w:sz w:val="18"/>
                <w:szCs w:val="18"/>
              </w:rPr>
              <w:t xml:space="preserve"> nativa e conforme CFP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RF03, RNF02 (E2EE + TLS), RNF06 (disponibilidade)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OBJ05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Acesso </w:t>
            </w:r>
            <w:proofErr w:type="spellStart"/>
            <w:r>
              <w:rPr>
                <w:sz w:val="18"/>
                <w:szCs w:val="18"/>
              </w:rPr>
              <w:t>multi-dispositivo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 xml:space="preserve">RNF10 (Portabilidade — </w:t>
            </w:r>
            <w:proofErr w:type="spellStart"/>
            <w:r>
              <w:rPr>
                <w:sz w:val="18"/>
                <w:szCs w:val="18"/>
              </w:rPr>
              <w:t>responsividade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7B6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OBJ06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Conformidade LGPD e Resoluções CFP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66" w:rsidRDefault="008D0338">
            <w:r>
              <w:rPr>
                <w:sz w:val="18"/>
                <w:szCs w:val="18"/>
              </w:rPr>
              <w:t>RNF01–RNF05, RF02, RF03</w:t>
            </w:r>
          </w:p>
        </w:tc>
      </w:tr>
    </w:tbl>
    <w:p w:rsidR="00767B66" w:rsidRDefault="00767B66">
      <w:pPr>
        <w:spacing w:after="120"/>
        <w:jc w:val="both"/>
      </w:pPr>
    </w:p>
    <w:p w:rsidR="00767B66" w:rsidRDefault="008D0338">
      <w:pPr>
        <w:spacing w:before="80" w:after="80"/>
        <w:jc w:val="both"/>
      </w:pPr>
      <w:r>
        <w:rPr>
          <w:i/>
          <w:iCs/>
          <w:color w:val="888888"/>
        </w:rPr>
        <w:t>Fim do documento de revisão parcial. As seções não mencionadas (1, 2, 5, 7, 8) permanecem inalteradas na versão principal do SRS.</w:t>
      </w:r>
    </w:p>
    <w:sectPr w:rsidR="00767B66" w:rsidSect="001830B3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0338" w:rsidRDefault="008D0338">
      <w:r>
        <w:separator/>
      </w:r>
    </w:p>
  </w:endnote>
  <w:endnote w:type="continuationSeparator" w:id="0">
    <w:p w:rsidR="008D0338" w:rsidRDefault="008D0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7B66" w:rsidRDefault="008D0338">
    <w:pPr>
      <w:jc w:val="center"/>
    </w:pPr>
    <w:proofErr w:type="spellStart"/>
    <w:r>
      <w:rPr>
        <w:color w:val="888888"/>
        <w:sz w:val="16"/>
        <w:szCs w:val="16"/>
      </w:rPr>
      <w:t>PsicoManager</w:t>
    </w:r>
    <w:proofErr w:type="spellEnd"/>
    <w:r>
      <w:rPr>
        <w:color w:val="888888"/>
        <w:sz w:val="16"/>
        <w:szCs w:val="16"/>
      </w:rPr>
      <w:t xml:space="preserve"> — SRS — Seção 3 (novos </w:t>
    </w:r>
    <w:proofErr w:type="spellStart"/>
    <w:r>
      <w:rPr>
        <w:color w:val="888888"/>
        <w:sz w:val="16"/>
        <w:szCs w:val="16"/>
      </w:rPr>
      <w:t>UCs</w:t>
    </w:r>
    <w:proofErr w:type="spellEnd"/>
    <w:r>
      <w:rPr>
        <w:color w:val="888888"/>
        <w:sz w:val="16"/>
        <w:szCs w:val="16"/>
      </w:rPr>
      <w:t>) e Seção 4 (</w:t>
    </w:r>
    <w:proofErr w:type="spellStart"/>
    <w:r>
      <w:rPr>
        <w:color w:val="888888"/>
        <w:sz w:val="16"/>
        <w:szCs w:val="16"/>
      </w:rPr>
      <w:t>RNFs</w:t>
    </w:r>
    <w:proofErr w:type="spellEnd"/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 xml:space="preserve">revisados)   </w:t>
    </w:r>
    <w:proofErr w:type="gramEnd"/>
    <w:r>
      <w:rPr>
        <w:color w:val="888888"/>
        <w:sz w:val="16"/>
        <w:szCs w:val="16"/>
      </w:rPr>
      <w:t xml:space="preserve">|   Página </w:t>
    </w:r>
    <w:r>
      <w:fldChar w:fldCharType="begin"/>
    </w:r>
    <w:r>
      <w:instrText>PAGE</w:instrText>
    </w:r>
    <w:r>
      <w:fldChar w:fldCharType="separate"/>
    </w:r>
    <w:r w:rsidR="001830B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0338" w:rsidRDefault="008D0338">
      <w:r>
        <w:separator/>
      </w:r>
    </w:p>
  </w:footnote>
  <w:footnote w:type="continuationSeparator" w:id="0">
    <w:p w:rsidR="008D0338" w:rsidRDefault="008D03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653B0"/>
    <w:multiLevelType w:val="hybridMultilevel"/>
    <w:tmpl w:val="B892595C"/>
    <w:lvl w:ilvl="0" w:tplc="821CFEB6">
      <w:start w:val="1"/>
      <w:numFmt w:val="bullet"/>
      <w:lvlText w:val="●"/>
      <w:lvlJc w:val="left"/>
      <w:pPr>
        <w:ind w:left="720" w:hanging="360"/>
      </w:pPr>
    </w:lvl>
    <w:lvl w:ilvl="1" w:tplc="20409550">
      <w:start w:val="1"/>
      <w:numFmt w:val="bullet"/>
      <w:lvlText w:val="○"/>
      <w:lvlJc w:val="left"/>
      <w:pPr>
        <w:ind w:left="1440" w:hanging="360"/>
      </w:pPr>
    </w:lvl>
    <w:lvl w:ilvl="2" w:tplc="B4CEE9EA">
      <w:start w:val="1"/>
      <w:numFmt w:val="bullet"/>
      <w:lvlText w:val="■"/>
      <w:lvlJc w:val="left"/>
      <w:pPr>
        <w:ind w:left="2160" w:hanging="360"/>
      </w:pPr>
    </w:lvl>
    <w:lvl w:ilvl="3" w:tplc="697C10B0">
      <w:start w:val="1"/>
      <w:numFmt w:val="bullet"/>
      <w:lvlText w:val="●"/>
      <w:lvlJc w:val="left"/>
      <w:pPr>
        <w:ind w:left="2880" w:hanging="360"/>
      </w:pPr>
    </w:lvl>
    <w:lvl w:ilvl="4" w:tplc="B172F06E">
      <w:start w:val="1"/>
      <w:numFmt w:val="bullet"/>
      <w:lvlText w:val="○"/>
      <w:lvlJc w:val="left"/>
      <w:pPr>
        <w:ind w:left="3600" w:hanging="360"/>
      </w:pPr>
    </w:lvl>
    <w:lvl w:ilvl="5" w:tplc="2B32A710">
      <w:start w:val="1"/>
      <w:numFmt w:val="bullet"/>
      <w:lvlText w:val="■"/>
      <w:lvlJc w:val="left"/>
      <w:pPr>
        <w:ind w:left="4320" w:hanging="360"/>
      </w:pPr>
    </w:lvl>
    <w:lvl w:ilvl="6" w:tplc="98464BF2">
      <w:start w:val="1"/>
      <w:numFmt w:val="bullet"/>
      <w:lvlText w:val="●"/>
      <w:lvlJc w:val="left"/>
      <w:pPr>
        <w:ind w:left="5040" w:hanging="360"/>
      </w:pPr>
    </w:lvl>
    <w:lvl w:ilvl="7" w:tplc="09DA4F6E">
      <w:start w:val="1"/>
      <w:numFmt w:val="bullet"/>
      <w:lvlText w:val="●"/>
      <w:lvlJc w:val="left"/>
      <w:pPr>
        <w:ind w:left="5760" w:hanging="360"/>
      </w:pPr>
    </w:lvl>
    <w:lvl w:ilvl="8" w:tplc="99EA2D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B66"/>
    <w:rsid w:val="001830B3"/>
    <w:rsid w:val="00767B66"/>
    <w:rsid w:val="008D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DDE125-0DDF-404B-B2B7-DBB6516E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6" w:space="1" w:color="2E75B6"/>
      </w:pBdr>
      <w:spacing w:before="300" w:after="120"/>
      <w:outlineLvl w:val="0"/>
    </w:pPr>
    <w:rPr>
      <w:b/>
      <w:bCs/>
      <w:color w:val="2E75B6"/>
      <w:sz w:val="28"/>
      <w:szCs w:val="28"/>
    </w:rPr>
  </w:style>
  <w:style w:type="paragraph" w:styleId="Ttulo2">
    <w:name w:val="heading 2"/>
    <w:qFormat/>
    <w:pPr>
      <w:spacing w:before="200" w:after="80"/>
      <w:outlineLvl w:val="1"/>
    </w:pPr>
    <w:rPr>
      <w:b/>
      <w:bCs/>
      <w:color w:val="1F4E79"/>
      <w:sz w:val="22"/>
      <w:szCs w:val="22"/>
    </w:rPr>
  </w:style>
  <w:style w:type="paragraph" w:styleId="Ttulo3">
    <w:name w:val="heading 3"/>
    <w:qFormat/>
    <w:pPr>
      <w:spacing w:before="160" w:after="60"/>
      <w:outlineLvl w:val="2"/>
    </w:pPr>
    <w:rPr>
      <w:b/>
      <w:bCs/>
      <w:color w:val="2E75B6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1645</Words>
  <Characters>8884</Characters>
  <Application>Microsoft Office Word</Application>
  <DocSecurity>0</DocSecurity>
  <Lines>74</Lines>
  <Paragraphs>21</Paragraphs>
  <ScaleCrop>false</ScaleCrop>
  <Company/>
  <LinksUpToDate>false</LinksUpToDate>
  <CharactersWithSpaces>10508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Adriano F Gregorio</cp:lastModifiedBy>
  <cp:revision>2</cp:revision>
  <dcterms:created xsi:type="dcterms:W3CDTF">2026-06-15T18:41:00Z</dcterms:created>
  <dcterms:modified xsi:type="dcterms:W3CDTF">2026-06-15T18:49:00Z</dcterms:modified>
</cp:coreProperties>
</file>