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8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PsicoManager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Matriz de Rastreabilidade — Horizontal e Vertical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Anexo obrigatório — Liga Objetivos → RFs → RNFs → UCs → Telas → Classes → Tabelas BD → Diagramas</w:t>
      </w:r>
    </w:p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1. Matriz de Rastreabilidade Horizontal — Objetivos × Requisitos Funcionais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Verifica que cada objetivo estratégico é atendido por ao menos um requisito funcional (completude) e que cada RF tem origem em um objetivo (nenhum RF 'solto').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RF01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RF02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RF03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RF04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RF05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RF06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RF07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RF08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RF09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RF10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OBJ01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✅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✅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✅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✅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✅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✅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✅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✅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✅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✅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OBJ02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✅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OBJ03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✅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✅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OBJ04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✅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OBJ05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OBJ06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✅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✅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2. Matriz de Rastreabilidade Vertical — Requisitos → Artefatos de Projeto</w:t>
      </w:r>
    </w:p>
    <w:p>
      <w:pPr>
        <w:spacing w:after="60" w:before="8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Liga cada requisito (RF/RNF) ao UC que o realiza, à tela de protótipo que o representa, à(s) classe(s) que o implementam, à(s) tabela(s) de banco de dados que persistem seus dados, ao(s) diagrama(s) de sequência que detalham seu comportamento e à regra de negócio que o restringe.</w:t>
      </w:r>
    </w:p>
    <w:p>
      <w:pPr>
        <w:spacing w:after="120" w:before="80"/>
        <w:jc w:val="left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Leia cada linha como: 'O objetivo OBJ é atendido pelo RF/RNF, realizado no UC, representado pela Tela, implementado pela Classe, persistido na Tabela BD, detalhado no DSeq, restringido pela RN e coberto pelos demais artefatos.'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1100"/>
        <w:gridCol w:w="900"/>
        <w:gridCol w:w="700"/>
        <w:gridCol w:w="1000"/>
        <w:gridCol w:w="1000"/>
        <w:gridCol w:w="700"/>
        <w:gridCol w:w="800"/>
        <w:gridCol w:w="800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OBJ
(Objetivo)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RF
(Req. Func.)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RNF
(Req. N-Func.)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UC
(Caso de Uso)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Tela
(Protótipo)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Classe
(DCla C4)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Tabela BD
(EOBD C4)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Diagrama Seq.
(DSeq C3/C4)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RN
(Regra Neg.)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Demais Artefatos
(Diagramas)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OBJ01
OBJ03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RF01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UC01a
UC01b
UC01c
UC01d
UC07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Tela01-Agenda
Tela07-Paciente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AgendaService
ConflictoHorario
Validator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sessao
horario_agenda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C3-Seq
Agendamento
C4-Seq-Op2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RN2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C1-DCU
C2-Pacotes
C3-Comp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OBJ01
OBJ02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RF02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RNF01
RNF02
RNF03
RNF04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UC02a
UC02b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Tela02-Prontuario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ProntuarioService
TravaEdicaoService
AuditLogger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prontuario_clinico
evolucao_clinica
log_auditoria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C4-Seq-Op1
RegistrarEvolucao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RN1
RN3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C1-DCU
C2-Pacotes
C3-Comp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OBJ01
OBJ04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RF03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RNF02
RNF06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UC03
UC10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Tela03-Teleconsulta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TeleconsultaService
SalaVirtualManager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teleconsulta
sessao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C3-Seq
Componentes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RN5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C1-DCU
C2-Pacotes
C3-Comp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OBJ01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RF04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UC04a
UC04b
UC04c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Tela04a-Cobranca
Tela04b-Receber
Tela04c-Relatorio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FinanceiroService
RelatorioEngine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cobranca
log_auditoria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C4-Seq-Op2
LancarCobranca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RN4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C1-DCU
C2-Pacotes
C3-Comp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OBJ01
OBJ03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RF05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UC05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Tela05-Notif
(background)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NotificacaoService
WhatsAppAdapter
RetryScheduler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notificacao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C3-Seq
Componentes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—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C1-DCU
C2-Pacotes
C3-Comp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OBJ01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RF06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UC07
UC08
UC09
UC10
UC11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Tela06-PainelPaciente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PacienteService
DiarioEmocoesService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diario_emocoes
registro_emocao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—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RN4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C1-DCU
C2-Pacotes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OBJ01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RF07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UC08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Tela08-Cobranca
Paciente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PacienteService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cobranca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—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RN4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C1-DCU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OBJ01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RF08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UC09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Tela09-Diario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DiarioEmocoesService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diario_emocoes
registro_emocao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—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—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C1-DCU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OBJ01
OBJ03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RF09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UC07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Tela07-Agendamento
Paciente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PacienteService
AgendaService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sessao
horario_agenda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C3-Seq
Agendamento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RN2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C1-DCU
C2-Pacotes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OBJ01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RF10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UC06a
UC06b
UC11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Tela10-Documentos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DocumentoService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documento
anexo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—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—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C1-DCU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OBJ02
OBJ06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RNF01
RNF02
RNF03
RNF04
RNF05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UC02a
UC04a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Todas as telas
clínicas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AuditLogger
CriptografiaService
AcessoSigiloService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log_auditoria
evolucao_clinica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C4-Seq-Op1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RN1
RN3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C2-Pacotes
C3-Comp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OBJ04
OBJ06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RNF02
RNF06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UC03
UC10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Tela03-Teleconsulta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TeleconsultaService
SalaVirtualManager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teleconsulta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C3-Seq
Componentes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RN5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C3-Comp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OBJ05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RNF10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UC01a
UC07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Todas as telas
(PWA/mobile)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UI Layer
(Razor / SPA)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—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—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—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C1-Implant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3. Legenda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OBJ  </w:t>
      </w:r>
      <w:r>
        <w:rPr>
          <w:rFonts w:ascii="Arial" w:cs="Arial" w:eastAsia="Arial" w:hAnsi="Arial"/>
          <w:sz w:val="18"/>
          <w:szCs w:val="18"/>
        </w:rPr>
        <w:t xml:space="preserve">Objetivo estratégico do sistema (Seção 2.6 do Documento Visão)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RF  </w:t>
      </w:r>
      <w:r>
        <w:rPr>
          <w:rFonts w:ascii="Arial" w:cs="Arial" w:eastAsia="Arial" w:hAnsi="Arial"/>
          <w:sz w:val="18"/>
          <w:szCs w:val="18"/>
        </w:rPr>
        <w:t xml:space="preserve">Requisito Funcional — numerado na SRS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RNF  </w:t>
      </w:r>
      <w:r>
        <w:rPr>
          <w:rFonts w:ascii="Arial" w:cs="Arial" w:eastAsia="Arial" w:hAnsi="Arial"/>
          <w:sz w:val="18"/>
          <w:szCs w:val="18"/>
        </w:rPr>
        <w:t xml:space="preserve">Requisito Não Funcional — SRS + Especificação Suplementar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UC  </w:t>
      </w:r>
      <w:r>
        <w:rPr>
          <w:rFonts w:ascii="Arial" w:cs="Arial" w:eastAsia="Arial" w:hAnsi="Arial"/>
          <w:sz w:val="18"/>
          <w:szCs w:val="18"/>
        </w:rPr>
        <w:t xml:space="preserve">Caso de Uso — numerado na Especificação de Casos de Uso v2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Tela  </w:t>
      </w:r>
      <w:r>
        <w:rPr>
          <w:rFonts w:ascii="Arial" w:cs="Arial" w:eastAsia="Arial" w:hAnsi="Arial"/>
          <w:sz w:val="18"/>
          <w:szCs w:val="18"/>
        </w:rPr>
        <w:t xml:space="preserve">Protótipo de IHC — referência ao nome do artefato de tela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Classe  </w:t>
      </w:r>
      <w:r>
        <w:rPr>
          <w:rFonts w:ascii="Arial" w:cs="Arial" w:eastAsia="Arial" w:hAnsi="Arial"/>
          <w:sz w:val="18"/>
          <w:szCs w:val="18"/>
        </w:rPr>
        <w:t xml:space="preserve">Classe de serviço que implementa a lógica — DCla (C4)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Tabela BD  </w:t>
      </w:r>
      <w:r>
        <w:rPr>
          <w:rFonts w:ascii="Arial" w:cs="Arial" w:eastAsia="Arial" w:hAnsi="Arial"/>
          <w:sz w:val="18"/>
          <w:szCs w:val="18"/>
        </w:rPr>
        <w:t xml:space="preserve">Tabela do Esquema Operacional de Banco de Dados — EOBD (C4)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DSeq  </w:t>
      </w:r>
      <w:r>
        <w:rPr>
          <w:rFonts w:ascii="Arial" w:cs="Arial" w:eastAsia="Arial" w:hAnsi="Arial"/>
          <w:sz w:val="18"/>
          <w:szCs w:val="18"/>
        </w:rPr>
        <w:t xml:space="preserve">Diagrama de Sequência — C3 (entre componentes) ou C4 (entre classes)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RN  </w:t>
      </w:r>
      <w:r>
        <w:rPr>
          <w:rFonts w:ascii="Arial" w:cs="Arial" w:eastAsia="Arial" w:hAnsi="Arial"/>
          <w:sz w:val="18"/>
          <w:szCs w:val="18"/>
        </w:rPr>
        <w:t xml:space="preserve">Regra de Negócio — numerada na Especificação Suplementar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Artefatos  </w:t>
      </w:r>
      <w:r>
        <w:rPr>
          <w:rFonts w:ascii="Arial" w:cs="Arial" w:eastAsia="Arial" w:hAnsi="Arial"/>
          <w:sz w:val="18"/>
          <w:szCs w:val="18"/>
        </w:rPr>
        <w:t xml:space="preserve">Diagramas estruturais: C1-DCU (Diagrama de Casos de Uso), C1-Implant (Implantação), C2-Pacotes, C3-Comp (Componentes)</w:t>
      </w:r>
    </w:p>
    <w:sectPr>
      <w:pgSz w:w="21590" w:h="27940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00"/>
      <w:outlineLvl w:val="0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2026-06-15T20:01:11.863Z</dcterms:created>
  <dcterms:modified xsi:type="dcterms:W3CDTF">2026-06-15T20:01:11.863Z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