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color w:val="111827"/>
          <w:sz w:val="36"/>
        </w:rPr>
        <w:t>ARROZY ADI FALAQI, S.Kom.</w:t>
      </w:r>
    </w:p>
    <w:p>
      <w:pPr>
        <w:spacing w:before="0" w:after="60"/>
      </w:pPr>
      <w:r>
        <w:rPr>
          <w:rFonts w:ascii="Calibri" w:hAnsi="Calibri"/>
          <w:b/>
          <w:color w:val="1F4E5F"/>
          <w:sz w:val="20"/>
        </w:rPr>
        <w:t>Manajemen Representatif | Spesialis Kepatuhan Proses, Standardisasi SOP &amp; Analisis Data</w:t>
      </w:r>
    </w:p>
    <w:p>
      <w:pPr>
        <w:spacing w:before="0" w:after="40" w:line="240" w:lineRule="auto"/>
      </w:pPr>
      <w:r>
        <w:rPr>
          <w:rFonts w:ascii="Calibri" w:hAnsi="Calibri"/>
          <w:color w:val="4B5563"/>
          <w:sz w:val="17"/>
        </w:rPr>
        <w:t>Bandung, Indonesia (Terbuka untuk On-site / Remote / Relokasi)   ·   +62 812-9802-3537   ·   arrozyadifalaqioi@gmail.com</w:t>
      </w:r>
    </w:p>
    <w:p>
      <w:pPr>
        <w:spacing w:before="0" w:after="60" w:line="240" w:lineRule="auto"/>
      </w:pPr>
      <w:r>
        <w:rPr>
          <w:rFonts w:ascii="Calibri" w:hAnsi="Calibri"/>
          <w:b/>
          <w:color w:val="374151"/>
          <w:sz w:val="17"/>
        </w:rPr>
        <w:t xml:space="preserve">Portofolio: </w:t>
      </w:r>
      <w:r>
        <w:rPr>
          <w:rFonts w:ascii="Calibri" w:hAnsi="Calibri"/>
          <w:color w:val="1F4E5F"/>
          <w:sz w:val="17"/>
        </w:rPr>
        <w:t xml:space="preserve">portofolio-arrozy.vercel.app   ·   </w:t>
      </w:r>
      <w:r>
        <w:rPr>
          <w:rFonts w:ascii="Calibri" w:hAnsi="Calibri"/>
          <w:b/>
          <w:color w:val="374151"/>
          <w:sz w:val="17"/>
        </w:rPr>
        <w:t xml:space="preserve">LinkedIn: </w:t>
      </w:r>
      <w:r>
        <w:rPr>
          <w:rFonts w:ascii="Calibri" w:hAnsi="Calibri"/>
          <w:color w:val="1F4E5F"/>
          <w:sz w:val="17"/>
        </w:rPr>
        <w:t>linkedin.com/in/arrozy-adi-falaqi-6a25ba14a</w:t>
      </w:r>
    </w:p>
    <w:p>
      <w:pPr>
        <w:spacing w:before="120" w:after="50" w:line="252" w:lineRule="auto"/>
        <w:pBdr>
          <w:bottom w:val="single" w:color="C7C7C7" w:sz="6" w:space="3"/>
        </w:pBdr>
      </w:pPr>
      <w:r>
        <w:rPr>
          <w:rFonts w:ascii="Calibri" w:hAnsi="Calibri"/>
          <w:b/>
          <w:color w:val="1F4E5F"/>
          <w:sz w:val="19"/>
        </w:rPr>
        <w:t>RINGKASAN PROFESIONAL</w:t>
      </w:r>
    </w:p>
    <w:p>
      <w:pPr>
        <w:spacing w:before="20" w:after="60" w:line="259" w:lineRule="auto"/>
      </w:pPr>
      <w:r>
        <w:rPr>
          <w:rFonts w:ascii="Calibri" w:hAnsi="Calibri"/>
          <w:color w:val="1F2937"/>
          <w:sz w:val="17"/>
        </w:rPr>
        <w:t>Profesional Manajemen Representatif &amp; Analis Kepatuhan Operasional lulusan Sarjana Ilmu Komputer (IPK 3.73) dengan rekam jejak lebih dari 3 tahun dalam pemetaan alur proses bisnis, penyusunan Standard Operating Procedures (SOP), verifikasi dan audit kepatuhan sistem (Internal Audit &amp; UAT), serta tata kelola data operasional terpadu. Berpengalaman menangani 10+ proyek sistem enterprise institusi publik dan kementerian (Komdigi, Kemendikbud, PUPR, Universitas Terbuka) yang menuntut akurasi data tinggi dan kepatuhan regulasi yang ketat. Memiliki pemahaman komprehensif mengenai standar audit internal, sistem manajemen mutu (QMS), serta implementasi regulasi distribusi alat kesehatan sesuai Permenkes RI No. 4 Tahun 2014 (CDAKB / CDB). Menggabungkan penguasaan analisis data yang tajam, ketelitian tinggi terhadap kontrol dokumen, serta komunikasi diplomatis dan kemahiran bahasa Inggris profesional guna memastikan kelancaran operasional, kepatuhan audit, dan mitigasi risiko organisasi.</w:t>
      </w:r>
    </w:p>
    <w:p>
      <w:pPr>
        <w:spacing w:before="120" w:after="50" w:line="252" w:lineRule="auto"/>
        <w:pBdr>
          <w:bottom w:val="single" w:color="C7C7C7" w:sz="6" w:space="3"/>
        </w:pBdr>
      </w:pPr>
      <w:r>
        <w:rPr>
          <w:rFonts w:ascii="Calibri" w:hAnsi="Calibri"/>
          <w:b/>
          <w:color w:val="1F4E5F"/>
          <w:sz w:val="19"/>
        </w:rPr>
        <w:t>KEAHLIAN UTAMA &amp; KOMPETENSI</w:t>
      </w:r>
    </w:p>
    <w:p>
      <w:pPr>
        <w:spacing w:before="20" w:after="30" w:line="252" w:lineRule="auto"/>
      </w:pPr>
      <w:r>
        <w:rPr>
          <w:rFonts w:ascii="Calibri" w:hAnsi="Calibri"/>
          <w:b/>
          <w:color w:val="1F4E5F"/>
          <w:sz w:val="17"/>
        </w:rPr>
        <w:t xml:space="preserve">Kepatuhan Regulasi &amp; Mutu  |  </w:t>
      </w:r>
      <w:r>
        <w:rPr>
          <w:rFonts w:ascii="Calibri" w:hAnsi="Calibri"/>
          <w:b w:val="0"/>
          <w:color w:val="374151"/>
          <w:sz w:val="17"/>
        </w:rPr>
        <w:t>Regulasi Permenkes No. 4/2014 (Cara Distribusi Alat Kesehatan yang Baik / CDAKB - CDB), Standar Audit Internal, Sistem Manajemen Mutu (QMS), Manajemen Risiko Operasional, Tindakan Perbaikan &amp; Pencegahan (CAPA).</w:t>
      </w:r>
    </w:p>
    <w:p>
      <w:pPr>
        <w:spacing w:before="20" w:after="30" w:line="252" w:lineRule="auto"/>
      </w:pPr>
      <w:r>
        <w:rPr>
          <w:rFonts w:ascii="Calibri" w:hAnsi="Calibri"/>
          <w:b/>
          <w:color w:val="1F4E5F"/>
          <w:sz w:val="17"/>
        </w:rPr>
        <w:t xml:space="preserve">Penyusunan SOP &amp; Dokumen  |  </w:t>
      </w:r>
      <w:r>
        <w:rPr>
          <w:rFonts w:ascii="Calibri" w:hAnsi="Calibri"/>
          <w:b w:val="0"/>
          <w:color w:val="374151"/>
          <w:sz w:val="17"/>
        </w:rPr>
        <w:t>SOP Operasional &amp; Logistik Distribusi, Pemetaan Alur Proses Bisnis (Flowchart BPMN), Buku Panduan Pengoperasian (User Manual), Document Control, Standardisasi Kebijakan Mutu &amp; Format Laporan Resmi.</w:t>
      </w:r>
    </w:p>
    <w:p>
      <w:pPr>
        <w:spacing w:before="20" w:after="30" w:line="252" w:lineRule="auto"/>
      </w:pPr>
      <w:r>
        <w:rPr>
          <w:rFonts w:ascii="Calibri" w:hAnsi="Calibri"/>
          <w:b/>
          <w:color w:val="1F4E5F"/>
          <w:sz w:val="17"/>
        </w:rPr>
        <w:t xml:space="preserve">Audit, UAT &amp; Verifikasi  |  </w:t>
      </w:r>
      <w:r>
        <w:rPr>
          <w:rFonts w:ascii="Calibri" w:hAnsi="Calibri"/>
          <w:b w:val="0"/>
          <w:color w:val="374151"/>
          <w:sz w:val="17"/>
        </w:rPr>
        <w:t>Pelaksanaan Internal Audit &amp; Verifikasi Lapangan, Perumusan Skenario Pengujian Kepatuhan (UAT), Gap Analysis, Pencatatan Temuan (Issue Logging &amp; Tracking), Berita Acara &amp; Laporan Kepatuhan Manajemen.</w:t>
      </w:r>
    </w:p>
    <w:p>
      <w:pPr>
        <w:spacing w:before="20" w:after="30" w:line="252" w:lineRule="auto"/>
      </w:pPr>
      <w:r>
        <w:rPr>
          <w:rFonts w:ascii="Calibri" w:hAnsi="Calibri"/>
          <w:b/>
          <w:color w:val="1F4E5F"/>
          <w:sz w:val="17"/>
        </w:rPr>
        <w:t xml:space="preserve">Penguasaan Data &amp; Analisis  |  </w:t>
      </w:r>
      <w:r>
        <w:rPr>
          <w:rFonts w:ascii="Calibri" w:hAnsi="Calibri"/>
          <w:b w:val="0"/>
          <w:color w:val="374151"/>
          <w:sz w:val="17"/>
        </w:rPr>
        <w:t>Analisis Data Operasional &amp; Logistik, Perancangan Dashboard Monitoring Kinerja, Microsoft Excel Tingkat Lanjut (VLOOKUP, Pivot Table, Data Validation), Microsoft Word (Format Template Dokumen), SQL Relasional.</w:t>
      </w:r>
    </w:p>
    <w:p>
      <w:pPr>
        <w:spacing w:before="20" w:after="30" w:line="252" w:lineRule="auto"/>
      </w:pPr>
      <w:r>
        <w:rPr>
          <w:rFonts w:ascii="Calibri" w:hAnsi="Calibri"/>
          <w:b/>
          <w:color w:val="1F4E5F"/>
          <w:sz w:val="17"/>
        </w:rPr>
        <w:t xml:space="preserve">Bahasa &amp; Komunikasi  |  </w:t>
      </w:r>
      <w:r>
        <w:rPr>
          <w:rFonts w:ascii="Calibri" w:hAnsi="Calibri"/>
          <w:b w:val="0"/>
          <w:color w:val="374151"/>
          <w:sz w:val="17"/>
        </w:rPr>
        <w:t>Bahasa Inggris (Kecakapan Kerja Profesional - Lisan &amp; Tertulis), Bahasa Indonesia (Komunikasi Formal &amp; Diplomatis), Koordinasi Lintas Departemen, Negosiasi &amp; Penyelarasan Stakeholder.</w:t>
      </w:r>
    </w:p>
    <w:p>
      <w:pPr>
        <w:spacing w:before="120" w:after="50" w:line="252" w:lineRule="auto"/>
        <w:pBdr>
          <w:bottom w:val="single" w:color="C7C7C7" w:sz="6" w:space="3"/>
        </w:pBdr>
      </w:pPr>
      <w:r>
        <w:rPr>
          <w:rFonts w:ascii="Calibri" w:hAnsi="Calibri"/>
          <w:b/>
          <w:color w:val="1F4E5F"/>
          <w:sz w:val="19"/>
        </w:rPr>
        <w:t>HIGHLIGHT PROYEK, AUDIT KEPATUHAN &amp; ANALISIS DATA</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Verifikasi Kepatuhan &amp; Skenario UAT</w:t>
            </w:r>
            <w:r>
              <w:rPr>
                <w:rFonts w:ascii="Calibri" w:hAnsi="Calibri"/>
                <w:b w:val="0"/>
                <w:color w:val="4B5563"/>
                <w:sz w:val="17"/>
              </w:rPr>
              <w:t xml:space="preserve">  ·  Modul Billing SIMPONI V2</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Audit Kepatuhan &amp; QA</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Perumusan Skenario Verifikasi Kepatuhan: </w:t>
      </w:r>
      <w:r>
        <w:rPr>
          <w:rFonts w:ascii="Calibri" w:hAnsi="Calibri"/>
          <w:b w:val="0"/>
          <w:color w:val="374151"/>
          <w:sz w:val="17"/>
        </w:rPr>
        <w:t>Merumuskan instrumen dan skenario pengujian komprehensif (modul pelaksanaan billing SIMPONI V2 &amp; pembatalan billing tarif 0 via portal &amp; service), menetapkan prasyarat pengujian, verifikasi kesesuaian regulasi, serta validasi kriteria kelayakan rilis operasional.</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Pencatatan Temuan &amp; Mitigasi Risiko: </w:t>
      </w:r>
      <w:r>
        <w:rPr>
          <w:rFonts w:ascii="Calibri" w:hAnsi="Calibri"/>
          <w:b w:val="0"/>
          <w:color w:val="374151"/>
          <w:sz w:val="17"/>
        </w:rPr>
        <w:t>Mencatat dan mengkategorikan issue log ketidaksesuaian fungsional, memfasilitasi verifikasi bersama tim pengembang, serta memastikan tindakan korektif diselesaikan sebelum sistem dinyatakan layak digunakan.</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Standardisasi Prosedur Kerja &amp; User Manual</w:t>
            </w:r>
            <w:r>
              <w:rPr>
                <w:rFonts w:ascii="Calibri" w:hAnsi="Calibri"/>
                <w:b w:val="0"/>
                <w:color w:val="4B5563"/>
                <w:sz w:val="17"/>
              </w:rPr>
              <w:t xml:space="preserve">  ·  Universitas Terbuka (UT)</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Standardisasi SOP &amp; Laporan</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Penyusunan SOP Resmi &amp; Panduan Pengoperasian: </w:t>
      </w:r>
      <w:r>
        <w:rPr>
          <w:rFonts w:ascii="Calibri" w:hAnsi="Calibri"/>
          <w:b w:val="0"/>
          <w:color w:val="374151"/>
          <w:sz w:val="17"/>
        </w:rPr>
        <w:t>Menyusun buku panduan resmi operasional sistem (step-by-step user manual) lengkap dengan diagram alur proses bisnis dan mitigasi kendala operasional untuk dosen, kepala prodi, dan tim penjaminan mutu; memangkas kesalahan prosedur pengguna hingga 40%.</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Laporan Kepatuhan &amp; Evaluasi Sistem: </w:t>
      </w:r>
      <w:r>
        <w:rPr>
          <w:rFonts w:ascii="Calibri" w:hAnsi="Calibri"/>
          <w:b w:val="0"/>
          <w:color w:val="374151"/>
          <w:sz w:val="17"/>
        </w:rPr>
        <w:t>Menyusun dokumen laporan resmi pengembangan dan tata kelola sistem (mencakup arsitektur alur kerja, metodologi implementasi, dan matriks evaluasi hasil) sebagai standar pelaporan akuntabilitas institusi.</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Tata Kelola 5.000+ Data &amp; Dashboard Monitoring</w:t>
            </w:r>
            <w:r>
              <w:rPr>
                <w:rFonts w:ascii="Calibri" w:hAnsi="Calibri"/>
                <w:b w:val="0"/>
                <w:color w:val="4B5563"/>
                <w:sz w:val="17"/>
              </w:rPr>
              <w:t xml:space="preserve">  ·  Kemendikbud &amp; PUPR</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Analisis Data &amp; Reporting</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Restrukturisasi &amp; Analisis Data Skala Besar: </w:t>
      </w:r>
      <w:r>
        <w:rPr>
          <w:rFonts w:ascii="Calibri" w:hAnsi="Calibri"/>
          <w:b w:val="0"/>
          <w:color w:val="374151"/>
          <w:sz w:val="17"/>
        </w:rPr>
        <w:t>Mengelola dan menganalisis dataset 5.000+ entitas data sekolah (Dashboard SIMONTILA Kemendikbud) menjadi struktur data terorganisasi dengan filter validasi berlapis, mendongkrak efisiensi administrasi operasional sebesar 30%.</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Dashboard Monitoring Operasional Real-Time: </w:t>
      </w:r>
      <w:r>
        <w:rPr>
          <w:rFonts w:ascii="Calibri" w:hAnsi="Calibri"/>
          <w:b w:val="0"/>
          <w:color w:val="374151"/>
          <w:sz w:val="17"/>
        </w:rPr>
        <w:t>Merancang dashboard pemantauan proyek PUPR BRAVO dan telemetri data, mentransformasikan data operasional mentah menjadi metrik visual yang presisi untuk memudahkan pengawasan kepatuhan dan pengambilan keputusan pimpinan.</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Pemetaan Proses Bisnis &amp; Kamus Data</w:t>
            </w:r>
            <w:r>
              <w:rPr>
                <w:rFonts w:ascii="Calibri" w:hAnsi="Calibri"/>
                <w:b w:val="0"/>
                <w:color w:val="4B5563"/>
                <w:sz w:val="17"/>
              </w:rPr>
              <w:t xml:space="preserve">  ·  Balai Pengujian / Non-SIMS &amp; SIMPEL</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Alur Kerja &amp; Kontrol Dokumen</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Kamus Data &amp; Kontrol Integritas: </w:t>
      </w:r>
      <w:r>
        <w:rPr>
          <w:rFonts w:ascii="Calibri" w:hAnsi="Calibri"/>
          <w:b w:val="0"/>
          <w:color w:val="374151"/>
          <w:sz w:val="17"/>
        </w:rPr>
        <w:t>Menyusun Kamus Data formal (aturan validasi, tipe data, batasan integritas, dan relasi entitas) untuk sistem pengujian dan layanan perizinan (E-Suket &amp; Sirani), menjadi rujukan kepatuhan utama lintas tim.</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Pemetaan Alur Layanan Komprehensif: </w:t>
      </w:r>
      <w:r>
        <w:rPr>
          <w:rFonts w:ascii="Calibri" w:hAnsi="Calibri"/>
          <w:b w:val="0"/>
          <w:color w:val="374151"/>
          <w:sz w:val="17"/>
        </w:rPr>
        <w:t>Mendokumentasikan application model dan pemetaan alur proses bisnis layanan perizinan terpadu guna menjamin standarisasi alur layanan internal dan eksternal.</w:t>
      </w:r>
    </w:p>
    <w:p>
      <w:pPr>
        <w:spacing w:before="120" w:after="50" w:line="252" w:lineRule="auto"/>
        <w:pBdr>
          <w:bottom w:val="single" w:color="C7C7C7" w:sz="6" w:space="3"/>
        </w:pBdr>
      </w:pPr>
      <w:r>
        <w:rPr>
          <w:rFonts w:ascii="Calibri" w:hAnsi="Calibri"/>
          <w:b/>
          <w:color w:val="1F4E5F"/>
          <w:sz w:val="19"/>
        </w:rPr>
        <w:t>PENGALAMAN KERJA PROFESIONAL</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PT Mitra Sinerji Teknoindo</w:t>
            </w:r>
            <w:r>
              <w:rPr>
                <w:rFonts w:ascii="Calibri" w:hAnsi="Calibri"/>
                <w:b w:val="0"/>
                <w:color w:val="4B5563"/>
                <w:sz w:val="17"/>
              </w:rPr>
              <w:t xml:space="preserve">  ·  Lead Compliance Documentation &amp; Process Analyst</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Agt 2023 – Sekarang</w:t>
            </w:r>
          </w:p>
        </w:tc>
      </w:tr>
    </w:tbl>
    <w:p>
      <w:pPr>
        <w:spacing w:before="0" w:after="20"/>
      </w:pPr>
      <w:r>
        <w:rPr>
          <w:rFonts w:ascii="Calibri" w:hAnsi="Calibri"/>
          <w:color w:val="6B7280"/>
          <w:sz w:val="16"/>
        </w:rPr>
        <w:t>Bandung, Indonesia  ·  Konsultan IT &amp; Transformasi Sistem Enterprise</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Standardisasi SOP &amp; Kepatuhan Prosedur: </w:t>
      </w:r>
      <w:r>
        <w:rPr>
          <w:rFonts w:ascii="Calibri" w:hAnsi="Calibri"/>
          <w:b w:val="0"/>
          <w:color w:val="374151"/>
          <w:sz w:val="17"/>
        </w:rPr>
        <w:t>Memimpin perancangan dokumentasi kepatuhan operasional, penyusunan SOP digital, dan pedoman kerja untuk 10+ platform enterprise institusi pemerintah dan swasta (Komdigi, Kemendikbud, PUPR, Universitas Terbuka).</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Pelaksanaan Verifikasi &amp; Audit Kepatuhan (UAT): </w:t>
      </w:r>
      <w:r>
        <w:rPr>
          <w:rFonts w:ascii="Calibri" w:hAnsi="Calibri"/>
          <w:b w:val="0"/>
          <w:color w:val="374151"/>
          <w:sz w:val="17"/>
        </w:rPr>
        <w:t>Menyusun instrumen checklist pengujian, memfasilitasi sesi verifikasi kepatuhan sistem bersama stakeholder pengguna, mengelola log ketidaksesuaian (non-conformance), dan menyusun Berita Acara penyelesaian.</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Pemodelan Alur Proses Bisnis (BPMN): </w:t>
      </w:r>
      <w:r>
        <w:rPr>
          <w:rFonts w:ascii="Calibri" w:hAnsi="Calibri"/>
          <w:b w:val="0"/>
          <w:color w:val="374151"/>
          <w:sz w:val="17"/>
        </w:rPr>
        <w:t>Menyusun Functional Specification Document (FSD) dan diagram alir proses bisnis guna menyelaraskan kebijakan tata kelola manajemen dengan implementasi operasional di lapangan.</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Analisis Data &amp; Pelaporan Kinerja: </w:t>
      </w:r>
      <w:r>
        <w:rPr>
          <w:rFonts w:ascii="Calibri" w:hAnsi="Calibri"/>
          <w:b w:val="0"/>
          <w:color w:val="374151"/>
          <w:sz w:val="17"/>
        </w:rPr>
        <w:t>Mengolah data operasional dan metrik sensorik pada proyek infrastruktur PUPR BRAVO menjadi laporan analitis dan dashboard interaktif yang mempermudah evaluasi kepatuhan berkala.</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Komunikasi Diplomatis Lintas Departemen: </w:t>
      </w:r>
      <w:r>
        <w:rPr>
          <w:rFonts w:ascii="Calibri" w:hAnsi="Calibri"/>
          <w:b w:val="0"/>
          <w:color w:val="374151"/>
          <w:sz w:val="17"/>
        </w:rPr>
        <w:t>Bertindak sebagai penghubung komunikasi utama antara jajaran manajemen, tim operasional, dan pihak eksternal untuk memastikan penyelarasan kebutuhan berjalan objektif, transparan, dan minim friksi.</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PT Intelligo</w:t>
            </w:r>
            <w:r>
              <w:rPr>
                <w:rFonts w:ascii="Calibri" w:hAnsi="Calibri"/>
                <w:b w:val="0"/>
                <w:color w:val="4B5563"/>
                <w:sz w:val="17"/>
              </w:rPr>
              <w:t xml:space="preserve">  ·  Communication &amp; Operational Asset Specialist (Magang)</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Jan – Mar 2023</w:t>
            </w:r>
          </w:p>
        </w:tc>
      </w:tr>
    </w:tbl>
    <w:p>
      <w:pPr>
        <w:spacing w:before="0" w:after="20"/>
      </w:pPr>
      <w:r>
        <w:rPr>
          <w:rFonts w:ascii="Calibri" w:hAnsi="Calibri"/>
          <w:color w:val="6B7280"/>
          <w:sz w:val="16"/>
        </w:rPr>
        <w:t>Bandung, Indonesia  ·  Digital Marketing &amp; Creative Agency</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Standardisasi Materi &amp; Pengendalian Kualitas: </w:t>
      </w:r>
      <w:r>
        <w:rPr>
          <w:rFonts w:ascii="Calibri" w:hAnsi="Calibri"/>
          <w:b w:val="0"/>
          <w:color w:val="374151"/>
          <w:sz w:val="17"/>
        </w:rPr>
        <w:t>Memastikan seluruh materi komunikasi dan deliverable proyek mematuhi standar parameter kualitas, konsistensi format, dan tata kelola informasi yang telah ditetapkan.</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Koordinasi Klien &amp; Negosiasi Kebutuhan: </w:t>
      </w:r>
      <w:r>
        <w:rPr>
          <w:rFonts w:ascii="Calibri" w:hAnsi="Calibri"/>
          <w:b w:val="0"/>
          <w:color w:val="374151"/>
          <w:sz w:val="17"/>
        </w:rPr>
        <w:t>Berkoordinasi secara profesional dan diplomatis dengan klien eksternal guna menyelaraskan ekspektasi proyek dan memastikan kepatuhan jadwal pelaksanaan kerja.</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CV Mitra Yudha Xaviera</w:t>
            </w:r>
            <w:r>
              <w:rPr>
                <w:rFonts w:ascii="Calibri" w:hAnsi="Calibri"/>
                <w:b w:val="0"/>
                <w:color w:val="4B5563"/>
                <w:sz w:val="17"/>
              </w:rPr>
              <w:t xml:space="preserve">  ·  Data &amp; Systems Operations Assistant (Magang)</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Sep – Nov 2022</w:t>
            </w:r>
          </w:p>
        </w:tc>
      </w:tr>
    </w:tbl>
    <w:p>
      <w:pPr>
        <w:spacing w:before="0" w:after="20"/>
      </w:pPr>
      <w:r>
        <w:rPr>
          <w:rFonts w:ascii="Calibri" w:hAnsi="Calibri"/>
          <w:color w:val="6B7280"/>
          <w:sz w:val="16"/>
        </w:rPr>
        <w:t>Bandung, Indonesia  ·  Web Development &amp; IT Services</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Pengendalian Integritas Data: </w:t>
      </w:r>
      <w:r>
        <w:rPr>
          <w:rFonts w:ascii="Calibri" w:hAnsi="Calibri"/>
          <w:b w:val="0"/>
          <w:color w:val="374151"/>
          <w:sz w:val="17"/>
        </w:rPr>
        <w:t>Mengelola struktur database relasional dan validasi input data guna memastikan integritas informasi serta mencegah anomali pada tingkat operasional sistem.</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Dokumentasi Alur Logika Sistem: </w:t>
      </w:r>
      <w:r>
        <w:rPr>
          <w:rFonts w:ascii="Calibri" w:hAnsi="Calibri"/>
          <w:b w:val="0"/>
          <w:color w:val="374151"/>
          <w:sz w:val="17"/>
        </w:rPr>
        <w:t>Mempelajari dan menyusun alur logika proses sistem untuk mempermudah verifikasi kepatuhan arsitektur operasional.</w:t>
      </w:r>
    </w:p>
    <w:p>
      <w:pPr>
        <w:spacing w:before="120" w:after="50" w:line="252" w:lineRule="auto"/>
        <w:pBdr>
          <w:bottom w:val="single" w:color="C7C7C7" w:sz="6" w:space="3"/>
        </w:pBdr>
      </w:pPr>
      <w:r>
        <w:rPr>
          <w:rFonts w:ascii="Calibri" w:hAnsi="Calibri"/>
          <w:b/>
          <w:color w:val="1F4E5F"/>
          <w:sz w:val="19"/>
        </w:rPr>
        <w:t>PENDIDIKAN &amp; SERTIFIKASI</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Universitas Pendidikan Indonesia (UPI)</w:t>
            </w:r>
            <w:r>
              <w:rPr>
                <w:rFonts w:ascii="Calibri" w:hAnsi="Calibri"/>
                <w:b w:val="0"/>
                <w:color w:val="4B5563"/>
                <w:sz w:val="17"/>
              </w:rPr>
              <w:t xml:space="preserve">  ·  Sarjana Ilmu Komputer (S.Kom.)</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2019 – 2024</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Prestasi Akademik: </w:t>
      </w:r>
      <w:r>
        <w:rPr>
          <w:rFonts w:ascii="Calibri" w:hAnsi="Calibri"/>
          <w:b w:val="0"/>
          <w:color w:val="374151"/>
          <w:sz w:val="17"/>
        </w:rPr>
        <w:t>IPK: 3.73 / 4.00 (Sangat Memuaskan). Fokus studi pada Rekayasa Proses Bisnis, Manajemen Basis Data, dan Analisis Alur Sistem Informasi.</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Skripsi / Tugas Akhir: </w:t>
      </w:r>
      <w:r>
        <w:rPr>
          <w:rFonts w:ascii="Calibri" w:hAnsi="Calibri"/>
          <w:b w:val="0"/>
          <w:color w:val="374151"/>
          <w:sz w:val="17"/>
        </w:rPr>
        <w:t>Perancangan &amp; Standardisasi Alur Sistem Informasi Layanan dengan Pendekatan Structured User-Centered Methodology (mencakup pemetaan kebutuhan pengguna, penyusunan SOP alur sistem, dan evaluasi kepatuhan fungsional).</w:t>
      </w:r>
    </w:p>
    <w:tbl>
      <w:tblPr>
        <w:tblW w:type="auto" w:w="0"/>
        <w:jc w:val="center"/>
        <w:tblLayout w:type="fixed"/>
        <w:tblLook w:firstColumn="1" w:firstRow="1" w:lastColumn="0" w:lastRow="0" w:noHBand="0" w:noVBand="1" w:val="04A0"/>
        <w:tblLayout w:type="fixed"/>
      </w:tblPr>
      <w:tblGrid>
        <w:gridCol w:w="5191"/>
        <w:gridCol w:w="5191"/>
      </w:tblGrid>
      <w:tr>
        <w:tc>
          <w:tcPr>
            <w:tcW w:type="dxa" w:w="6480"/>
            <w:tcMar>
              <w:top w:w="0" w:type="dxa"/>
              <w:bottom w:w="0" w:type="dxa"/>
              <w:left w:w="0" w:type="dxa"/>
              <w:right w:w="0" w:type="dxa"/>
            </w:tcMar>
          </w:tcPr>
          <w:p>
            <w:pPr>
              <w:spacing w:before="60" w:after="20" w:line="240" w:lineRule="auto"/>
            </w:pPr>
            <w:r>
              <w:rPr>
                <w:rFonts w:ascii="Calibri" w:hAnsi="Calibri"/>
                <w:b/>
                <w:color w:val="111827"/>
                <w:sz w:val="18"/>
              </w:rPr>
              <w:t>Sertifikasi &amp; Pelatihan Kepatuhan Mutu</w:t>
            </w:r>
            <w:r>
              <w:rPr>
                <w:rFonts w:ascii="Calibri" w:hAnsi="Calibri"/>
                <w:b w:val="0"/>
                <w:color w:val="4B5563"/>
                <w:sz w:val="17"/>
              </w:rPr>
              <w:t xml:space="preserve">  ·  Pelatihan Profesional &amp; Regulasi</w:t>
            </w:r>
          </w:p>
        </w:tc>
        <w:tc>
          <w:tcPr>
            <w:tcW w:type="dxa" w:w="3888"/>
            <w:tcMar>
              <w:top w:w="0" w:type="dxa"/>
              <w:bottom w:w="0" w:type="dxa"/>
              <w:left w:w="0" w:type="dxa"/>
              <w:right w:w="0" w:type="dxa"/>
            </w:tcMar>
          </w:tcPr>
          <w:p>
            <w:pPr>
              <w:spacing w:before="60" w:after="20" w:line="240" w:lineRule="auto"/>
              <w:jc w:val="right"/>
            </w:pPr>
            <w:r>
              <w:rPr>
                <w:rFonts w:ascii="Calibri" w:hAnsi="Calibri"/>
                <w:b/>
                <w:color w:val="374151"/>
                <w:sz w:val="17"/>
              </w:rPr>
              <w:t>2022 – 2026</w:t>
            </w:r>
          </w:p>
        </w:tc>
      </w:tr>
    </w:tbl>
    <w:p>
      <w:pPr>
        <w:spacing w:before="20" w:after="30" w:line="252" w:lineRule="auto"/>
      </w:pPr>
      <w:r>
        <w:rPr>
          <w:rFonts w:ascii="Calibri" w:hAnsi="Calibri"/>
          <w:b/>
          <w:color w:val="1F4E5F"/>
          <w:sz w:val="17"/>
        </w:rPr>
        <w:t xml:space="preserve">•  </w:t>
      </w:r>
      <w:r>
        <w:rPr>
          <w:rFonts w:ascii="Calibri" w:hAnsi="Calibri"/>
          <w:b/>
          <w:color w:val="1F2937"/>
          <w:sz w:val="17"/>
        </w:rPr>
        <w:t xml:space="preserve">Sertifikasi Cara Distribusi Alat Kesehatan yang Baik (CDAKB / CDB): </w:t>
      </w:r>
      <w:r>
        <w:rPr>
          <w:rFonts w:ascii="Calibri" w:hAnsi="Calibri"/>
          <w:b w:val="0"/>
          <w:color w:val="374151"/>
          <w:sz w:val="17"/>
        </w:rPr>
        <w:t>Pemahaman komprehensif Permenkes No. 4 Tahun 2014, Sistem Manajemen Mutu Distribusi, Pengendalian Gudang &amp; Rantai Pasok Alkes, Audit Internal Distribusi, Prosedur Penarikan Produk (Recall), dan Tindakan Korektif (CAPA).</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Pelatihan Audit Internal &amp; Standardisasi Mutu: </w:t>
      </w:r>
      <w:r>
        <w:rPr>
          <w:rFonts w:ascii="Calibri" w:hAnsi="Calibri"/>
          <w:b w:val="0"/>
          <w:color w:val="374151"/>
          <w:sz w:val="17"/>
        </w:rPr>
        <w:t>Pemahaman metodologi pelaksanaan internal audit, penyusunan audit checklist, identifikasi temuan ketidaksesuaian, dan pelaporan audit manajemen.</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Binar Academy: </w:t>
      </w:r>
      <w:r>
        <w:rPr>
          <w:rFonts w:ascii="Calibri" w:hAnsi="Calibri"/>
          <w:b w:val="0"/>
          <w:color w:val="374151"/>
          <w:sz w:val="17"/>
        </w:rPr>
        <w:t>Pelatihan Intensif Analisis Alur Sistem, Riset Kebutuhan Stakeholder, dan Pemetaan Alur Kerja (Workflow Mapping).</w:t>
      </w:r>
    </w:p>
    <w:p>
      <w:pPr>
        <w:spacing w:before="120" w:after="50" w:line="252" w:lineRule="auto"/>
        <w:pBdr>
          <w:bottom w:val="single" w:color="C7C7C7" w:sz="6" w:space="3"/>
        </w:pBdr>
      </w:pPr>
      <w:r>
        <w:rPr>
          <w:rFonts w:ascii="Calibri" w:hAnsi="Calibri"/>
          <w:b/>
          <w:color w:val="1F4E5F"/>
          <w:sz w:val="19"/>
        </w:rPr>
        <w:t>PORTOFOLIO &amp; REFERENSI PROYEK</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Portofolio Online &amp; Dokumentasi Proyek: </w:t>
      </w:r>
      <w:r>
        <w:rPr>
          <w:rFonts w:ascii="Calibri" w:hAnsi="Calibri"/>
          <w:b w:val="0"/>
          <w:color w:val="374151"/>
          <w:sz w:val="17"/>
        </w:rPr>
        <w:t>https://portofolio-arrozy.vercel.app/</w:t>
      </w:r>
    </w:p>
    <w:p>
      <w:pPr>
        <w:spacing w:before="20" w:after="30" w:line="252" w:lineRule="auto"/>
      </w:pPr>
      <w:r>
        <w:rPr>
          <w:rFonts w:ascii="Calibri" w:hAnsi="Calibri"/>
          <w:b/>
          <w:color w:val="1F4E5F"/>
          <w:sz w:val="17"/>
        </w:rPr>
        <w:t xml:space="preserve">•  </w:t>
      </w:r>
      <w:r>
        <w:rPr>
          <w:rFonts w:ascii="Calibri" w:hAnsi="Calibri"/>
          <w:b/>
          <w:color w:val="1F2937"/>
          <w:sz w:val="17"/>
        </w:rPr>
        <w:t xml:space="preserve">Profil LinkedIn &amp; Riwayat Profesional: </w:t>
      </w:r>
      <w:r>
        <w:rPr>
          <w:rFonts w:ascii="Calibri" w:hAnsi="Calibri"/>
          <w:b w:val="0"/>
          <w:color w:val="374151"/>
          <w:sz w:val="17"/>
        </w:rPr>
        <w:t>https://linkedin.com/in/arrozy-adi-falaqi-6a25ba14a</w:t>
      </w:r>
    </w:p>
    <w:sectPr w:rsidR="00FC693F" w:rsidRPr="0006063C" w:rsidSect="00034616">
      <w:pgSz w:w="11909" w:h="16834"/>
      <w:pgMar w:top="504" w:right="763" w:bottom="461" w:left="76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