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Calibri" w:hAnsi="Calibri"/>
          <w:b/>
          <w:i w:val="0"/>
          <w:color w:val="111827"/>
          <w:sz w:val="36"/>
        </w:rPr>
        <w:t>ARROZY ADI FALAQI, B.Sc.</w:t>
      </w:r>
    </w:p>
    <w:p>
      <w:pPr>
        <w:spacing w:before="0" w:after="60" w:line="240" w:lineRule="auto"/>
      </w:pPr>
      <w:r>
        <w:rPr>
          <w:rFonts w:ascii="Calibri" w:hAnsi="Calibri"/>
          <w:b/>
          <w:i w:val="0"/>
          <w:color w:val="1F4E5F"/>
          <w:sz w:val="20"/>
        </w:rPr>
        <w:t>UI/UX Designer &amp; Technical Writer  |  Enterprise Systems &amp; Product Documentation</w:t>
      </w:r>
    </w:p>
    <w:p>
      <w:pPr>
        <w:spacing w:before="0" w:after="40" w:line="240" w:lineRule="auto"/>
      </w:pPr>
      <w:r>
        <w:rPr>
          <w:rFonts w:ascii="Calibri" w:hAnsi="Calibri"/>
          <w:b w:val="0"/>
          <w:i w:val="0"/>
          <w:color w:val="4B5563"/>
          <w:sz w:val="17"/>
        </w:rPr>
        <w:t xml:space="preserve">Bandung, Indonesia (Open to On-site / Remote / Relocation)   ·   </w:t>
      </w:r>
      <w:hyperlink r:id="rId9" w:history="1">
        <w:r>
          <w:rPr>
            <w:rFonts w:ascii="Calibri" w:hAnsi="Calibri"/>
            <w:b w:val="0"/>
            <w:color w:val="005691"/>
            <w:sz w:val="17"/>
            <w:u w:val="single"/>
          </w:rPr>
          <w:t>+62 812-9802-3537</w:t>
        </w:r>
      </w:hyperlink>
      <w:r>
        <w:rPr>
          <w:rFonts w:ascii="Calibri" w:hAnsi="Calibri"/>
          <w:b w:val="0"/>
          <w:i w:val="0"/>
          <w:color w:val="4B5563"/>
          <w:sz w:val="17"/>
        </w:rPr>
        <w:t xml:space="preserve">   ·   </w:t>
      </w:r>
      <w:hyperlink r:id="rId10" w:history="1">
        <w:r>
          <w:rPr>
            <w:rFonts w:ascii="Calibri" w:hAnsi="Calibri"/>
            <w:b w:val="0"/>
            <w:color w:val="005691"/>
            <w:sz w:val="17"/>
            <w:u w:val="single"/>
          </w:rPr>
          <w:t>arrozyadifalaqioi@gmail.com</w:t>
        </w:r>
      </w:hyperlink>
    </w:p>
    <w:p>
      <w:pPr>
        <w:spacing w:before="0" w:after="60" w:line="240" w:lineRule="auto"/>
      </w:pPr>
      <w:r>
        <w:rPr>
          <w:rFonts w:ascii="Calibri" w:hAnsi="Calibri"/>
          <w:b/>
          <w:i w:val="0"/>
          <w:color w:val="374151"/>
          <w:sz w:val="17"/>
        </w:rPr>
        <w:t xml:space="preserve">Portfolio: </w:t>
      </w:r>
      <w:hyperlink r:id="rId11" w:history="1">
        <w:r>
          <w:rPr>
            <w:rFonts w:ascii="Calibri" w:hAnsi="Calibri"/>
            <w:b w:val="0"/>
            <w:color w:val="005691"/>
            <w:sz w:val="17"/>
            <w:u w:val="single"/>
          </w:rPr>
          <w:t>portofolio-arrozy.vercel.app</w:t>
        </w:r>
      </w:hyperlink>
      <w:r>
        <w:rPr>
          <w:rFonts w:ascii="Calibri" w:hAnsi="Calibri"/>
          <w:b/>
          <w:i w:val="0"/>
          <w:color w:val="374151"/>
          <w:sz w:val="17"/>
        </w:rPr>
        <w:t xml:space="preserve">   ·   LinkedIn: </w:t>
      </w:r>
      <w:hyperlink r:id="rId12" w:history="1">
        <w:r>
          <w:rPr>
            <w:rFonts w:ascii="Calibri" w:hAnsi="Calibri"/>
            <w:b w:val="0"/>
            <w:color w:val="005691"/>
            <w:sz w:val="17"/>
            <w:u w:val="single"/>
          </w:rPr>
          <w:t>linkedin.com/in/arrozy-adi-falaqi-6a25ba14a</w:t>
        </w:r>
      </w:hyperlink>
    </w:p>
    <w:p>
      <w:pPr>
        <w:spacing w:before="120" w:after="50" w:line="252" w:lineRule="auto"/>
        <w:pBdr>
          <w:bottom w:val="single" w:color="C7C7C7" w:sz="6" w:space="3"/>
        </w:pBdr>
      </w:pPr>
      <w:r>
        <w:rPr>
          <w:rFonts w:ascii="Calibri" w:hAnsi="Calibri"/>
          <w:b/>
          <w:i w:val="0"/>
          <w:color w:val="1F4E5F"/>
          <w:sz w:val="19"/>
        </w:rPr>
        <w:t>PROFESSIONAL SUMMARY</w:t>
      </w:r>
    </w:p>
    <w:p>
      <w:pPr>
        <w:spacing w:before="20" w:after="60" w:line="259" w:lineRule="auto"/>
      </w:pPr>
      <w:r>
        <w:rPr>
          <w:rFonts w:ascii="Calibri" w:hAnsi="Calibri"/>
          <w:b w:val="0"/>
          <w:i w:val="0"/>
          <w:color w:val="374151"/>
          <w:sz w:val="17"/>
        </w:rPr>
        <w:t>Dual-competency UI/UX Designer &amp; Technical Writer with a Computer Science degree (GPA 3.73) and 3+ years of professional experience translating intricate business logic into intuitive user interfaces and crystal-clear technical documentation (User Manuals, Digital SOPs, Data Dictionaries, ERD Diagrams, and UAT Test Scenarios). Proven track record delivering 10+ enterprise and national public-sector platforms for government ministries and academic institutions (Komdigi, Kemendikbud, PUPR, Universitas Terbuka). Offers a powerful 2-in-1 capability: architecting frictionless system workflows for internal operations, inventory, and logistics, while simultaneously authoring structured user guides and technical specifications that minimize operational errors and streamline employee onboarding.</w:t>
      </w:r>
    </w:p>
    <w:p>
      <w:pPr>
        <w:spacing w:before="120" w:after="50" w:line="252" w:lineRule="auto"/>
        <w:pBdr>
          <w:bottom w:val="single" w:color="C7C7C7" w:sz="6" w:space="3"/>
        </w:pBdr>
      </w:pPr>
      <w:r>
        <w:rPr>
          <w:rFonts w:ascii="Calibri" w:hAnsi="Calibri"/>
          <w:b/>
          <w:i w:val="0"/>
          <w:color w:val="1F4E5F"/>
          <w:sz w:val="19"/>
        </w:rPr>
        <w:t>CORE COMPETENCIES &amp; TECHNICAL SKILLS</w:t>
      </w:r>
    </w:p>
    <w:p>
      <w:pPr>
        <w:spacing w:before="20" w:after="30" w:line="252" w:lineRule="auto"/>
      </w:pPr>
      <w:r>
        <w:rPr>
          <w:rFonts w:ascii="Calibri" w:hAnsi="Calibri"/>
          <w:b/>
          <w:i w:val="0"/>
          <w:color w:val="1F4E5F"/>
          <w:sz w:val="17"/>
        </w:rPr>
        <w:t xml:space="preserve">Technical Writing &amp; Documentation  |  </w:t>
      </w:r>
      <w:r>
        <w:rPr>
          <w:rFonts w:ascii="Calibri" w:hAnsi="Calibri"/>
          <w:b w:val="0"/>
          <w:i w:val="0"/>
          <w:color w:val="374151"/>
          <w:sz w:val="17"/>
        </w:rPr>
        <w:t>User Guides &amp; Standard Operating Procedures (SOP), Data Dictionaries, Entity Relationship Diagrams (ERD), UAT Test Scenarios &amp; Acceptance Criteria, Functional Specifications (FSD/BRD), Business Process Flowcharts (BPMN), Release Notes.</w:t>
      </w:r>
    </w:p>
    <w:p>
      <w:pPr>
        <w:spacing w:before="20" w:after="30" w:line="252" w:lineRule="auto"/>
      </w:pPr>
      <w:r>
        <w:rPr>
          <w:rFonts w:ascii="Calibri" w:hAnsi="Calibri"/>
          <w:b/>
          <w:i w:val="0"/>
          <w:color w:val="1F4E5F"/>
          <w:sz w:val="17"/>
        </w:rPr>
        <w:t xml:space="preserve">UI/UX &amp; Product Design  |  </w:t>
      </w:r>
      <w:r>
        <w:rPr>
          <w:rFonts w:ascii="Calibri" w:hAnsi="Calibri"/>
          <w:b w:val="0"/>
          <w:i w:val="0"/>
          <w:color w:val="374151"/>
          <w:sz w:val="17"/>
        </w:rPr>
        <w:t>Design Systems &amp; Tokens, Complex Data Dashboards, Multi-Role Admin Portals, Interactive Prototyping, Wireframing, Information Architecture (IA), User Journey &amp; Flow Mapping, Usability Testing, Heuristic Evaluation.</w:t>
      </w:r>
    </w:p>
    <w:p>
      <w:pPr>
        <w:spacing w:before="20" w:after="30" w:line="252" w:lineRule="auto"/>
      </w:pPr>
      <w:r>
        <w:rPr>
          <w:rFonts w:ascii="Calibri" w:hAnsi="Calibri"/>
          <w:b/>
          <w:i w:val="0"/>
          <w:color w:val="1F4E5F"/>
          <w:sz w:val="17"/>
        </w:rPr>
        <w:t xml:space="preserve">Tools &amp; Software  |  </w:t>
      </w:r>
      <w:r>
        <w:rPr>
          <w:rFonts w:ascii="Calibri" w:hAnsi="Calibri"/>
          <w:b w:val="0"/>
          <w:i w:val="0"/>
          <w:color w:val="374151"/>
          <w:sz w:val="17"/>
        </w:rPr>
        <w:t>Figma (Auto-Layout, Variables, Components), Draw.io, Microsoft Word/Docs (Standardized Templates &amp; Technical Reports), Miro, Git / GitHub, Notion, Trello, JIRA.</w:t>
      </w:r>
    </w:p>
    <w:p>
      <w:pPr>
        <w:spacing w:before="20" w:after="30" w:line="252" w:lineRule="auto"/>
      </w:pPr>
      <w:r>
        <w:rPr>
          <w:rFonts w:ascii="Calibri" w:hAnsi="Calibri"/>
          <w:b/>
          <w:i w:val="0"/>
          <w:color w:val="1F4E5F"/>
          <w:sz w:val="17"/>
        </w:rPr>
        <w:t xml:space="preserve">Engineering &amp; Front-End  |  </w:t>
      </w:r>
      <w:r>
        <w:rPr>
          <w:rFonts w:ascii="Calibri" w:hAnsi="Calibri"/>
          <w:b w:val="0"/>
          <w:i w:val="0"/>
          <w:color w:val="374151"/>
          <w:sz w:val="17"/>
        </w:rPr>
        <w:t>HTML5, CSS3, JavaScript, React.js, Tailwind CSS, Database Schema Understanding, RESTful APIs, Technical Handoff.</w:t>
      </w:r>
    </w:p>
    <w:p>
      <w:pPr>
        <w:spacing w:before="20" w:after="30" w:line="252" w:lineRule="auto"/>
      </w:pPr>
      <w:r>
        <w:rPr>
          <w:rFonts w:ascii="Calibri" w:hAnsi="Calibri"/>
          <w:b/>
          <w:i w:val="0"/>
          <w:color w:val="1F4E5F"/>
          <w:sz w:val="17"/>
        </w:rPr>
        <w:t xml:space="preserve">Languages  |  </w:t>
      </w:r>
      <w:r>
        <w:rPr>
          <w:rFonts w:ascii="Calibri" w:hAnsi="Calibri"/>
          <w:b w:val="0"/>
          <w:i w:val="0"/>
          <w:color w:val="374151"/>
          <w:sz w:val="17"/>
        </w:rPr>
        <w:t>Indonesian (Native / Professional Formal Documentation), English (Professional Working Proficiency).</w:t>
      </w:r>
    </w:p>
    <w:p>
      <w:pPr>
        <w:spacing w:before="120" w:after="50" w:line="252" w:lineRule="auto"/>
        <w:pBdr>
          <w:bottom w:val="single" w:color="C7C7C7" w:sz="6" w:space="3"/>
        </w:pBdr>
      </w:pPr>
      <w:r>
        <w:rPr>
          <w:rFonts w:ascii="Calibri" w:hAnsi="Calibri"/>
          <w:b/>
          <w:i w:val="0"/>
          <w:color w:val="1F4E5F"/>
          <w:sz w:val="19"/>
        </w:rPr>
        <w:t>TECHNICAL DOCUMENTATION HIGHLIGHTS &amp; PRODUCT CASE STUDIES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04"/>
        <w:gridCol w:w="2678"/>
      </w:tblGrid>
      <w:tr>
        <w:tc>
          <w:tcPr>
            <w:tcW w:type="dxa" w:w="519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20" w:line="252" w:lineRule="auto"/>
            </w:pPr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System User Manuals &amp; Operational SOPs</w:t>
            </w:r>
            <w:r>
              <w:rPr>
                <w:rFonts w:ascii="Calibri" w:hAnsi="Calibri"/>
                <w:b w:val="0"/>
                <w:i w:val="0"/>
                <w:color w:val="4B5563"/>
                <w:sz w:val="17"/>
              </w:rPr>
              <w:t xml:space="preserve">  ·  Universitas Terbuka (UT)</w:t>
            </w:r>
          </w:p>
        </w:tc>
        <w:tc>
          <w:tcPr>
            <w:tcW w:type="dxa" w:w="519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2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374151"/>
                <w:sz w:val="17"/>
              </w:rPr>
              <w:t>User Guides &amp; Reports</w:t>
            </w:r>
          </w:p>
        </w:tc>
      </w:tr>
    </w:tbl>
    <w:p>
      <w:pPr>
        <w:spacing w:before="20" w:after="30" w:line="252" w:lineRule="auto"/>
        <w:ind w:left="259" w:hanging="259"/>
      </w:pPr>
      <w:r>
        <w:rPr>
          <w:rFonts w:ascii="Calibri" w:hAnsi="Calibri"/>
          <w:b/>
          <w:i w:val="0"/>
          <w:color w:val="1F4E5F"/>
          <w:sz w:val="17"/>
        </w:rPr>
        <w:t xml:space="preserve">•  </w:t>
      </w:r>
      <w:r>
        <w:rPr>
          <w:rFonts w:ascii="Calibri" w:hAnsi="Calibri"/>
          <w:b/>
          <w:i w:val="0"/>
          <w:color w:val="1F2937"/>
          <w:sz w:val="17"/>
        </w:rPr>
        <w:t xml:space="preserve">Kaprodi Curriculum 3.0 &amp; SDGs Dashboard Manuals: </w:t>
      </w:r>
      <w:r>
        <w:rPr>
          <w:rFonts w:ascii="Calibri" w:hAnsi="Calibri"/>
          <w:b w:val="0"/>
          <w:i w:val="0"/>
          <w:color w:val="374151"/>
          <w:sz w:val="17"/>
        </w:rPr>
        <w:t>Authored comprehensive step-by-step user manuals complete with visual walkthroughs, operational flowcharts, and troubleshooting guidelines for academic department heads and quality assurance teams; reduced user onboarding inquiries by 40%.</w:t>
      </w:r>
    </w:p>
    <w:p>
      <w:pPr>
        <w:spacing w:before="20" w:after="30" w:line="252" w:lineRule="auto"/>
        <w:ind w:left="259" w:hanging="259"/>
      </w:pPr>
      <w:r>
        <w:rPr>
          <w:rFonts w:ascii="Calibri" w:hAnsi="Calibri"/>
          <w:b/>
          <w:i w:val="0"/>
          <w:color w:val="1F4E5F"/>
          <w:sz w:val="17"/>
        </w:rPr>
        <w:t xml:space="preserve">•  </w:t>
      </w:r>
      <w:r>
        <w:rPr>
          <w:rFonts w:ascii="Calibri" w:hAnsi="Calibri"/>
          <w:b/>
          <w:i w:val="0"/>
          <w:color w:val="1F2937"/>
          <w:sz w:val="17"/>
        </w:rPr>
        <w:t xml:space="preserve">Preliminary &amp; Final System Delivery Reports: </w:t>
      </w:r>
      <w:r>
        <w:rPr>
          <w:rFonts w:ascii="Calibri" w:hAnsi="Calibri"/>
          <w:b w:val="0"/>
          <w:i w:val="0"/>
          <w:color w:val="374151"/>
          <w:sz w:val="17"/>
        </w:rPr>
        <w:t>Penned formal end-to-end technical reports detailing system architecture, operational methodologies, and implementation metrics delivered to institution stakeholders.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04"/>
        <w:gridCol w:w="2678"/>
      </w:tblGrid>
      <w:tr>
        <w:tc>
          <w:tcPr>
            <w:tcW w:type="dxa" w:w="519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20" w:line="252" w:lineRule="auto"/>
            </w:pPr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Database Architecture &amp; Data Dictionary</w:t>
            </w:r>
            <w:r>
              <w:rPr>
                <w:rFonts w:ascii="Calibri" w:hAnsi="Calibri"/>
                <w:b w:val="0"/>
                <w:i w:val="0"/>
                <w:color w:val="4B5563"/>
                <w:sz w:val="17"/>
              </w:rPr>
              <w:t xml:space="preserve">  ·  Testing Center / Non-SIMS &amp; SIMPEL</w:t>
            </w:r>
          </w:p>
        </w:tc>
        <w:tc>
          <w:tcPr>
            <w:tcW w:type="dxa" w:w="519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2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374151"/>
                <w:sz w:val="17"/>
              </w:rPr>
              <w:t>Technical Specs</w:t>
            </w:r>
          </w:p>
        </w:tc>
      </w:tr>
    </w:tbl>
    <w:p>
      <w:pPr>
        <w:spacing w:before="20" w:after="30" w:line="252" w:lineRule="auto"/>
        <w:ind w:left="259" w:hanging="259"/>
      </w:pPr>
      <w:r>
        <w:rPr>
          <w:rFonts w:ascii="Calibri" w:hAnsi="Calibri"/>
          <w:b/>
          <w:i w:val="0"/>
          <w:color w:val="1F4E5F"/>
          <w:sz w:val="17"/>
        </w:rPr>
        <w:t xml:space="preserve">•  </w:t>
      </w:r>
      <w:r>
        <w:rPr>
          <w:rFonts w:ascii="Calibri" w:hAnsi="Calibri"/>
          <w:b/>
          <w:i w:val="0"/>
          <w:color w:val="1F2937"/>
          <w:sz w:val="17"/>
        </w:rPr>
        <w:t xml:space="preserve">Data Dictionaries &amp; Database ERD: </w:t>
      </w:r>
      <w:r>
        <w:rPr>
          <w:rFonts w:ascii="Calibri" w:hAnsi="Calibri"/>
          <w:b w:val="0"/>
          <w:i w:val="0"/>
          <w:color w:val="374151"/>
          <w:sz w:val="17"/>
        </w:rPr>
        <w:t>Constructed comprehensive Data Dictionaries (entity definitions, data types, validation logic, foreign keys) and relational ERD diagrams for testing and certification systems (E-Suket &amp; Sirani), serving as the foundational reference for backend engineers and QA teams.</w:t>
      </w:r>
    </w:p>
    <w:p>
      <w:pPr>
        <w:spacing w:before="20" w:after="30" w:line="252" w:lineRule="auto"/>
        <w:ind w:left="259" w:hanging="259"/>
      </w:pPr>
      <w:r>
        <w:rPr>
          <w:rFonts w:ascii="Calibri" w:hAnsi="Calibri"/>
          <w:b/>
          <w:i w:val="0"/>
          <w:color w:val="1F4E5F"/>
          <w:sz w:val="17"/>
        </w:rPr>
        <w:t xml:space="preserve">•  </w:t>
      </w:r>
      <w:r>
        <w:rPr>
          <w:rFonts w:ascii="Calibri" w:hAnsi="Calibri"/>
          <w:b/>
          <w:i w:val="0"/>
          <w:color w:val="1F2937"/>
          <w:sz w:val="17"/>
        </w:rPr>
        <w:t xml:space="preserve">Integrated Application Models: </w:t>
      </w:r>
      <w:r>
        <w:rPr>
          <w:rFonts w:ascii="Calibri" w:hAnsi="Calibri"/>
          <w:b w:val="0"/>
          <w:i w:val="0"/>
          <w:color w:val="374151"/>
          <w:sz w:val="17"/>
        </w:rPr>
        <w:t>Documented multi-tier application architectures and operational workflows for BBPPT internal and external user portals.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04"/>
        <w:gridCol w:w="2678"/>
      </w:tblGrid>
      <w:tr>
        <w:tc>
          <w:tcPr>
            <w:tcW w:type="dxa" w:w="519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20" w:line="252" w:lineRule="auto"/>
            </w:pPr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UAT Test Scenarios &amp; Quality Verification</w:t>
            </w:r>
            <w:r>
              <w:rPr>
                <w:rFonts w:ascii="Calibri" w:hAnsi="Calibri"/>
                <w:b w:val="0"/>
                <w:i w:val="0"/>
                <w:color w:val="4B5563"/>
                <w:sz w:val="17"/>
              </w:rPr>
              <w:t xml:space="preserve">  ·  SIMPONI V2 Billing Module</w:t>
            </w:r>
          </w:p>
        </w:tc>
        <w:tc>
          <w:tcPr>
            <w:tcW w:type="dxa" w:w="519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2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374151"/>
                <w:sz w:val="17"/>
              </w:rPr>
              <w:t>Testing Artifacts</w:t>
            </w:r>
          </w:p>
        </w:tc>
      </w:tr>
    </w:tbl>
    <w:p>
      <w:pPr>
        <w:spacing w:before="20" w:after="30" w:line="252" w:lineRule="auto"/>
        <w:ind w:left="259" w:hanging="259"/>
      </w:pPr>
      <w:r>
        <w:rPr>
          <w:rFonts w:ascii="Calibri" w:hAnsi="Calibri"/>
          <w:b/>
          <w:i w:val="0"/>
          <w:color w:val="1F4E5F"/>
          <w:sz w:val="17"/>
        </w:rPr>
        <w:t xml:space="preserve">•  </w:t>
      </w:r>
      <w:r>
        <w:rPr>
          <w:rFonts w:ascii="Calibri" w:hAnsi="Calibri"/>
          <w:b/>
          <w:i w:val="0"/>
          <w:color w:val="1F2937"/>
          <w:sz w:val="17"/>
        </w:rPr>
        <w:t xml:space="preserve">UAT Test Suite Execution: </w:t>
      </w:r>
      <w:r>
        <w:rPr>
          <w:rFonts w:ascii="Calibri" w:hAnsi="Calibri"/>
          <w:b w:val="0"/>
          <w:i w:val="0"/>
          <w:color w:val="374151"/>
          <w:sz w:val="17"/>
        </w:rPr>
        <w:t>Formulated formal UAT execution scripts (zero-tariff billing cancellation via portal and service API), mapping out prerequisites, test procedures, expected outcomes, and sign-off criteria prior to production release.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04"/>
        <w:gridCol w:w="2678"/>
      </w:tblGrid>
      <w:tr>
        <w:tc>
          <w:tcPr>
            <w:tcW w:type="dxa" w:w="519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20" w:line="252" w:lineRule="auto"/>
            </w:pPr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High-Stakes National Exam &amp; Admin Portals</w:t>
            </w:r>
            <w:r>
              <w:rPr>
                <w:rFonts w:ascii="Calibri" w:hAnsi="Calibri"/>
                <w:b w:val="0"/>
                <w:i w:val="0"/>
                <w:color w:val="4B5563"/>
                <w:sz w:val="17"/>
              </w:rPr>
              <w:t xml:space="preserve">  ·  Komdigi &amp; Kemendikbud</w:t>
            </w:r>
          </w:p>
        </w:tc>
        <w:tc>
          <w:tcPr>
            <w:tcW w:type="dxa" w:w="519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2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374151"/>
                <w:sz w:val="17"/>
              </w:rPr>
              <w:t>UI/UX &amp; Design Systems</w:t>
            </w:r>
          </w:p>
        </w:tc>
      </w:tr>
    </w:tbl>
    <w:p>
      <w:pPr>
        <w:spacing w:before="20" w:after="30" w:line="252" w:lineRule="auto"/>
        <w:ind w:left="259" w:hanging="259"/>
      </w:pPr>
      <w:r>
        <w:rPr>
          <w:rFonts w:ascii="Calibri" w:hAnsi="Calibri"/>
          <w:b/>
          <w:i w:val="0"/>
          <w:color w:val="1F4E5F"/>
          <w:sz w:val="17"/>
        </w:rPr>
        <w:t xml:space="preserve">•  </w:t>
      </w:r>
      <w:r>
        <w:rPr>
          <w:rFonts w:ascii="Calibri" w:hAnsi="Calibri"/>
          <w:b/>
          <w:i w:val="0"/>
          <w:color w:val="1F2937"/>
          <w:sz w:val="17"/>
        </w:rPr>
        <w:t xml:space="preserve">CAT Komdigi National Examination Platform: </w:t>
      </w:r>
      <w:r>
        <w:rPr>
          <w:rFonts w:ascii="Calibri" w:hAnsi="Calibri"/>
          <w:b w:val="0"/>
          <w:i w:val="0"/>
          <w:color w:val="374151"/>
          <w:sz w:val="17"/>
        </w:rPr>
        <w:t>Designed distraction-free exam room UX integrating Safe Exam Browser (SEB) onboarding, interactive question palette, and real-time state recovery for nationwide exam takers.</w:t>
      </w:r>
    </w:p>
    <w:p>
      <w:pPr>
        <w:spacing w:before="20" w:after="30" w:line="252" w:lineRule="auto"/>
        <w:ind w:left="259" w:hanging="259"/>
      </w:pPr>
      <w:r>
        <w:rPr>
          <w:rFonts w:ascii="Calibri" w:hAnsi="Calibri"/>
          <w:b/>
          <w:i w:val="0"/>
          <w:color w:val="1F4E5F"/>
          <w:sz w:val="17"/>
        </w:rPr>
        <w:t xml:space="preserve">•  </w:t>
      </w:r>
      <w:r>
        <w:rPr>
          <w:rFonts w:ascii="Calibri" w:hAnsi="Calibri"/>
          <w:b/>
          <w:i w:val="0"/>
          <w:color w:val="1F2937"/>
          <w:sz w:val="17"/>
        </w:rPr>
        <w:t xml:space="preserve">Kemendikbud SIMONTILA Admin Portal: </w:t>
      </w:r>
      <w:r>
        <w:rPr>
          <w:rFonts w:ascii="Calibri" w:hAnsi="Calibri"/>
          <w:b w:val="0"/>
          <w:i w:val="0"/>
          <w:color w:val="374151"/>
          <w:sz w:val="17"/>
        </w:rPr>
        <w:t>Overhauled data management workflows across 5,000+ school records into high-density filterable tables, boosting administrative efficiency by 30%.</w:t>
      </w:r>
    </w:p>
    <w:p>
      <w:pPr>
        <w:spacing w:before="120" w:after="50" w:line="252" w:lineRule="auto"/>
        <w:pBdr>
          <w:bottom w:val="single" w:color="C7C7C7" w:sz="6" w:space="3"/>
        </w:pBdr>
      </w:pPr>
      <w:r>
        <w:rPr>
          <w:rFonts w:ascii="Calibri" w:hAnsi="Calibri"/>
          <w:b/>
          <w:i w:val="0"/>
          <w:color w:val="1F4E5F"/>
          <w:sz w:val="19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04"/>
        <w:gridCol w:w="2678"/>
      </w:tblGrid>
      <w:tr>
        <w:tc>
          <w:tcPr>
            <w:tcW w:type="dxa" w:w="519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20" w:line="252" w:lineRule="auto"/>
            </w:pPr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PT Mitra Sinerji Teknoindo</w:t>
            </w:r>
            <w:r>
              <w:rPr>
                <w:rFonts w:ascii="Calibri" w:hAnsi="Calibri"/>
                <w:b w:val="0"/>
                <w:i w:val="0"/>
                <w:color w:val="4B5563"/>
                <w:sz w:val="17"/>
              </w:rPr>
              <w:t xml:space="preserve">  ·  UI/UX Designer &amp; Technical Writer</w:t>
            </w:r>
          </w:p>
        </w:tc>
        <w:tc>
          <w:tcPr>
            <w:tcW w:type="dxa" w:w="519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2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374151"/>
                <w:sz w:val="17"/>
              </w:rPr>
              <w:t>Aug 2023 – Present</w:t>
            </w:r>
          </w:p>
        </w:tc>
      </w:tr>
    </w:tbl>
    <w:p>
      <w:pPr>
        <w:spacing w:after="20" w:before="0" w:line="240" w:lineRule="auto"/>
      </w:pPr>
      <w:r>
        <w:rPr>
          <w:rFonts w:ascii="Calibri" w:hAnsi="Calibri"/>
          <w:b w:val="0"/>
          <w:i/>
          <w:color w:val="6B7280"/>
          <w:sz w:val="16"/>
        </w:rPr>
        <w:t>Bandung, Indonesia  ·  IT Consulting &amp; Enterprise Digital Transformation</w:t>
      </w:r>
    </w:p>
    <w:p>
      <w:pPr>
        <w:spacing w:before="20" w:after="30" w:line="252" w:lineRule="auto"/>
        <w:ind w:left="259" w:hanging="259"/>
      </w:pPr>
      <w:r>
        <w:rPr>
          <w:rFonts w:ascii="Calibri" w:hAnsi="Calibri"/>
          <w:b/>
          <w:i w:val="0"/>
          <w:color w:val="1F4E5F"/>
          <w:sz w:val="17"/>
        </w:rPr>
        <w:t xml:space="preserve">•  </w:t>
      </w:r>
      <w:r>
        <w:rPr>
          <w:rFonts w:ascii="Calibri" w:hAnsi="Calibri"/>
          <w:b/>
          <w:i w:val="0"/>
          <w:color w:val="1F2937"/>
          <w:sz w:val="17"/>
        </w:rPr>
        <w:t xml:space="preserve">End-to-End Design &amp; Technical Documentation: </w:t>
      </w:r>
      <w:r>
        <w:rPr>
          <w:rFonts w:ascii="Calibri" w:hAnsi="Calibri"/>
          <w:b w:val="0"/>
          <w:i w:val="0"/>
          <w:color w:val="374151"/>
          <w:sz w:val="17"/>
        </w:rPr>
        <w:t>Lead the dual mandate of interface design and technical documentation for 10+ enterprise platforms spanning ministries and public sector institutions (Komdigi, Kemendikbud, PUPR, Universitas Terbuka).</w:t>
      </w:r>
    </w:p>
    <w:p>
      <w:pPr>
        <w:spacing w:before="20" w:after="30" w:line="252" w:lineRule="auto"/>
        <w:ind w:left="259" w:hanging="259"/>
      </w:pPr>
      <w:r>
        <w:rPr>
          <w:rFonts w:ascii="Calibri" w:hAnsi="Calibri"/>
          <w:b/>
          <w:i w:val="0"/>
          <w:color w:val="1F4E5F"/>
          <w:sz w:val="17"/>
        </w:rPr>
        <w:t xml:space="preserve">•  </w:t>
      </w:r>
      <w:r>
        <w:rPr>
          <w:rFonts w:ascii="Calibri" w:hAnsi="Calibri"/>
          <w:b/>
          <w:i w:val="0"/>
          <w:color w:val="1F2937"/>
          <w:sz w:val="17"/>
        </w:rPr>
        <w:t xml:space="preserve">User Manuals &amp; Standard Operating Procedures (SOP): </w:t>
      </w:r>
      <w:r>
        <w:rPr>
          <w:rFonts w:ascii="Calibri" w:hAnsi="Calibri"/>
          <w:b w:val="0"/>
          <w:i w:val="0"/>
          <w:color w:val="374151"/>
          <w:sz w:val="17"/>
        </w:rPr>
        <w:t>Author structured user manuals, digital SOPs, and feature guidebooks for system administrators and end-users, ensuring seamless system rollouts with minimal friction.</w:t>
      </w:r>
    </w:p>
    <w:p>
      <w:pPr>
        <w:spacing w:before="20" w:after="30" w:line="252" w:lineRule="auto"/>
        <w:ind w:left="259" w:hanging="259"/>
      </w:pPr>
      <w:r>
        <w:rPr>
          <w:rFonts w:ascii="Calibri" w:hAnsi="Calibri"/>
          <w:b/>
          <w:i w:val="0"/>
          <w:color w:val="1F4E5F"/>
          <w:sz w:val="17"/>
        </w:rPr>
        <w:t xml:space="preserve">•  </w:t>
      </w:r>
      <w:r>
        <w:rPr>
          <w:rFonts w:ascii="Calibri" w:hAnsi="Calibri"/>
          <w:b/>
          <w:i w:val="0"/>
          <w:color w:val="1F2937"/>
          <w:sz w:val="17"/>
        </w:rPr>
        <w:t xml:space="preserve">Functional Specifications &amp; Data Modeling: </w:t>
      </w:r>
      <w:r>
        <w:rPr>
          <w:rFonts w:ascii="Calibri" w:hAnsi="Calibri"/>
          <w:b w:val="0"/>
          <w:i w:val="0"/>
          <w:color w:val="374151"/>
          <w:sz w:val="17"/>
        </w:rPr>
        <w:t>Draft Functional Specification Documents (FSD/BRD), data dictionaries, and system flowcharts to align client business operations with backend database and API architecture.</w:t>
      </w:r>
    </w:p>
    <w:p>
      <w:pPr>
        <w:spacing w:before="20" w:after="30" w:line="252" w:lineRule="auto"/>
        <w:ind w:left="259" w:hanging="259"/>
      </w:pPr>
      <w:r>
        <w:rPr>
          <w:rFonts w:ascii="Calibri" w:hAnsi="Calibri"/>
          <w:b/>
          <w:i w:val="0"/>
          <w:color w:val="1F4E5F"/>
          <w:sz w:val="17"/>
        </w:rPr>
        <w:t xml:space="preserve">•  </w:t>
      </w:r>
      <w:r>
        <w:rPr>
          <w:rFonts w:ascii="Calibri" w:hAnsi="Calibri"/>
          <w:b/>
          <w:i w:val="0"/>
          <w:color w:val="1F2937"/>
          <w:sz w:val="17"/>
        </w:rPr>
        <w:t xml:space="preserve">User Acceptance Testing (UAT) Coordination: </w:t>
      </w:r>
      <w:r>
        <w:rPr>
          <w:rFonts w:ascii="Calibri" w:hAnsi="Calibri"/>
          <w:b w:val="0"/>
          <w:i w:val="0"/>
          <w:color w:val="374151"/>
          <w:sz w:val="17"/>
        </w:rPr>
        <w:t>Develop UAT execution suites, facilitate testing sessions with institutional stakeholders, document defect registries, and verify delivery against sign-off criteria.</w:t>
      </w:r>
    </w:p>
    <w:p>
      <w:pPr>
        <w:spacing w:before="20" w:after="30" w:line="252" w:lineRule="auto"/>
        <w:ind w:left="259" w:hanging="259"/>
      </w:pPr>
      <w:r>
        <w:rPr>
          <w:rFonts w:ascii="Calibri" w:hAnsi="Calibri"/>
          <w:b/>
          <w:i w:val="0"/>
          <w:color w:val="1F4E5F"/>
          <w:sz w:val="17"/>
        </w:rPr>
        <w:t xml:space="preserve">•  </w:t>
      </w:r>
      <w:r>
        <w:rPr>
          <w:rFonts w:ascii="Calibri" w:hAnsi="Calibri"/>
          <w:b/>
          <w:i w:val="0"/>
          <w:color w:val="1F2937"/>
          <w:sz w:val="17"/>
        </w:rPr>
        <w:t xml:space="preserve">Figma Design Systems &amp; Developer Handoff: </w:t>
      </w:r>
      <w:r>
        <w:rPr>
          <w:rFonts w:ascii="Calibri" w:hAnsi="Calibri"/>
          <w:b w:val="0"/>
          <w:i w:val="0"/>
          <w:color w:val="374151"/>
          <w:sz w:val="17"/>
        </w:rPr>
        <w:t>Architect standardized Figma design libraries with reusable components and tokens matching React/Tailwind specs, cutting developer handoff defects by ~40% and increasing sprint velocity by ~30%.</w:t>
      </w:r>
    </w:p>
    <w:p>
      <w:pPr>
        <w:spacing w:before="20" w:after="30" w:line="252" w:lineRule="auto"/>
        <w:ind w:left="259" w:hanging="259"/>
      </w:pPr>
      <w:r>
        <w:rPr>
          <w:rFonts w:ascii="Calibri" w:hAnsi="Calibri"/>
          <w:b/>
          <w:i w:val="0"/>
          <w:color w:val="1F4E5F"/>
          <w:sz w:val="17"/>
        </w:rPr>
        <w:t xml:space="preserve">•  </w:t>
      </w:r>
      <w:r>
        <w:rPr>
          <w:rFonts w:ascii="Calibri" w:hAnsi="Calibri"/>
          <w:b/>
          <w:i w:val="0"/>
          <w:color w:val="1F2937"/>
          <w:sz w:val="17"/>
        </w:rPr>
        <w:t xml:space="preserve">Telemetry &amp; Operational Dashboard Design: </w:t>
      </w:r>
      <w:r>
        <w:rPr>
          <w:rFonts w:ascii="Calibri" w:hAnsi="Calibri"/>
          <w:b w:val="0"/>
          <w:i w:val="0"/>
          <w:color w:val="374151"/>
          <w:sz w:val="17"/>
        </w:rPr>
        <w:t>Redesigned PUPR BRAVO project monitoring and raw sensor telemetry interfaces, turning complex data tables into high-clarity operational dashboards requiring zero prior training.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04"/>
        <w:gridCol w:w="2678"/>
      </w:tblGrid>
      <w:tr>
        <w:tc>
          <w:tcPr>
            <w:tcW w:type="dxa" w:w="519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20" w:line="252" w:lineRule="auto"/>
            </w:pPr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PT Intelligo</w:t>
            </w:r>
            <w:r>
              <w:rPr>
                <w:rFonts w:ascii="Calibri" w:hAnsi="Calibri"/>
                <w:b w:val="0"/>
                <w:i w:val="0"/>
                <w:color w:val="4B5563"/>
                <w:sz w:val="17"/>
              </w:rPr>
              <w:t xml:space="preserve">  ·  Graphic Designer &amp; Visual Specialist (Internship)</w:t>
            </w:r>
          </w:p>
        </w:tc>
        <w:tc>
          <w:tcPr>
            <w:tcW w:type="dxa" w:w="519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2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374151"/>
                <w:sz w:val="17"/>
              </w:rPr>
              <w:t>Jan – Mar 2023</w:t>
            </w:r>
          </w:p>
        </w:tc>
      </w:tr>
    </w:tbl>
    <w:p>
      <w:pPr>
        <w:spacing w:after="20" w:before="0" w:line="240" w:lineRule="auto"/>
      </w:pPr>
      <w:r>
        <w:rPr>
          <w:rFonts w:ascii="Calibri" w:hAnsi="Calibri"/>
          <w:b w:val="0"/>
          <w:i/>
          <w:color w:val="6B7280"/>
          <w:sz w:val="16"/>
        </w:rPr>
        <w:t>Bandung, Indonesia  ·  Digital Marketing &amp; Creative Agency</w:t>
      </w:r>
    </w:p>
    <w:p>
      <w:pPr>
        <w:spacing w:before="20" w:after="30" w:line="252" w:lineRule="auto"/>
        <w:ind w:left="259" w:hanging="259"/>
      </w:pPr>
      <w:r>
        <w:rPr>
          <w:rFonts w:ascii="Calibri" w:hAnsi="Calibri"/>
          <w:b/>
          <w:i w:val="0"/>
          <w:color w:val="1F4E5F"/>
          <w:sz w:val="17"/>
        </w:rPr>
        <w:t xml:space="preserve">•  </w:t>
      </w:r>
      <w:r>
        <w:rPr>
          <w:rFonts w:ascii="Calibri" w:hAnsi="Calibri"/>
          <w:b/>
          <w:i w:val="0"/>
          <w:color w:val="1F2937"/>
          <w:sz w:val="17"/>
        </w:rPr>
        <w:t xml:space="preserve">Visual Standardization &amp; Asset Delivery: </w:t>
      </w:r>
      <w:r>
        <w:rPr>
          <w:rFonts w:ascii="Calibri" w:hAnsi="Calibri"/>
          <w:b w:val="0"/>
          <w:i w:val="0"/>
          <w:color w:val="374151"/>
          <w:sz w:val="17"/>
        </w:rPr>
        <w:t>Created marketing assets and visual guidelines with clear information hierarchy for diverse commercial clients under strict production deadlines.</w:t>
      </w:r>
    </w:p>
    <w:p>
      <w:pPr>
        <w:spacing w:before="20" w:after="30" w:line="252" w:lineRule="auto"/>
        <w:ind w:left="259" w:hanging="259"/>
      </w:pPr>
      <w:r>
        <w:rPr>
          <w:rFonts w:ascii="Calibri" w:hAnsi="Calibri"/>
          <w:b/>
          <w:i w:val="0"/>
          <w:color w:val="1F4E5F"/>
          <w:sz w:val="17"/>
        </w:rPr>
        <w:t xml:space="preserve">•  </w:t>
      </w:r>
      <w:r>
        <w:rPr>
          <w:rFonts w:ascii="Calibri" w:hAnsi="Calibri"/>
          <w:b/>
          <w:i w:val="0"/>
          <w:color w:val="1F2937"/>
          <w:sz w:val="17"/>
        </w:rPr>
        <w:t xml:space="preserve">Client Communication: </w:t>
      </w:r>
      <w:r>
        <w:rPr>
          <w:rFonts w:ascii="Calibri" w:hAnsi="Calibri"/>
          <w:b w:val="0"/>
          <w:i w:val="0"/>
          <w:color w:val="374151"/>
          <w:sz w:val="17"/>
        </w:rPr>
        <w:t>Collaborated directly with external stakeholders to translate brand identity guidelines into digital campaign collateral.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04"/>
        <w:gridCol w:w="2678"/>
      </w:tblGrid>
      <w:tr>
        <w:tc>
          <w:tcPr>
            <w:tcW w:type="dxa" w:w="519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20" w:line="252" w:lineRule="auto"/>
            </w:pPr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CV Mitra Yudha Xaviera</w:t>
            </w:r>
            <w:r>
              <w:rPr>
                <w:rFonts w:ascii="Calibri" w:hAnsi="Calibri"/>
                <w:b w:val="0"/>
                <w:i w:val="0"/>
                <w:color w:val="4B5563"/>
                <w:sz w:val="17"/>
              </w:rPr>
              <w:t xml:space="preserve">  ·  Web Developer (Internship)</w:t>
            </w:r>
          </w:p>
        </w:tc>
        <w:tc>
          <w:tcPr>
            <w:tcW w:type="dxa" w:w="519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2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374151"/>
                <w:sz w:val="17"/>
              </w:rPr>
              <w:t>Sep – Nov 2022</w:t>
            </w:r>
          </w:p>
        </w:tc>
      </w:tr>
    </w:tbl>
    <w:p>
      <w:pPr>
        <w:spacing w:after="20" w:before="0" w:line="240" w:lineRule="auto"/>
      </w:pPr>
      <w:r>
        <w:rPr>
          <w:rFonts w:ascii="Calibri" w:hAnsi="Calibri"/>
          <w:b w:val="0"/>
          <w:i/>
          <w:color w:val="6B7280"/>
          <w:sz w:val="16"/>
        </w:rPr>
        <w:t>Bandung, Indonesia  ·  Web Development &amp; IT Services</w:t>
      </w:r>
    </w:p>
    <w:p>
      <w:pPr>
        <w:spacing w:before="20" w:after="30" w:line="252" w:lineRule="auto"/>
        <w:ind w:left="259" w:hanging="259"/>
      </w:pPr>
      <w:r>
        <w:rPr>
          <w:rFonts w:ascii="Calibri" w:hAnsi="Calibri"/>
          <w:b/>
          <w:i w:val="0"/>
          <w:color w:val="1F4E5F"/>
          <w:sz w:val="17"/>
        </w:rPr>
        <w:t xml:space="preserve">•  </w:t>
      </w:r>
      <w:r>
        <w:rPr>
          <w:rFonts w:ascii="Calibri" w:hAnsi="Calibri"/>
          <w:b/>
          <w:i w:val="0"/>
          <w:color w:val="1F2937"/>
          <w:sz w:val="17"/>
        </w:rPr>
        <w:t xml:space="preserve">Front-End Implementation: </w:t>
      </w:r>
      <w:r>
        <w:rPr>
          <w:rFonts w:ascii="Calibri" w:hAnsi="Calibri"/>
          <w:b w:val="0"/>
          <w:i w:val="0"/>
          <w:color w:val="374151"/>
          <w:sz w:val="17"/>
        </w:rPr>
        <w:t>Engineered responsive web interfaces using HTML, CSS, and JavaScript; optimized asset loading and rendered page speeds by 20%.</w:t>
      </w:r>
    </w:p>
    <w:p>
      <w:pPr>
        <w:spacing w:before="20" w:after="30" w:line="252" w:lineRule="auto"/>
        <w:ind w:left="259" w:hanging="259"/>
      </w:pPr>
      <w:r>
        <w:rPr>
          <w:rFonts w:ascii="Calibri" w:hAnsi="Calibri"/>
          <w:b/>
          <w:i w:val="0"/>
          <w:color w:val="1F4E5F"/>
          <w:sz w:val="17"/>
        </w:rPr>
        <w:t xml:space="preserve">•  </w:t>
      </w:r>
      <w:r>
        <w:rPr>
          <w:rFonts w:ascii="Calibri" w:hAnsi="Calibri"/>
          <w:b/>
          <w:i w:val="0"/>
          <w:color w:val="1F2937"/>
          <w:sz w:val="17"/>
        </w:rPr>
        <w:t xml:space="preserve">Technical Foundations: </w:t>
      </w:r>
      <w:r>
        <w:rPr>
          <w:rFonts w:ascii="Calibri" w:hAnsi="Calibri"/>
          <w:b w:val="0"/>
          <w:i w:val="0"/>
          <w:color w:val="374151"/>
          <w:sz w:val="17"/>
        </w:rPr>
        <w:t>Gained practical experience in relational database queries and technical systems, forming the foundation for writing accurate data dictionaries and software documentation.</w:t>
      </w:r>
    </w:p>
    <w:p>
      <w:pPr>
        <w:spacing w:before="120" w:after="50" w:line="252" w:lineRule="auto"/>
        <w:pBdr>
          <w:bottom w:val="single" w:color="C7C7C7" w:sz="6" w:space="3"/>
        </w:pBdr>
      </w:pPr>
      <w:r>
        <w:rPr>
          <w:rFonts w:ascii="Calibri" w:hAnsi="Calibri"/>
          <w:b/>
          <w:i w:val="0"/>
          <w:color w:val="1F4E5F"/>
          <w:sz w:val="19"/>
        </w:rPr>
        <w:t>EDUCATION &amp; CERTIFICATIONS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04"/>
        <w:gridCol w:w="2678"/>
      </w:tblGrid>
      <w:tr>
        <w:tc>
          <w:tcPr>
            <w:tcW w:type="dxa" w:w="519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20" w:line="252" w:lineRule="auto"/>
            </w:pPr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Universitas Pendidikan Indonesia (UPI)</w:t>
            </w:r>
            <w:r>
              <w:rPr>
                <w:rFonts w:ascii="Calibri" w:hAnsi="Calibri"/>
                <w:b w:val="0"/>
                <w:i w:val="0"/>
                <w:color w:val="4B5563"/>
                <w:sz w:val="17"/>
              </w:rPr>
              <w:t xml:space="preserve">  ·  Bachelor of Computer Science (S.Kom.)</w:t>
            </w:r>
          </w:p>
        </w:tc>
        <w:tc>
          <w:tcPr>
            <w:tcW w:type="dxa" w:w="519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2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374151"/>
                <w:sz w:val="17"/>
              </w:rPr>
              <w:t>2019 – 2024</w:t>
            </w:r>
          </w:p>
        </w:tc>
      </w:tr>
    </w:tbl>
    <w:p>
      <w:pPr>
        <w:spacing w:before="20" w:after="30" w:line="252" w:lineRule="auto"/>
        <w:ind w:left="259" w:hanging="259"/>
      </w:pPr>
      <w:r>
        <w:rPr>
          <w:rFonts w:ascii="Calibri" w:hAnsi="Calibri"/>
          <w:b/>
          <w:i w:val="0"/>
          <w:color w:val="1F4E5F"/>
          <w:sz w:val="17"/>
        </w:rPr>
        <w:t xml:space="preserve">•  </w:t>
      </w:r>
      <w:r>
        <w:rPr>
          <w:rFonts w:ascii="Calibri" w:hAnsi="Calibri"/>
          <w:b/>
          <w:i w:val="0"/>
          <w:color w:val="1F2937"/>
          <w:sz w:val="17"/>
        </w:rPr>
        <w:t xml:space="preserve">Academic Excellence: </w:t>
      </w:r>
      <w:r>
        <w:rPr>
          <w:rFonts w:ascii="Calibri" w:hAnsi="Calibri"/>
          <w:b w:val="0"/>
          <w:i w:val="0"/>
          <w:color w:val="374151"/>
          <w:sz w:val="17"/>
        </w:rPr>
        <w:t>GPA: 3.73 / 4.00 (Distinction). Core coursework in Software Engineering, Human-Computer Interaction (HCI), and Database Management Systems.</w:t>
      </w:r>
    </w:p>
    <w:p>
      <w:pPr>
        <w:spacing w:before="20" w:after="30" w:line="252" w:lineRule="auto"/>
        <w:ind w:left="259" w:hanging="259"/>
      </w:pPr>
      <w:r>
        <w:rPr>
          <w:rFonts w:ascii="Calibri" w:hAnsi="Calibri"/>
          <w:b/>
          <w:i w:val="0"/>
          <w:color w:val="1F4E5F"/>
          <w:sz w:val="17"/>
        </w:rPr>
        <w:t xml:space="preserve">•  </w:t>
      </w:r>
      <w:r>
        <w:rPr>
          <w:rFonts w:ascii="Calibri" w:hAnsi="Calibri"/>
          <w:b/>
          <w:i w:val="0"/>
          <w:color w:val="1F2937"/>
          <w:sz w:val="17"/>
        </w:rPr>
        <w:t xml:space="preserve">Undergraduate Thesis: </w:t>
      </w:r>
      <w:r>
        <w:rPr>
          <w:rFonts w:ascii="Calibri" w:hAnsi="Calibri"/>
          <w:b w:val="0"/>
          <w:i w:val="0"/>
          <w:color w:val="374151"/>
          <w:sz w:val="17"/>
        </w:rPr>
        <w:t>Design &amp; Development of Orion Guest House Website using Double Diamond Methodology &amp; Content Marketing (encompassing user research, wireframing, technical documentation, and usability testing).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04"/>
        <w:gridCol w:w="2678"/>
      </w:tblGrid>
      <w:tr>
        <w:tc>
          <w:tcPr>
            <w:tcW w:type="dxa" w:w="519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20" w:line="252" w:lineRule="auto"/>
            </w:pPr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Binar Academy</w:t>
            </w:r>
            <w:r>
              <w:rPr>
                <w:rFonts w:ascii="Calibri" w:hAnsi="Calibri"/>
                <w:b w:val="0"/>
                <w:i w:val="0"/>
                <w:color w:val="4B5563"/>
                <w:sz w:val="17"/>
              </w:rPr>
              <w:t xml:space="preserve">  ·  Intensive UI/UX Design Bootcamp</w:t>
            </w:r>
          </w:p>
        </w:tc>
        <w:tc>
          <w:tcPr>
            <w:tcW w:type="dxa" w:w="519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2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374151"/>
                <w:sz w:val="17"/>
              </w:rPr>
              <w:t>Feb – Jul 2022</w:t>
            </w:r>
          </w:p>
        </w:tc>
      </w:tr>
    </w:tbl>
    <w:p>
      <w:pPr>
        <w:spacing w:before="20" w:after="30" w:line="252" w:lineRule="auto"/>
        <w:ind w:left="259" w:hanging="259"/>
      </w:pPr>
      <w:r>
        <w:rPr>
          <w:rFonts w:ascii="Calibri" w:hAnsi="Calibri"/>
          <w:b/>
          <w:i w:val="0"/>
          <w:color w:val="1F4E5F"/>
          <w:sz w:val="17"/>
        </w:rPr>
        <w:t xml:space="preserve">•  </w:t>
      </w:r>
      <w:r>
        <w:rPr>
          <w:rFonts w:ascii="Calibri" w:hAnsi="Calibri"/>
          <w:b/>
          <w:i w:val="0"/>
          <w:color w:val="1F2937"/>
          <w:sz w:val="17"/>
        </w:rPr>
        <w:t xml:space="preserve">Curriculum &amp; Projects: </w:t>
      </w:r>
      <w:r>
        <w:rPr>
          <w:rFonts w:ascii="Calibri" w:hAnsi="Calibri"/>
          <w:b w:val="0"/>
          <w:i w:val="0"/>
          <w:color w:val="374151"/>
          <w:sz w:val="17"/>
        </w:rPr>
        <w:t>Hands-on mastery in Design Thinking, user research (50+ survey respondents, 5 in-depth user interviews), information architecture, interactive prototyping, and usability evaluation.</w:t>
      </w:r>
    </w:p>
    <w:p>
      <w:pPr>
        <w:spacing w:before="120" w:after="50" w:line="252" w:lineRule="auto"/>
        <w:pBdr>
          <w:bottom w:val="single" w:color="C7C7C7" w:sz="6" w:space="3"/>
        </w:pBdr>
      </w:pPr>
      <w:r>
        <w:rPr>
          <w:rFonts w:ascii="Calibri" w:hAnsi="Calibri"/>
          <w:b/>
          <w:i w:val="0"/>
          <w:color w:val="1F4E5F"/>
          <w:sz w:val="19"/>
        </w:rPr>
        <w:t>PORTFOLIO &amp; REFERENCES</w:t>
      </w:r>
    </w:p>
    <w:p>
      <w:pPr>
        <w:spacing w:before="30" w:after="40" w:line="252" w:lineRule="auto"/>
      </w:pPr>
      <w:r>
        <w:rPr>
          <w:rFonts w:ascii="Calibri" w:hAnsi="Calibri"/>
          <w:b/>
          <w:i w:val="0"/>
          <w:color w:val="1F2937"/>
          <w:sz w:val="17"/>
        </w:rPr>
        <w:t xml:space="preserve">•  Online Portfolio &amp; Interactive Case Studies: </w:t>
      </w:r>
      <w:hyperlink r:id="rId11" w:history="1">
        <w:r>
          <w:rPr>
            <w:rFonts w:ascii="Calibri" w:hAnsi="Calibri"/>
            <w:b w:val="0"/>
            <w:color w:val="005691"/>
            <w:sz w:val="17"/>
            <w:u w:val="single"/>
          </w:rPr>
          <w:t>https://portofolio-arrozy.vercel.app/</w:t>
        </w:r>
      </w:hyperlink>
    </w:p>
    <w:p>
      <w:pPr>
        <w:spacing w:before="20" w:after="40" w:line="252" w:lineRule="auto"/>
      </w:pPr>
      <w:r>
        <w:rPr>
          <w:rFonts w:ascii="Calibri" w:hAnsi="Calibri"/>
          <w:b/>
          <w:i w:val="0"/>
          <w:color w:val="1F2937"/>
          <w:sz w:val="17"/>
        </w:rPr>
        <w:t xml:space="preserve">•  LinkedIn Profile &amp; Professional History: </w:t>
      </w:r>
      <w:hyperlink r:id="rId12" w:history="1">
        <w:r>
          <w:rPr>
            <w:rFonts w:ascii="Calibri" w:hAnsi="Calibri"/>
            <w:b w:val="0"/>
            <w:color w:val="005691"/>
            <w:sz w:val="17"/>
            <w:u w:val="single"/>
          </w:rPr>
          <w:t>https://linkedin.com/in/arrozy-adi-falaqi-6a25ba14a</w:t>
        </w:r>
      </w:hyperlink>
    </w:p>
    <w:sectPr w:rsidR="00FC693F" w:rsidRPr="0006063C" w:rsidSect="00034616">
      <w:pgSz w:w="11909" w:h="16834"/>
      <w:pgMar w:top="504" w:right="763" w:bottom="461" w:left="76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a.me/6281298023537" TargetMode="External"/><Relationship Id="rId10" Type="http://schemas.openxmlformats.org/officeDocument/2006/relationships/hyperlink" Target="mailto:arrozyadifalaqioi@gmail.com" TargetMode="External"/><Relationship Id="rId11" Type="http://schemas.openxmlformats.org/officeDocument/2006/relationships/hyperlink" Target="https://portofolio-arrozy.vercel.app" TargetMode="External"/><Relationship Id="rId12" Type="http://schemas.openxmlformats.org/officeDocument/2006/relationships/hyperlink" Target="https://www.linkedin.com/in/arrozy-adi-falaqi-6a25ba14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