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0D1B2A"/>
          <w:sz w:val="72"/>
          <w:szCs w:val="72"/>
        </w:rPr>
        <w:t xml:space="preserve">ANSWERRANK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AI-Native Influencer Discovery &amp; Campaign Management Platform</w:t>
      </w:r>
    </w:p>
    <w:p>
      <w:pPr>
        <w:pBdr>
          <w:bottom w:val="single" w:color="1A56A0" w:sz="8" w:space="8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Technical Requirements Document (TRD)</w:t>
      </w:r>
    </w:p>
    <w:p>
      <w:pPr>
        <w:spacing w:after="120" w:before="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The blueprint the build agent uses to make technical decisions without guessing</w:t>
      </w:r>
    </w:p>
    <w:p>
      <w:pPr>
        <w:spacing w:after="120" w:before="0"/>
      </w:pPr>
    </w:p>
    <w:p>
      <w:pPr>
        <w:spacing w:after="120" w:before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dxa" w:w="30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Wish Willow</w:t>
            </w:r>
          </w:p>
        </w:tc>
      </w:tr>
      <w:tr>
        <w:tc>
          <w:tcPr>
            <w:tcW w:type="dxa" w:w="20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Engineers</w:t>
            </w:r>
          </w:p>
        </w:tc>
        <w:tc>
          <w:tcPr>
            <w:tcW w:type="dxa" w:w="30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Aryan Chaurasia | Harshit Agrawal</w:t>
            </w:r>
          </w:p>
        </w:tc>
      </w:tr>
      <w:tr>
        <w:tc>
          <w:tcPr>
            <w:tcW w:type="dxa" w:w="20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0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— Implementation Ready</w:t>
            </w:r>
          </w:p>
        </w:tc>
      </w:tr>
      <w:tr>
        <w:tc>
          <w:tcPr>
            <w:tcW w:type="dxa" w:w="20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Companion Doc</w:t>
            </w:r>
          </w:p>
        </w:tc>
        <w:tc>
          <w:tcPr>
            <w:tcW w:type="dxa" w:w="30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AnswerRank Master Project Documentation (PRD + Architecture)</w:t>
            </w:r>
          </w:p>
        </w:tc>
      </w:tr>
      <w:tr>
        <w:tc>
          <w:tcPr>
            <w:tcW w:type="dxa" w:w="20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locked. Visual design deferred — see Section 1 note.</w:t>
            </w:r>
          </w:p>
        </w:tc>
      </w:tr>
    </w:tbl>
    <w:p>
      <w:pPr>
        <w:spacing w:after="120" w:before="0"/>
      </w:pPr>
    </w:p>
    <w:p>
      <w:pPr>
        <w:spacing w:after="120" w:before="0"/>
      </w:pPr>
    </w:p>
    <w:p>
      <w:pPr>
        <w:pBdr>
          <w:left w:val="single" w:color="B7791F" w:sz="12" w:space="8"/>
        </w:pBdr>
        <w:shd w:fill="FFF6E6" w:val="clear"/>
        <w:spacing w:after="140" w:before="140"/>
        <w:ind w:left="200" w:right="200"/>
      </w:pPr>
      <w:r>
        <w:rPr>
          <w:rFonts w:ascii="Arial" w:cs="Arial" w:eastAsia="Arial" w:hAnsi="Arial"/>
          <w:i/>
          <w:iCs/>
          <w:color w:val="5C4310"/>
          <w:sz w:val="21"/>
          <w:szCs w:val="21"/>
        </w:rPr>
        <w:t xml:space="preserve">Scope note: this document locks the frontend FRAMEWORK and STACK only. Visual design — color system, component layout, typography, and UX flows — is intentionally out of scope here and will be defined in a separate design pass. Any AI build agent using this document should treat all visual/UI decisions as TBD and avoid inventing a design system from this TRD alone.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56A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Why This Document Matters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TRD translates the AnswerRank product vision into fixed technical decisions: what language, what framework, what database, what third-party services. Without it, an AI build agent picks a stack on its own — sometimes well, often inconsistently from file to file. This document locks in every major choice so the agent (or any human engineer) stays coherent across the entire codebase.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Every decision below is final unless explicitly marked TBD. Where a decision is deferred (frontend visual design), that is stated plainly rather than left ambiguous.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Frontend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1.1 Framework &amp;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Locked Choice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(App Router)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5.x — strict mode enabled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Rendering Strategy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for the root layout, navigation shell, and public-facing pages (fast initial paint, SEO metadata). CSR ('use client') for all interactive, stateful surfaces — the Creator Diagnostic Dashboard and the Brand Campaign Studio — since these depend on WebSocket data and client-side state.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 Engine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v4 — utility classes only at this stage; no design tokens or theme defined yet (see note below)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 Primitives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— used for unstyled/lightly-styled base primitives (buttons, inputs, dialogs) only, pending the design pass</w:t>
            </w:r>
          </w:p>
        </w:tc>
      </w:tr>
    </w:tbl>
    <w:p>
      <w:pPr>
        <w:spacing w:after="120" w:before="0"/>
      </w:pPr>
    </w:p>
    <w:p>
      <w:pPr>
        <w:pBdr>
          <w:left w:val="single" w:color="B7791F" w:sz="12" w:space="8"/>
        </w:pBdr>
        <w:shd w:fill="FFF6E6" w:val="clear"/>
        <w:spacing w:after="140" w:before="140"/>
        <w:ind w:left="200" w:right="200"/>
      </w:pPr>
      <w:r>
        <w:rPr>
          <w:rFonts w:ascii="Arial" w:cs="Arial" w:eastAsia="Arial" w:hAnsi="Arial"/>
          <w:i/>
          <w:iCs/>
          <w:color w:val="5C4310"/>
          <w:sz w:val="21"/>
          <w:szCs w:val="21"/>
        </w:rPr>
        <w:t xml:space="preserve">UI/UX deferred: Visual identity (color palette, layout density, typography, motion language) is NOT defined in this document. The frontend framework, language, and component approach above are locked so engineering can begin; the design system will be supplied separately and layered on top of this stack without requiring a framework change.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1.2 Key Frontend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v5 — global state (audit status, search results, selected creator)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 v5 — REST API layer for all non-realtime data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Realtime Transport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WebSocket API — persistent connection to the FastAPI /ws/audit/{auditId} endpoint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Forms &amp; Validation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v7 + Zod — typed, validated forms for URL submission and campaign search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Tables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Table v8 + TanStack Virtual v3 — virtualized rendering for large creator result sets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Charts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2.x — score radar charts, visibility trend lines (chart components only; visual theme TBD)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 v11 — score arc fills, leaderboard reordering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Icons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lucide-react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Backend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2.1 Framework &amp; Runtime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Locked Choice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 3.12) on Uvicorn + Gunicorn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async/await is mandatory for non-blocking calls to the embedding model, Gemini API, and Qdrant. Gunicorn manages multiple Uvicorn worker processes for production concurrency.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 Validation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v2 at every input/output boundary — request bodies, internal task payloads, and API responses are all typed and validated.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v5 + Redis (Upstash Serverless) — handles URL ingestion, scoring, and embedding as async tasks off the request thread.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Async Design Rule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function touching a network resource uses async/await. CPU-bound work (regex normalization, heuristic scoring) is offloaded to a thread pool via asyncio.to_thread() so the API thread is never blocked.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2.2 Core API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9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/api/v1/audit</w:t>
            </w:r>
          </w:p>
        </w:tc>
        <w:tc>
          <w:tcPr>
            <w:tcW w:type="dxa" w:w="53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 creator URL for scoring</w:t>
            </w:r>
          </w:p>
        </w:tc>
      </w:tr>
      <w:tr>
        <w:tc>
          <w:tcPr>
            <w:tcW w:type="dxa" w:w="9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/api/v1/audit/{audit_id}</w:t>
            </w:r>
          </w:p>
        </w:tc>
        <w:tc>
          <w:tcPr>
            <w:tcW w:type="dxa" w:w="53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 audit status and result</w:t>
            </w:r>
          </w:p>
        </w:tc>
      </w:tr>
      <w:tr>
        <w:tc>
          <w:tcPr>
            <w:tcW w:type="dxa" w:w="9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WS</w:t>
            </w:r>
          </w:p>
        </w:tc>
        <w:tc>
          <w:tcPr>
            <w:tcW w:type="dxa" w:w="31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/ws/audit/{audit_id}</w:t>
            </w:r>
          </w:p>
        </w:tc>
        <w:tc>
          <w:tcPr>
            <w:tcW w:type="dxa" w:w="53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live scoring/ingestion events</w:t>
            </w:r>
          </w:p>
        </w:tc>
      </w:tr>
      <w:tr>
        <w:tc>
          <w:tcPr>
            <w:tcW w:type="dxa" w:w="9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/api/v1/campaign/search</w:t>
            </w:r>
          </w:p>
        </w:tc>
        <w:tc>
          <w:tcPr>
            <w:tcW w:type="dxa" w:w="53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keyword search against the creator database</w:t>
            </w:r>
          </w:p>
        </w:tc>
      </w:tr>
      <w:tr>
        <w:tc>
          <w:tcPr>
            <w:tcW w:type="dxa" w:w="9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/api/v1/creator/{creator_id}</w:t>
            </w:r>
          </w:p>
        </w:tc>
        <w:tc>
          <w:tcPr>
            <w:tcW w:type="dxa" w:w="53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creator profile and score history</w:t>
            </w:r>
          </w:p>
        </w:tc>
      </w:tr>
      <w:tr>
        <w:tc>
          <w:tcPr>
            <w:tcW w:type="dxa" w:w="9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/api/v1/optimize</w:t>
            </w:r>
          </w:p>
        </w:tc>
        <w:tc>
          <w:tcPr>
            <w:tcW w:type="dxa" w:w="53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the Gemini Fix-It Copilot rewrite</w:t>
            </w:r>
          </w:p>
        </w:tc>
      </w:tr>
      <w:tr>
        <w:tc>
          <w:tcPr>
            <w:tcW w:type="dxa" w:w="9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31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/api/v1/gdpr/wipe/{creator_id}</w:t>
            </w:r>
          </w:p>
        </w:tc>
        <w:tc>
          <w:tcPr>
            <w:tcW w:type="dxa" w:w="53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Hard-delete all creator content and vectors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via Supabase — managed, includes built-in Auth and Storage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Stores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Users, sessions, creator profiles, audit history, brand queries, score records, billing/subscription tier state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 Cloud — HNSW-indexed Approximate Nearest Neighbor (ANN) search. A single collection holds all creator content embeddings with metadata payload (creator_id, niche, score, follower_count).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— raw extracted creator content (transcripts, article text). Lifecycle rule: auto-delete after 90 days.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 / Broker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(Upstash Serverless) — Celery broker, job progress counters, rate-limit counters, session tokens</w:t>
            </w:r>
          </w:p>
        </w:tc>
      </w:tr>
    </w:tbl>
    <w:p>
      <w:pPr>
        <w:spacing w:after="120" w:before="0"/>
      </w:pPr>
    </w:p>
    <w:p>
      <w:pPr>
        <w:pBdr>
          <w:left w:val="single" w:color="B7791F" w:sz="12" w:space="8"/>
        </w:pBdr>
        <w:shd w:fill="FFF6E6" w:val="clear"/>
        <w:spacing w:after="140" w:before="140"/>
        <w:ind w:left="200" w:right="200"/>
      </w:pPr>
      <w:r>
        <w:rPr>
          <w:rFonts w:ascii="Arial" w:cs="Arial" w:eastAsia="Arial" w:hAnsi="Arial"/>
          <w:i/>
          <w:iCs/>
          <w:color w:val="5C4310"/>
          <w:sz w:val="21"/>
          <w:szCs w:val="21"/>
        </w:rPr>
        <w:t xml:space="preserve">Two data stores are intentional, not redundant: Supabase Postgres holds structured, relational, transactional data; Qdrant holds high-dimensional vectors for semantic search. Neither substitutes for the other.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(JWT) on the backend, paired with NextAuth.js on the frontend for SSO session handling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Sign-in Options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2.0 and Magic Link (email) — no password-based login in V1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 Lifecycle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JWTs issued with 1-hour expiry; refresh tokens rotated on every use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Enforcement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dependency Depends(get_current_user) validates the JWT on every protected route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Isolation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Security (RLS) in Supabase — creators can only access their own audit history; brands can only access their own campaign queries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Roles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 (audit submission, Fix-It access) · BRAND (campaign search, profiler access) · BRAND_ENTERPRISE (Share of Voice analytics, bulk export) · ADMIN (settings, GDPR wipe, billing)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Hosting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— automatic preview deployments per branch; edge caching for the Next.js shell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(FastAPI + Celery)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or Render (containerized) — Celery worker replicas auto-scale based on Redis queue depth (0–10 workers per queue)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(managed PostgreSQL 16), deployed in the same region as the backend to minimize latency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 Cloud (managed)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— lint, type-check, unit tests, and Playwright E2E smoke tests on every PR; Docker build + push on merge to main</w:t>
            </w:r>
          </w:p>
        </w:tc>
      </w:tr>
      <w:tr>
        <w:tc>
          <w:tcPr>
            <w:tcW w:type="dxa" w:w="2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(error tracking, both frontend and backend); OpenTelemetry traces to Grafana Tempo; Prometheus metrics exposed at /metrics with Grafana dashboards; Flower UI for Celery queue monitoring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Third-Party APIs &amp;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4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trafilatura</w:t>
            </w:r>
          </w:p>
        </w:tc>
        <w:tc>
          <w:tcPr>
            <w:tcW w:type="dxa" w:w="44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content extraction (blogs/articles)</w:t>
            </w:r>
          </w:p>
        </w:tc>
        <w:tc>
          <w:tcPr>
            <w:tcW w:type="dxa" w:w="2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Open-source, free</w:t>
            </w:r>
          </w:p>
        </w:tc>
      </w:tr>
      <w:tr>
        <w:tc>
          <w:tcPr>
            <w:tcW w:type="dxa" w:w="24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YouTube Transcript API</w:t>
            </w:r>
          </w:p>
        </w:tc>
        <w:tc>
          <w:tcPr>
            <w:tcW w:type="dxa" w:w="44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 extraction from YouTube video URLs</w:t>
            </w:r>
          </w:p>
        </w:tc>
        <w:tc>
          <w:tcPr>
            <w:tcW w:type="dxa" w:w="2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(unofficial API; rate-limited)</w:t>
            </w:r>
          </w:p>
        </w:tc>
      </w:tr>
      <w:tr>
        <w:tc>
          <w:tcPr>
            <w:tcW w:type="dxa" w:w="24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SentenceTransformers / text-embedding-3-small</w:t>
            </w:r>
          </w:p>
        </w:tc>
        <w:tc>
          <w:tcPr>
            <w:tcW w:type="dxa" w:w="44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creator content and brand keywords into semantic vectors for matching</w:t>
            </w:r>
          </w:p>
        </w:tc>
        <w:tc>
          <w:tcPr>
            <w:tcW w:type="dxa" w:w="2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(self-hosted model) or paid per-token (OpenAI embeddings, fallback)</w:t>
            </w:r>
          </w:p>
        </w:tc>
      </w:tr>
      <w:tr>
        <w:tc>
          <w:tcPr>
            <w:tcW w:type="dxa" w:w="24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Gemini API (Google AI)</w:t>
            </w:r>
          </w:p>
        </w:tc>
        <w:tc>
          <w:tcPr>
            <w:tcW w:type="dxa" w:w="44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Generative Fix-It Copilot — rewrites creator content to add missing structure. Called ONLY on creator opt-in, never in the core scoring path.</w:t>
            </w:r>
          </w:p>
        </w:tc>
        <w:tc>
          <w:tcPr>
            <w:tcW w:type="dxa" w:w="2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Paid, metered per tier (free tier: 1 rewrite/month; Pro: unlimited)</w:t>
            </w:r>
          </w:p>
        </w:tc>
      </w:tr>
      <w:tr>
        <w:tc>
          <w:tcPr>
            <w:tcW w:type="dxa" w:w="24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Qdrant Cloud</w:t>
            </w:r>
          </w:p>
        </w:tc>
        <w:tc>
          <w:tcPr>
            <w:tcW w:type="dxa" w:w="44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database for semantic search</w:t>
            </w:r>
          </w:p>
        </w:tc>
        <w:tc>
          <w:tcPr>
            <w:tcW w:type="dxa" w:w="2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available; paid tiers at scale</w:t>
            </w:r>
          </w:p>
        </w:tc>
      </w:tr>
      <w:tr>
        <w:tc>
          <w:tcPr>
            <w:tcW w:type="dxa" w:w="24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</w:t>
            </w:r>
          </w:p>
        </w:tc>
        <w:tc>
          <w:tcPr>
            <w:tcW w:type="dxa" w:w="44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Auth, and Storage</w:t>
            </w:r>
          </w:p>
        </w:tc>
        <w:tc>
          <w:tcPr>
            <w:tcW w:type="dxa" w:w="2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available; paid tiers at scale</w:t>
            </w:r>
          </w:p>
        </w:tc>
      </w:tr>
      <w:tr>
        <w:tc>
          <w:tcPr>
            <w:tcW w:type="dxa" w:w="24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44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broker and cache</w:t>
            </w:r>
          </w:p>
        </w:tc>
        <w:tc>
          <w:tcPr>
            <w:tcW w:type="dxa" w:w="2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available; paid tiers at scale</w:t>
            </w:r>
          </w:p>
        </w:tc>
      </w:tr>
      <w:tr>
        <w:tc>
          <w:tcPr>
            <w:tcW w:type="dxa" w:w="24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44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API key and secret storage</w:t>
            </w:r>
          </w:p>
        </w:tc>
        <w:tc>
          <w:tcPr>
            <w:tcW w:type="dxa" w:w="2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Paid, low fixed cost</w:t>
            </w:r>
          </w:p>
        </w:tc>
      </w:tr>
      <w:tr>
        <w:tc>
          <w:tcPr>
            <w:tcW w:type="dxa" w:w="24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Sentry</w:t>
            </w:r>
          </w:p>
        </w:tc>
        <w:tc>
          <w:tcPr>
            <w:tcW w:type="dxa" w:w="44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tracking (frontend + backend)</w:t>
            </w:r>
          </w:p>
        </w:tc>
        <w:tc>
          <w:tcPr>
            <w:tcW w:type="dxa" w:w="25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available; paid tiers at scale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Folder Structure &amp; Naming Conventions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7.1 Frontend (Next.js App Router)</w:t>
      </w:r>
    </w:p>
    <w:p>
      <w:pPr>
        <w:shd w:fill="1A2030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app/
  (auth)/
    login/              -- NextAuth.js Google + Magic Link sign-in
  dashboard/
    page.tsx            -- Creator/Brand landing
    audit/[auditId]/
      page.tsx           -- Creator Diagnostic Dashboard
    campaign/
      page.tsx           -- Brand Campaign Studio
    creator/[id]/
      page.tsx           -- Creator Score Profiler (deep-dive)
  settings/
    page.tsx             -- API keys, org config, billing tier
  api/
    v1/                  -- Next.js API routes (thin proxy to FastAPI)
lib/                      -- shared utilities, API client, Zod schemas
store/                    -- Zustand stores (auditStore, campaignStore, uiStore)
components/               -- shared UI components (pending design system)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7.2 Backend (FastAPI)</w:t>
      </w:r>
    </w:p>
    <w:p>
      <w:pPr>
        <w:shd w:fill="1A2030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app/
  api/
    v1/
      audit.py           -- /api/v1/audit routes
      campaign.py         -- /api/v1/campaign routes
      optimize.py         -- /api/v1/optimize routes
      gdpr.py             -- /api/v1/gdpr routes
  core/
    config.py            -- environment &amp; settings loader
    security.py           -- JWT validation, RLS helpers
  models/                  -- Pydantic v2 schemas
  services/
    extraction.py         -- trafilatura / YouTube Transcript logic
    scoring.py            -- Deterministic Scoring Engine (D1-D7)
    embedding.py           -- SentenceTransformers / Qdrant interface
    gemini.py             -- Fix-It Copilot integration
  workers/
    celery_app.py
    tasks.py              -- ingest_and_score, optimize_content
  main.py                  -- FastAPI app entrypoint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7.3 Naming Conventions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Files: snake_case for Python (scoring_engine.py), kebab-case for Next.js route segments, PascalCase for React components (ScoreProgressArc.tsx).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Pydantic schemas: PascalCase with a Schema suffix (CreatorSchema, AuditRequestSchema).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Zustand stores: camelCase with a Store suffix (auditStore, campaignStore).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Celery tasks: snake_case, verb-led (ingest_and_score, optimize_content).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Environment variables: SCREAMING_SNAKE_CASE, prefixed by service where ambiguous (GEMINI_API_KEY, QDRANT_URL).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8. Environment Variables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Variable names only — values are managed via AWS Secrets Manager and never committed to source control or Docker images.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60"/>
        <w:gridCol w:w="4800"/>
      </w:tblGrid>
      <w:tr>
        <w:tc>
          <w:tcPr>
            <w:tcW w:type="dxa" w:w="29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4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9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16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 URL for client-side auth</w:t>
            </w:r>
          </w:p>
        </w:tc>
      </w:tr>
      <w:tr>
        <w:tc>
          <w:tcPr>
            <w:tcW w:type="dxa" w:w="29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16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public anon key</w:t>
            </w:r>
          </w:p>
        </w:tc>
      </w:tr>
      <w:tr>
        <w:tc>
          <w:tcPr>
            <w:tcW w:type="dxa" w:w="29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16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NextAuth.js session encryption secret</w:t>
            </w:r>
          </w:p>
        </w:tc>
      </w:tr>
      <w:tr>
        <w:tc>
          <w:tcPr>
            <w:tcW w:type="dxa" w:w="29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16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app URL for NextAuth callbacks</w:t>
            </w:r>
          </w:p>
        </w:tc>
      </w:tr>
      <w:tr>
        <w:tc>
          <w:tcPr>
            <w:tcW w:type="dxa" w:w="29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GOOGLE_CLIENT_ID / GOOGLE_CLIENT_SECRET</w:t>
            </w:r>
          </w:p>
        </w:tc>
        <w:tc>
          <w:tcPr>
            <w:tcW w:type="dxa" w:w="16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Frontend/Backend</w:t>
            </w:r>
          </w:p>
        </w:tc>
        <w:tc>
          <w:tcPr>
            <w:tcW w:type="dxa" w:w="4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credentials</w:t>
            </w:r>
          </w:p>
        </w:tc>
      </w:tr>
      <w:tr>
        <w:tc>
          <w:tcPr>
            <w:tcW w:type="dxa" w:w="29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16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privileged Supabase access</w:t>
            </w:r>
          </w:p>
        </w:tc>
      </w:tr>
      <w:tr>
        <w:tc>
          <w:tcPr>
            <w:tcW w:type="dxa" w:w="29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6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29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QDRANT_URL / QDRANT_API_KEY</w:t>
            </w:r>
          </w:p>
        </w:tc>
        <w:tc>
          <w:tcPr>
            <w:tcW w:type="dxa" w:w="16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 Cloud connection</w:t>
            </w:r>
          </w:p>
        </w:tc>
      </w:tr>
      <w:tr>
        <w:tc>
          <w:tcPr>
            <w:tcW w:type="dxa" w:w="29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16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access for the Fix-It Copilot</w:t>
            </w:r>
          </w:p>
        </w:tc>
      </w:tr>
      <w:tr>
        <w:tc>
          <w:tcPr>
            <w:tcW w:type="dxa" w:w="29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16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embedding model access</w:t>
            </w:r>
          </w:p>
        </w:tc>
      </w:tr>
      <w:tr>
        <w:tc>
          <w:tcPr>
            <w:tcW w:type="dxa" w:w="29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REDIS_URL</w:t>
            </w:r>
          </w:p>
        </w:tc>
        <w:tc>
          <w:tcPr>
            <w:tcW w:type="dxa" w:w="16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 connection (Celery broker + cache)</w:t>
            </w:r>
          </w:p>
        </w:tc>
      </w:tr>
      <w:tr>
        <w:tc>
          <w:tcPr>
            <w:tcW w:type="dxa" w:w="29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AWS_ACCESS_KEY_ID / AWS_SECRET_ACCESS_KEY</w:t>
            </w:r>
          </w:p>
        </w:tc>
        <w:tc>
          <w:tcPr>
            <w:tcW w:type="dxa" w:w="16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Secrets Manager and S3-compatible storage access</w:t>
            </w:r>
          </w:p>
        </w:tc>
      </w:tr>
      <w:tr>
        <w:tc>
          <w:tcPr>
            <w:tcW w:type="dxa" w:w="29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SENTRY_DSN</w:t>
            </w:r>
          </w:p>
        </w:tc>
        <w:tc>
          <w:tcPr>
            <w:tcW w:type="dxa" w:w="16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Frontend/Backend</w:t>
            </w:r>
          </w:p>
        </w:tc>
        <w:tc>
          <w:tcPr>
            <w:tcW w:type="dxa" w:w="4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tracking ingestion endpoint</w:t>
            </w:r>
          </w:p>
        </w:tc>
      </w:tr>
      <w:tr>
        <w:tc>
          <w:tcPr>
            <w:tcW w:type="dxa" w:w="29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WEBHOOK_HMAC_SECRET</w:t>
            </w:r>
          </w:p>
        </w:tc>
        <w:tc>
          <w:tcPr>
            <w:tcW w:type="dxa" w:w="166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800"/>
            <w:tcBorders>
              <w:top w:val="single" w:color="AABDD6" w:sz="1"/>
              <w:left w:val="single" w:color="AABDD6" w:sz="1"/>
              <w:bottom w:val="single" w:color="AABDD6" w:sz="1"/>
              <w:right w:val="single" w:color="AAB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Signs outbound webhook payloads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9. Constraints &amp; Hard Preferences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Scoring path must never call an LLM. The Deterministic Scoring Engine (D1–D7) is pure Python; only the opt-in Fix-It Copilot may call Gemini. This is a hard architectural rule, not a preference.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Core scoring latency must stay under 200ms per URL, excluding network-bound extraction time.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Must work within free or low-cost tiers wherever possible during MVP (Supabase, Qdrant, Upstash, Vercel all have usable free tiers); Gemini and embedding API usage must be metered per subscription tier to control variable cost.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 secrets in source code, environment files, or Docker images — all secrets resolve through AWS Secrets Manager at container startup.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Web-first only for V1. No native iOS/Android app. Responsive layout is required, but a dedicated mobile app is explicitly out of scope.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English-language content only in V1 (creator transcripts, blog posts, and brand queries).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GDPR-compatible by design: every creator must be hard-deletable on demand (Postgres rows, Qdrant vectors, Supabase Storage objects, Redis keys) via a single wipe endpoint.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Visual design is explicitly out of scope for this document. Any UI styling decisions made before the design pass is delivered should be treated as temporary scaffolding, not final.</w:t>
      </w:r>
    </w:p>
    <w:p>
      <w:pPr>
        <w:spacing w:after="120" w:before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6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Team: One Wish Willow  |  Engineers: Aryan Chaurasia &amp; Harshit Agrawal</w:t>
    </w:r>
    <w:r>
      <w:rPr>
        <w:sz w:val="16"/>
        <w:szCs w:val="16"/>
      </w:rPr>
      <w:t xml:space="preserve">	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AnswerRank — Technical Requirements Document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Confidential |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2026-06-19T02:13:41.598Z</dcterms:created>
  <dcterms:modified xsi:type="dcterms:W3CDTF">2026-06-19T02:13:41.609Z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