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6394" w14:textId="77777777" w:rsidR="000D53A5" w:rsidRDefault="000D53A5">
      <w:pPr>
        <w:spacing w:before="480"/>
      </w:pPr>
    </w:p>
    <w:p w14:paraId="3CDEE488" w14:textId="77777777" w:rsidR="000D53A5" w:rsidRDefault="002A77BC">
      <w:pPr>
        <w:spacing w:after="60"/>
        <w:jc w:val="center"/>
      </w:pPr>
      <w:r>
        <w:rPr>
          <w:b/>
          <w:color w:val="46505F"/>
          <w:sz w:val="26"/>
        </w:rPr>
        <w:t>ACADEMIC CASE STUDY &amp; SURVEY REPORT</w:t>
      </w:r>
    </w:p>
    <w:p w14:paraId="4DF1FEFC" w14:textId="77777777" w:rsidR="000D53A5" w:rsidRDefault="002A77BC">
      <w:pPr>
        <w:spacing w:after="400"/>
        <w:jc w:val="center"/>
      </w:pPr>
      <w:r>
        <w:rPr>
          <w:color w:val="646E7D"/>
          <w:sz w:val="21"/>
        </w:rPr>
        <w:t>DEPARTMENT OF COMPUTER SCIENCE AND ENGINEERING / ARTIFICIAL INTELLIGENCE</w:t>
      </w:r>
    </w:p>
    <w:p w14:paraId="57CFF19F" w14:textId="77777777" w:rsidR="000D53A5" w:rsidRDefault="002A77BC">
      <w:pPr>
        <w:spacing w:before="280" w:line="300" w:lineRule="auto"/>
        <w:jc w:val="center"/>
      </w:pPr>
      <w:r>
        <w:rPr>
          <w:b/>
          <w:color w:val="0F1E46"/>
          <w:sz w:val="34"/>
        </w:rPr>
        <w:t>THREE-CLASS COVID-19 CLASSIFICATION USING CONVOLUTIONAL NEURAL NETWORKS ON CHEST CT SCAN IMAGES</w:t>
      </w:r>
    </w:p>
    <w:p w14:paraId="5F754610" w14:textId="77777777" w:rsidR="000D53A5" w:rsidRDefault="002A77BC">
      <w:pPr>
        <w:spacing w:after="480" w:line="288" w:lineRule="auto"/>
        <w:jc w:val="center"/>
      </w:pPr>
      <w:r>
        <w:rPr>
          <w:i/>
          <w:color w:val="3C4B64"/>
        </w:rPr>
        <w:t>A Comprehensive Survey of Deep Learning Architectures, Non-Informative Slice Filtering, and Empirical Validation on Benchmark CT Datasets</w:t>
      </w:r>
    </w:p>
    <w:tbl>
      <w:tblPr>
        <w:tblW w:w="0" w:type="auto"/>
        <w:jc w:val="center"/>
        <w:tblLook w:val="04A0" w:firstRow="1" w:lastRow="0" w:firstColumn="1" w:lastColumn="0" w:noHBand="0" w:noVBand="1"/>
      </w:tblPr>
      <w:tblGrid>
        <w:gridCol w:w="9029"/>
      </w:tblGrid>
      <w:tr w:rsidR="000D53A5" w14:paraId="781E8B0E" w14:textId="77777777">
        <w:trPr>
          <w:jc w:val="center"/>
        </w:trPr>
        <w:tc>
          <w:tcPr>
            <w:tcW w:w="9029" w:type="dxa"/>
            <w:shd w:val="clear" w:color="auto" w:fill="1A365D"/>
          </w:tcPr>
          <w:p w14:paraId="310DC3D5" w14:textId="77777777" w:rsidR="000D53A5" w:rsidRDefault="000D53A5">
            <w:pPr>
              <w:spacing w:before="20" w:after="20"/>
            </w:pPr>
          </w:p>
        </w:tc>
      </w:tr>
    </w:tbl>
    <w:p w14:paraId="46C99FA2" w14:textId="77777777" w:rsidR="000D53A5" w:rsidRDefault="000D53A5">
      <w:pPr>
        <w:spacing w:before="480"/>
      </w:pPr>
    </w:p>
    <w:tbl>
      <w:tblPr>
        <w:tblW w:w="0" w:type="auto"/>
        <w:jc w:val="center"/>
        <w:tblLayout w:type="fixed"/>
        <w:tblLook w:val="04A0" w:firstRow="1" w:lastRow="0" w:firstColumn="1" w:lastColumn="0" w:noHBand="0" w:noVBand="1"/>
      </w:tblPr>
      <w:tblGrid>
        <w:gridCol w:w="4514"/>
        <w:gridCol w:w="4514"/>
      </w:tblGrid>
      <w:tr w:rsidR="000D53A5" w14:paraId="659222CE" w14:textId="77777777">
        <w:trPr>
          <w:jc w:val="center"/>
        </w:trPr>
        <w:tc>
          <w:tcPr>
            <w:tcW w:w="4514" w:type="dxa"/>
            <w:shd w:val="clear" w:color="auto" w:fill="E2E8F0"/>
            <w:tcMar>
              <w:top w:w="80" w:type="dxa"/>
              <w:left w:w="100" w:type="dxa"/>
              <w:bottom w:w="80" w:type="dxa"/>
              <w:right w:w="100" w:type="dxa"/>
            </w:tcMar>
          </w:tcPr>
          <w:p w14:paraId="3FFDD3F5" w14:textId="77777777" w:rsidR="000D53A5" w:rsidRDefault="002A77BC">
            <w:r>
              <w:rPr>
                <w:b/>
                <w:sz w:val="20"/>
              </w:rPr>
              <w:t>SUBMITTED BY (STUDENT BATCH):</w:t>
            </w:r>
          </w:p>
        </w:tc>
        <w:tc>
          <w:tcPr>
            <w:tcW w:w="4514" w:type="dxa"/>
            <w:shd w:val="clear" w:color="auto" w:fill="E2E8F0"/>
            <w:tcMar>
              <w:top w:w="80" w:type="dxa"/>
              <w:left w:w="100" w:type="dxa"/>
              <w:bottom w:w="80" w:type="dxa"/>
              <w:right w:w="100" w:type="dxa"/>
            </w:tcMar>
          </w:tcPr>
          <w:p w14:paraId="07B92A23" w14:textId="77777777" w:rsidR="000D53A5" w:rsidRDefault="002A77BC">
            <w:r>
              <w:rPr>
                <w:b/>
                <w:sz w:val="20"/>
              </w:rPr>
              <w:t>EVALUATION &amp; FACULTY DETAILS:</w:t>
            </w:r>
          </w:p>
        </w:tc>
      </w:tr>
      <w:tr w:rsidR="000D53A5" w14:paraId="5E08D984" w14:textId="77777777">
        <w:trPr>
          <w:jc w:val="center"/>
        </w:trPr>
        <w:tc>
          <w:tcPr>
            <w:tcW w:w="4514" w:type="dxa"/>
            <w:tcMar>
              <w:top w:w="40" w:type="dxa"/>
              <w:left w:w="100" w:type="dxa"/>
              <w:bottom w:w="40" w:type="dxa"/>
              <w:right w:w="100" w:type="dxa"/>
            </w:tcMar>
          </w:tcPr>
          <w:p w14:paraId="324E2B7A" w14:textId="77777777" w:rsidR="000D53A5" w:rsidRDefault="002A77BC">
            <w:r>
              <w:rPr>
                <w:b/>
                <w:sz w:val="19"/>
              </w:rPr>
              <w:t>Student 1: Dudekula Arshad</w:t>
            </w:r>
            <w:r>
              <w:rPr>
                <w:b/>
                <w:sz w:val="19"/>
              </w:rPr>
              <w:br/>
            </w:r>
            <w:r>
              <w:rPr>
                <w:color w:val="5A5A5A"/>
                <w:sz w:val="18"/>
              </w:rPr>
              <w:t>Roll No: [21CS0101]</w:t>
            </w:r>
          </w:p>
        </w:tc>
        <w:tc>
          <w:tcPr>
            <w:tcW w:w="4514" w:type="dxa"/>
            <w:tcMar>
              <w:top w:w="40" w:type="dxa"/>
              <w:left w:w="100" w:type="dxa"/>
              <w:bottom w:w="40" w:type="dxa"/>
              <w:right w:w="100" w:type="dxa"/>
            </w:tcMar>
          </w:tcPr>
          <w:p w14:paraId="7BE6BDB6" w14:textId="77777777" w:rsidR="000D53A5" w:rsidRDefault="002A77BC">
            <w:r>
              <w:rPr>
                <w:sz w:val="19"/>
              </w:rPr>
              <w:t>Course: Machine Learning / ANN Case Study</w:t>
            </w:r>
          </w:p>
        </w:tc>
      </w:tr>
      <w:tr w:rsidR="000D53A5" w14:paraId="0028CD33" w14:textId="77777777">
        <w:trPr>
          <w:jc w:val="center"/>
        </w:trPr>
        <w:tc>
          <w:tcPr>
            <w:tcW w:w="4514" w:type="dxa"/>
            <w:tcMar>
              <w:top w:w="40" w:type="dxa"/>
              <w:left w:w="100" w:type="dxa"/>
              <w:bottom w:w="40" w:type="dxa"/>
              <w:right w:w="100" w:type="dxa"/>
            </w:tcMar>
          </w:tcPr>
          <w:p w14:paraId="148D7419" w14:textId="77777777" w:rsidR="000D53A5" w:rsidRDefault="002A77BC">
            <w:r>
              <w:rPr>
                <w:b/>
                <w:sz w:val="19"/>
              </w:rPr>
              <w:t>Student 2: Team Member 2</w:t>
            </w:r>
            <w:r>
              <w:rPr>
                <w:b/>
                <w:sz w:val="19"/>
              </w:rPr>
              <w:br/>
            </w:r>
            <w:r>
              <w:rPr>
                <w:color w:val="5A5A5A"/>
                <w:sz w:val="18"/>
              </w:rPr>
              <w:t>Roll No: [21CS0102]</w:t>
            </w:r>
          </w:p>
        </w:tc>
        <w:tc>
          <w:tcPr>
            <w:tcW w:w="4514" w:type="dxa"/>
            <w:tcMar>
              <w:top w:w="40" w:type="dxa"/>
              <w:left w:w="100" w:type="dxa"/>
              <w:bottom w:w="40" w:type="dxa"/>
              <w:right w:w="100" w:type="dxa"/>
            </w:tcMar>
          </w:tcPr>
          <w:p w14:paraId="11ABA014" w14:textId="77777777" w:rsidR="000D53A5" w:rsidRDefault="002A77BC">
            <w:r>
              <w:rPr>
                <w:sz w:val="19"/>
              </w:rPr>
              <w:t>Submitted to: [Faculty Name / Evaluator]</w:t>
            </w:r>
          </w:p>
        </w:tc>
      </w:tr>
      <w:tr w:rsidR="000D53A5" w14:paraId="6228A8B1" w14:textId="77777777">
        <w:trPr>
          <w:jc w:val="center"/>
        </w:trPr>
        <w:tc>
          <w:tcPr>
            <w:tcW w:w="4514" w:type="dxa"/>
            <w:tcMar>
              <w:top w:w="40" w:type="dxa"/>
              <w:left w:w="100" w:type="dxa"/>
              <w:bottom w:w="40" w:type="dxa"/>
              <w:right w:w="100" w:type="dxa"/>
            </w:tcMar>
          </w:tcPr>
          <w:p w14:paraId="3854DE44" w14:textId="77777777" w:rsidR="000D53A5" w:rsidRDefault="002A77BC">
            <w:r>
              <w:rPr>
                <w:b/>
                <w:sz w:val="19"/>
              </w:rPr>
              <w:t>Student 3: Team Member 3</w:t>
            </w:r>
            <w:r>
              <w:rPr>
                <w:b/>
                <w:sz w:val="19"/>
              </w:rPr>
              <w:br/>
            </w:r>
            <w:r>
              <w:rPr>
                <w:color w:val="5A5A5A"/>
                <w:sz w:val="18"/>
              </w:rPr>
              <w:t>Roll No: [21CS0103]</w:t>
            </w:r>
          </w:p>
        </w:tc>
        <w:tc>
          <w:tcPr>
            <w:tcW w:w="4514" w:type="dxa"/>
            <w:tcMar>
              <w:top w:w="40" w:type="dxa"/>
              <w:left w:w="100" w:type="dxa"/>
              <w:bottom w:w="40" w:type="dxa"/>
              <w:right w:w="100" w:type="dxa"/>
            </w:tcMar>
          </w:tcPr>
          <w:p w14:paraId="2ADFAE26" w14:textId="77777777" w:rsidR="000D53A5" w:rsidRDefault="002A77BC">
            <w:r>
              <w:rPr>
                <w:sz w:val="19"/>
              </w:rPr>
              <w:t>Designation: Assistant / Associate Professor</w:t>
            </w:r>
          </w:p>
        </w:tc>
      </w:tr>
      <w:tr w:rsidR="000D53A5" w14:paraId="24FC984E" w14:textId="77777777">
        <w:trPr>
          <w:jc w:val="center"/>
        </w:trPr>
        <w:tc>
          <w:tcPr>
            <w:tcW w:w="4514" w:type="dxa"/>
            <w:tcMar>
              <w:top w:w="40" w:type="dxa"/>
              <w:left w:w="100" w:type="dxa"/>
              <w:bottom w:w="40" w:type="dxa"/>
              <w:right w:w="100" w:type="dxa"/>
            </w:tcMar>
          </w:tcPr>
          <w:p w14:paraId="4CDC73AE" w14:textId="77777777" w:rsidR="000D53A5" w:rsidRDefault="002A77BC">
            <w:r>
              <w:rPr>
                <w:b/>
                <w:sz w:val="19"/>
              </w:rPr>
              <w:t>Student 4: Team Member 4</w:t>
            </w:r>
            <w:r>
              <w:rPr>
                <w:b/>
                <w:sz w:val="19"/>
              </w:rPr>
              <w:br/>
            </w:r>
            <w:r>
              <w:rPr>
                <w:color w:val="5A5A5A"/>
                <w:sz w:val="18"/>
              </w:rPr>
              <w:t>Roll No: [21CS0104]</w:t>
            </w:r>
          </w:p>
        </w:tc>
        <w:tc>
          <w:tcPr>
            <w:tcW w:w="4514" w:type="dxa"/>
            <w:tcMar>
              <w:top w:w="40" w:type="dxa"/>
              <w:left w:w="100" w:type="dxa"/>
              <w:bottom w:w="40" w:type="dxa"/>
              <w:right w:w="100" w:type="dxa"/>
            </w:tcMar>
          </w:tcPr>
          <w:p w14:paraId="404EAAD6" w14:textId="77777777" w:rsidR="000D53A5" w:rsidRDefault="002A77BC">
            <w:r>
              <w:rPr>
                <w:sz w:val="19"/>
              </w:rPr>
              <w:t>Academic Session: 2025–2026</w:t>
            </w:r>
          </w:p>
        </w:tc>
      </w:tr>
      <w:tr w:rsidR="000D53A5" w14:paraId="5BDF0DEC" w14:textId="77777777">
        <w:trPr>
          <w:jc w:val="center"/>
        </w:trPr>
        <w:tc>
          <w:tcPr>
            <w:tcW w:w="4514" w:type="dxa"/>
            <w:tcMar>
              <w:top w:w="40" w:type="dxa"/>
              <w:left w:w="100" w:type="dxa"/>
              <w:bottom w:w="40" w:type="dxa"/>
              <w:right w:w="100" w:type="dxa"/>
            </w:tcMar>
          </w:tcPr>
          <w:p w14:paraId="096BA388" w14:textId="77777777" w:rsidR="000D53A5" w:rsidRDefault="002A77BC">
            <w:r>
              <w:rPr>
                <w:b/>
                <w:sz w:val="19"/>
              </w:rPr>
              <w:t>Student 5: Team Member 5 (Optional)</w:t>
            </w:r>
            <w:r>
              <w:rPr>
                <w:b/>
                <w:sz w:val="19"/>
              </w:rPr>
              <w:br/>
            </w:r>
            <w:r>
              <w:rPr>
                <w:color w:val="5A5A5A"/>
                <w:sz w:val="18"/>
              </w:rPr>
              <w:t>Roll No: [21CS0105]</w:t>
            </w:r>
          </w:p>
        </w:tc>
        <w:tc>
          <w:tcPr>
            <w:tcW w:w="4514" w:type="dxa"/>
            <w:tcMar>
              <w:top w:w="40" w:type="dxa"/>
              <w:left w:w="100" w:type="dxa"/>
              <w:bottom w:w="40" w:type="dxa"/>
              <w:right w:w="100" w:type="dxa"/>
            </w:tcMar>
          </w:tcPr>
          <w:p w14:paraId="016D5EEB" w14:textId="77777777" w:rsidR="000D53A5" w:rsidRDefault="002A77BC">
            <w:r>
              <w:rPr>
                <w:sz w:val="19"/>
              </w:rPr>
              <w:t>Submission Date: October 2026</w:t>
            </w:r>
          </w:p>
        </w:tc>
      </w:tr>
    </w:tbl>
    <w:p w14:paraId="17260B8D" w14:textId="77777777" w:rsidR="000D53A5" w:rsidRDefault="002A77BC">
      <w:r>
        <w:br w:type="page"/>
      </w:r>
    </w:p>
    <w:p w14:paraId="2995E5FC" w14:textId="77777777" w:rsidR="000D53A5" w:rsidRDefault="002A77BC">
      <w:pPr>
        <w:keepNext/>
        <w:spacing w:before="160" w:after="40" w:line="360" w:lineRule="auto"/>
      </w:pPr>
      <w:r>
        <w:rPr>
          <w:b/>
          <w:color w:val="0F1E46"/>
          <w:sz w:val="28"/>
        </w:rPr>
        <w:lastRenderedPageBreak/>
        <w:t>ABSTRACT</w:t>
      </w:r>
    </w:p>
    <w:p w14:paraId="76A4AC24" w14:textId="77777777" w:rsidR="000D53A5" w:rsidRDefault="002A77BC">
      <w:pPr>
        <w:spacing w:after="60" w:line="360" w:lineRule="auto"/>
        <w:jc w:val="both"/>
      </w:pPr>
      <w:r>
        <w:t>The coronavirus disease 2019 (COVID-19) pandemic exposed urgent limitations in molecular diagnostics, notably RT-PCR's turnaround delays and false-negative rates in early infection. Thoracic Computed Tomography (CT) emerged as a vital complementary screening tool, revealing characteristic ground-glass opacities and bilateral consolidations. However, manual radiological examination of multi-slice volumetric CT scans (200–600 slices per patient) induces substantial cognitive fatigue. While automated Convoluti</w:t>
      </w:r>
      <w:r>
        <w:t>onal Neural Networks (CNNs) have shown strong diagnostic potential, most existing benchmarks treat classification as a closed-world binary task (COVID vs. Normal). In real volumetric acquisitions, between 25% and 40% of axial slices are non-informative (capturing neck anatomy, bone structures, diaphragm fringes, or motion blur without evaluable lung parenchyma). When fed into binary classifiers, these uninformative cuts frequently trigger false-positive predictions, undermining clinical safety.</w:t>
      </w:r>
    </w:p>
    <w:p w14:paraId="266CD8BE" w14:textId="77777777" w:rsidR="000D53A5" w:rsidRDefault="002A77BC">
      <w:pPr>
        <w:spacing w:after="60" w:line="360" w:lineRule="auto"/>
        <w:jc w:val="both"/>
      </w:pPr>
      <w:r>
        <w:t>This survey report provides a rigorous comparative review of deep learning methodologies for COVID-19 CT interpretation, contrasting standard transfer learning networks (VGG-16, ResNet-50, DenseNet-121) and segmentation-guided systems against explicit three-class formulations (COVID Positive, Normal, and Non-Informative). We examine preprocessing pipelines, Hounsfield Unit normalization, and data leakage across patient slices. To ground our analysis, we implement an end-to-end lightweight three-block sequen</w:t>
      </w:r>
      <w:r>
        <w:t>tial CNN on the benchmark Kaggle dataset (19,685 preprocessed slices: 4,001 COVID Positive, 9,979 Normal, and 5,705 Non-Informative). Our baseline achieves 87.78% test accuracy, a 0.9492 F1-score on non-informative slices, and 0.8070 on COVID Positive scans with only 4.28 million parameters. These empirical findings validate that explicit categorical modeling of uninformative slices provides a robust, computationally efficient safeguard for laptop-based clinical triage.</w:t>
      </w:r>
    </w:p>
    <w:p w14:paraId="38C3A7A6" w14:textId="77777777" w:rsidR="000D53A5" w:rsidRDefault="002A77BC">
      <w:pPr>
        <w:spacing w:after="60" w:line="360" w:lineRule="auto"/>
        <w:jc w:val="both"/>
      </w:pPr>
      <w:r>
        <w:rPr>
          <w:b/>
          <w:color w:val="141414"/>
        </w:rPr>
        <w:t xml:space="preserve">Keywords: </w:t>
      </w:r>
      <w:r>
        <w:rPr>
          <w:i/>
        </w:rPr>
        <w:t>COVID-19 Detection, Computed Tomography (CT), Convolutional Neural Networks, Non-Informative Slices, Medical Image Processing, Comparative Study, Deep Learning.</w:t>
      </w:r>
    </w:p>
    <w:tbl>
      <w:tblPr>
        <w:tblW w:w="0" w:type="auto"/>
        <w:jc w:val="center"/>
        <w:tblLayout w:type="fixed"/>
        <w:tblLook w:val="04A0" w:firstRow="1" w:lastRow="0" w:firstColumn="1" w:lastColumn="0" w:noHBand="0" w:noVBand="1"/>
      </w:tblPr>
      <w:tblGrid>
        <w:gridCol w:w="9029"/>
      </w:tblGrid>
      <w:tr w:rsidR="000D53A5" w14:paraId="2AF094C9" w14:textId="77777777">
        <w:trPr>
          <w:jc w:val="center"/>
        </w:trPr>
        <w:tc>
          <w:tcPr>
            <w:tcW w:w="9029" w:type="dxa"/>
            <w:tcBorders>
              <w:left w:val="single" w:sz="24" w:space="0" w:color="1A365D"/>
            </w:tcBorders>
            <w:shd w:val="clear" w:color="auto" w:fill="F4F6F9"/>
            <w:tcMar>
              <w:top w:w="80" w:type="dxa"/>
              <w:left w:w="140" w:type="dxa"/>
              <w:bottom w:w="80" w:type="dxa"/>
              <w:right w:w="140" w:type="dxa"/>
            </w:tcMar>
          </w:tcPr>
          <w:p w14:paraId="45034EBD" w14:textId="77777777" w:rsidR="000D53A5" w:rsidRDefault="002A77BC">
            <w:pPr>
              <w:spacing w:before="20" w:after="20" w:line="288" w:lineRule="auto"/>
            </w:pPr>
            <w:r>
              <w:rPr>
                <w:b/>
                <w:color w:val="1A365D"/>
                <w:sz w:val="21"/>
              </w:rPr>
              <w:t>SUBMISSION FORMAT SPECIFICATIONS</w:t>
            </w:r>
            <w:r>
              <w:rPr>
                <w:b/>
                <w:color w:val="1A365D"/>
                <w:sz w:val="21"/>
              </w:rPr>
              <w:br/>
            </w:r>
            <w:r>
              <w:rPr>
                <w:color w:val="2D3748"/>
                <w:sz w:val="20"/>
              </w:rPr>
              <w:t>Academic Submission Guidelines Compliance: This survey report adheres strictly to the required formatting: Times New Roman typography (12pt body text, 14pt bold section headings), 1.5 line spacing, 1-inch margins on all sides, A4 paper sizing, multi-student collaborative authorship, and IEEE citation style bibliography.</w:t>
            </w:r>
          </w:p>
        </w:tc>
      </w:tr>
    </w:tbl>
    <w:p w14:paraId="6A889A9D" w14:textId="77777777" w:rsidR="000D53A5" w:rsidRDefault="002A77BC">
      <w:pPr>
        <w:keepNext/>
        <w:spacing w:before="160" w:after="40" w:line="360" w:lineRule="auto"/>
      </w:pPr>
      <w:r>
        <w:rPr>
          <w:b/>
          <w:color w:val="0F1E46"/>
          <w:sz w:val="28"/>
        </w:rPr>
        <w:lastRenderedPageBreak/>
        <w:t>1. INTRODUCTION</w:t>
      </w:r>
    </w:p>
    <w:p w14:paraId="15A070B3" w14:textId="77777777" w:rsidR="000D53A5" w:rsidRDefault="002A77BC">
      <w:pPr>
        <w:keepNext/>
        <w:spacing w:before="120" w:after="40" w:line="360" w:lineRule="auto"/>
      </w:pPr>
      <w:r>
        <w:rPr>
          <w:b/>
          <w:color w:val="23375F"/>
          <w:sz w:val="26"/>
        </w:rPr>
        <w:t>1.1 Clinical Background &amp; Imaging Modalities</w:t>
      </w:r>
    </w:p>
    <w:p w14:paraId="47103993" w14:textId="77777777" w:rsidR="000D53A5" w:rsidRDefault="002A77BC">
      <w:pPr>
        <w:spacing w:after="60" w:line="360" w:lineRule="auto"/>
        <w:jc w:val="both"/>
      </w:pPr>
      <w:r>
        <w:t>The transmission dynamics of SARS-CoV-2 precipitated an acute healthcare crisis, challenging medical triage systems worldwide. While Reverse Transcription-Polymerase Chain Reaction (RT-PCR) remains the primary diagnostic reference, its clinical sensitivity during early symptomatic onset (days 0–4) often drops to 60%–75% due to inadequate viral shedding or sampling variations [1], [2]. Consequently, high-resolution chest Computed Tomography (CT) became an essential adjunct. Cross-sectional axial CT imaging p</w:t>
      </w:r>
      <w:r>
        <w:t>rovides unobstructed parenchymal visualization, achieving sensitivity exceeding 95% in hospitalized patients [3].</w:t>
      </w:r>
    </w:p>
    <w:p w14:paraId="547D9F3B" w14:textId="77777777" w:rsidR="000D53A5" w:rsidRDefault="002A77BC">
      <w:pPr>
        <w:keepNext/>
        <w:spacing w:before="120" w:after="40" w:line="360" w:lineRule="auto"/>
      </w:pPr>
      <w:r>
        <w:rPr>
          <w:b/>
          <w:color w:val="23375F"/>
          <w:sz w:val="26"/>
        </w:rPr>
        <w:t>1.2 Pathological Manifestations on CT</w:t>
      </w:r>
    </w:p>
    <w:p w14:paraId="72528AAC" w14:textId="77777777" w:rsidR="000D53A5" w:rsidRDefault="002A77BC">
      <w:pPr>
        <w:spacing w:after="60" w:line="360" w:lineRule="auto"/>
        <w:jc w:val="both"/>
      </w:pPr>
      <w:r>
        <w:t>COVID-19 pneumonia displays characteristic radiological signatures that evolve as the disease progresses [4]:</w:t>
      </w:r>
    </w:p>
    <w:p w14:paraId="639EEC6E" w14:textId="77777777" w:rsidR="000D53A5" w:rsidRDefault="002A77BC">
      <w:pPr>
        <w:pStyle w:val="ListBullet"/>
        <w:spacing w:after="40" w:line="360" w:lineRule="auto"/>
        <w:jc w:val="both"/>
      </w:pPr>
      <w:r>
        <w:rPr>
          <w:b/>
          <w:color w:val="141414"/>
        </w:rPr>
        <w:t xml:space="preserve">Ground-Glass Opacities (GGO): </w:t>
      </w:r>
      <w:r>
        <w:t>Hazy parenchymal attenuation with preserved underlying bronchial and vascular structures, typical of early alveolar inflammation.</w:t>
      </w:r>
    </w:p>
    <w:p w14:paraId="62E13337" w14:textId="77777777" w:rsidR="000D53A5" w:rsidRDefault="002A77BC">
      <w:pPr>
        <w:pStyle w:val="ListBullet"/>
        <w:spacing w:after="40" w:line="360" w:lineRule="auto"/>
        <w:jc w:val="both"/>
      </w:pPr>
      <w:r>
        <w:rPr>
          <w:b/>
          <w:color w:val="141414"/>
        </w:rPr>
        <w:t xml:space="preserve">Crazy-Paving Pattern: </w:t>
      </w:r>
      <w:r>
        <w:t>Interlobular and intralobular septal thickening superimposed upon GGO, appearing during peak disease (days 8–12).</w:t>
      </w:r>
    </w:p>
    <w:p w14:paraId="7476BD76" w14:textId="77777777" w:rsidR="000D53A5" w:rsidRDefault="002A77BC">
      <w:pPr>
        <w:pStyle w:val="ListBullet"/>
        <w:spacing w:after="40" w:line="360" w:lineRule="auto"/>
        <w:jc w:val="both"/>
      </w:pPr>
      <w:r>
        <w:rPr>
          <w:b/>
          <w:color w:val="141414"/>
        </w:rPr>
        <w:t xml:space="preserve">Bilateral Consolidations: </w:t>
      </w:r>
      <w:r>
        <w:t>Homogeneous opacities obscuring underlying vessels, indicating dense exudative alveolar filling, prevalent in posterior lower lobes.</w:t>
      </w:r>
    </w:p>
    <w:p w14:paraId="0A4F5B12" w14:textId="77777777" w:rsidR="000D53A5" w:rsidRDefault="002A77BC">
      <w:pPr>
        <w:keepNext/>
        <w:spacing w:before="120" w:after="40" w:line="360" w:lineRule="auto"/>
      </w:pPr>
      <w:r>
        <w:rPr>
          <w:b/>
          <w:color w:val="23375F"/>
          <w:sz w:val="26"/>
        </w:rPr>
        <w:t>1.3 Deep Learning in Medical Imaging: The Shift to CNNs</w:t>
      </w:r>
    </w:p>
    <w:p w14:paraId="2165771D" w14:textId="77777777" w:rsidR="000D53A5" w:rsidRDefault="002A77BC">
      <w:pPr>
        <w:spacing w:after="60" w:line="360" w:lineRule="auto"/>
        <w:jc w:val="both"/>
      </w:pPr>
      <w:r>
        <w:t>Manual inspection of volumetric chest CT series—frequently comprising 300 to 600 contiguous axial slices per patient—imposes severe radiological workloads. Deep learning, specifically Convolutional Neural Networks (CNNs), automated feature extraction by learning hierarchical representations directly from raw pixels: low-level edges in initial layers, textural combinations in intermediate layers, and high-level pathological patterns in deep dense layers [5].</w:t>
      </w:r>
    </w:p>
    <w:p w14:paraId="4C976881" w14:textId="77777777" w:rsidR="000D53A5" w:rsidRDefault="002A77BC">
      <w:pPr>
        <w:keepNext/>
        <w:spacing w:before="120" w:after="40" w:line="360" w:lineRule="auto"/>
      </w:pPr>
      <w:r>
        <w:rPr>
          <w:b/>
          <w:color w:val="23375F"/>
          <w:sz w:val="26"/>
        </w:rPr>
        <w:t>1.4 The Non-Informative / Out-of-Distribution Slice Dilemma</w:t>
      </w:r>
    </w:p>
    <w:p w14:paraId="6790F5F3" w14:textId="77777777" w:rsidR="000D53A5" w:rsidRDefault="002A77BC">
      <w:pPr>
        <w:spacing w:after="60" w:line="360" w:lineRule="auto"/>
        <w:jc w:val="both"/>
      </w:pPr>
      <w:r>
        <w:t xml:space="preserve">A critical limitation in existing literature is the prevalence of non-informative slices. In standard helical chest acquisitions, scans extend from the lower neck through the diaphragm into the upper abdomen. Consequently, 25% to 40% of axial slices capture no lung tissue, depicting only vertebrae, sternum, or scanner air [6]. Binary classifiers (COVID vs. Normal) </w:t>
      </w:r>
      <w:r>
        <w:lastRenderedPageBreak/>
        <w:t>lack the capacity to reject out-of-distribution inputs. Sharp bone edges and soft-tissue boundaries strongly activate convolutional filters, triggering false-positive COVID alarms. Incorporating an explicit 'Non-Informative' class is essential to ensure safe automated triage.</w:t>
      </w:r>
    </w:p>
    <w:p w14:paraId="3F386A5B" w14:textId="77777777" w:rsidR="000D53A5" w:rsidRDefault="002A77BC">
      <w:pPr>
        <w:keepNext/>
        <w:spacing w:before="160" w:after="40" w:line="360" w:lineRule="auto"/>
      </w:pPr>
      <w:r>
        <w:rPr>
          <w:b/>
          <w:color w:val="0F1E46"/>
          <w:sz w:val="28"/>
        </w:rPr>
        <w:t>2. OBJECTIVES OF THE SURVEY</w:t>
      </w:r>
    </w:p>
    <w:p w14:paraId="7255014B" w14:textId="77777777" w:rsidR="000D53A5" w:rsidRDefault="002A77BC">
      <w:pPr>
        <w:spacing w:after="60" w:line="360" w:lineRule="auto"/>
        <w:jc w:val="both"/>
      </w:pPr>
      <w:r>
        <w:t>This case study and survey paper conducts a comprehensive academic and empirical evaluation of deep learning methods for COVID-19 CT scan classification. The principal objectives of this investigation are defined as follows:</w:t>
      </w:r>
    </w:p>
    <w:p w14:paraId="421F8B17" w14:textId="77777777" w:rsidR="000D53A5" w:rsidRDefault="002A77BC">
      <w:pPr>
        <w:pStyle w:val="ListBullet"/>
        <w:spacing w:after="40" w:line="360" w:lineRule="auto"/>
        <w:jc w:val="both"/>
      </w:pPr>
      <w:r>
        <w:rPr>
          <w:b/>
          <w:color w:val="141414"/>
        </w:rPr>
        <w:t xml:space="preserve">Architectural Review: </w:t>
      </w:r>
      <w:r>
        <w:t>Systematically review deep learning architectures applied to thoracic CT imaging, including transfer learning, custom medical CNNs, segmentation pipelines, and vision transformers.</w:t>
      </w:r>
    </w:p>
    <w:p w14:paraId="4F27BA1C" w14:textId="77777777" w:rsidR="000D53A5" w:rsidRDefault="002A77BC">
      <w:pPr>
        <w:pStyle w:val="ListBullet"/>
        <w:spacing w:after="40" w:line="360" w:lineRule="auto"/>
        <w:jc w:val="both"/>
      </w:pPr>
      <w:r>
        <w:rPr>
          <w:b/>
          <w:color w:val="141414"/>
        </w:rPr>
        <w:t xml:space="preserve">Formulation Analysis: </w:t>
      </w:r>
      <w:r>
        <w:t>Contrast binary classification assumptions against realistic three-class formulations incorporating non-informative slice filtering.</w:t>
      </w:r>
    </w:p>
    <w:p w14:paraId="421BAC53" w14:textId="77777777" w:rsidR="000D53A5" w:rsidRDefault="002A77BC">
      <w:pPr>
        <w:pStyle w:val="ListBullet"/>
        <w:spacing w:after="40" w:line="360" w:lineRule="auto"/>
        <w:jc w:val="both"/>
      </w:pPr>
      <w:r>
        <w:rPr>
          <w:b/>
          <w:color w:val="141414"/>
        </w:rPr>
        <w:t xml:space="preserve">Computational Complexity: </w:t>
      </w:r>
      <w:r>
        <w:t>Analyze computational complexity trade-offs between heavy multi-million parameter models and lightweight networks deployable on hospital laptops.</w:t>
      </w:r>
    </w:p>
    <w:p w14:paraId="3AAEB210" w14:textId="77777777" w:rsidR="000D53A5" w:rsidRDefault="002A77BC">
      <w:pPr>
        <w:pStyle w:val="ListBullet"/>
        <w:spacing w:after="40" w:line="360" w:lineRule="auto"/>
        <w:jc w:val="both"/>
      </w:pPr>
      <w:r>
        <w:rPr>
          <w:b/>
          <w:color w:val="141414"/>
        </w:rPr>
        <w:t xml:space="preserve">Methodological Audit: </w:t>
      </w:r>
      <w:r>
        <w:t>Identify methodological pitfalls across published benchmarks, including data leakage across patient slices, windowing discrepancies, and overoptimistic metrics.</w:t>
      </w:r>
    </w:p>
    <w:p w14:paraId="5AF1D558" w14:textId="77777777" w:rsidR="000D53A5" w:rsidRDefault="002A77BC">
      <w:pPr>
        <w:pStyle w:val="ListBullet"/>
        <w:spacing w:after="40" w:line="360" w:lineRule="auto"/>
        <w:jc w:val="both"/>
      </w:pPr>
      <w:r>
        <w:rPr>
          <w:b/>
          <w:color w:val="141414"/>
        </w:rPr>
        <w:t xml:space="preserve">Empirical Validation: </w:t>
      </w:r>
      <w:r>
        <w:t>Implement, train, and empirically evaluate a reproducible three-class CNN baseline on a large-scale public CT dataset to validate theoretical findings.</w:t>
      </w:r>
    </w:p>
    <w:p w14:paraId="0A928064" w14:textId="77777777" w:rsidR="000D53A5" w:rsidRDefault="002A77BC">
      <w:pPr>
        <w:keepNext/>
        <w:spacing w:before="160" w:after="40" w:line="360" w:lineRule="auto"/>
      </w:pPr>
      <w:r>
        <w:rPr>
          <w:b/>
          <w:color w:val="0F1E46"/>
          <w:sz w:val="28"/>
        </w:rPr>
        <w:t>3. LITERATURE REVIEW</w:t>
      </w:r>
    </w:p>
    <w:p w14:paraId="315433A0" w14:textId="77777777" w:rsidR="000D53A5" w:rsidRDefault="002A77BC">
      <w:pPr>
        <w:keepNext/>
        <w:spacing w:before="120" w:after="40" w:line="360" w:lineRule="auto"/>
      </w:pPr>
      <w:r>
        <w:rPr>
          <w:b/>
          <w:color w:val="23375F"/>
          <w:sz w:val="26"/>
        </w:rPr>
        <w:t>3.1 Pre-trained Transfer Learning Models</w:t>
      </w:r>
    </w:p>
    <w:p w14:paraId="064D5CEA" w14:textId="77777777" w:rsidR="000D53A5" w:rsidRDefault="002A77BC">
      <w:pPr>
        <w:spacing w:after="60" w:line="360" w:lineRule="auto"/>
        <w:jc w:val="both"/>
      </w:pPr>
      <w:r>
        <w:t>Due to early scarcity of annotated medical imaging, researchers heavily utilized transfer learning pre-trained on ImageNet. Apostolopoulos and Mpesiana [7] demonstrated that fine-tuning VGG-19 and MobileNetV2 achieved reported accuracies above 98%. However, VGG models contain over 138 million parameters, introducing high memory overhead and substantial overfitting risk. He et al. [8] developed the COVID-CT benchmark, benchmarking ResNet-50 and DenseNet-121. DenseNet's dense connectivity achieved an F1-score</w:t>
      </w:r>
      <w:r>
        <w:t xml:space="preserve"> of 0.85 by reusing features across layers. Ardakani et al. [9] evaluated 10 CNN variants on 1,020 CT slices, finding ResNet-102 and Xception yielded top AUC scores of 0.994. Nevertheless, these studies relied exclusively on curated slices, omitting uninformative cuts.</w:t>
      </w:r>
    </w:p>
    <w:p w14:paraId="60F2440A" w14:textId="77777777" w:rsidR="000D53A5" w:rsidRDefault="002A77BC">
      <w:pPr>
        <w:keepNext/>
        <w:spacing w:before="120" w:after="40" w:line="360" w:lineRule="auto"/>
      </w:pPr>
      <w:r>
        <w:rPr>
          <w:b/>
          <w:color w:val="23375F"/>
          <w:sz w:val="26"/>
        </w:rPr>
        <w:lastRenderedPageBreak/>
        <w:t>3.2 Custom Architectures and Segmentation-First Pipelines</w:t>
      </w:r>
    </w:p>
    <w:p w14:paraId="492914F7" w14:textId="77777777" w:rsidR="000D53A5" w:rsidRDefault="002A77BC">
      <w:pPr>
        <w:spacing w:after="60" w:line="360" w:lineRule="auto"/>
        <w:jc w:val="both"/>
      </w:pPr>
      <w:r>
        <w:t>Wang et al. [10] developed COVID-Net, synthesizing projection-expansion-projection (PEPX) units that reduced parameter redundancy. Ozturk et al. [11] adapted DarkNet-19 into DarkCovidNet, achieving 98.08% binary and 87.02% multi-class accuracy. Parallelly, segmentation-first approaches emerged: Shan et al. [12] used 3D VB-Net to segment infected lung tissue, reducing contouring time from 30 minutes to 5 minutes. While segmentation masks eliminate extra-pulmonary bone artifacts, 3D volumetric segmentation re</w:t>
      </w:r>
      <w:r>
        <w:t>quires high-end workstation GPUs (24+ GB VRAM), limiting bedside clinical adoption.</w:t>
      </w:r>
    </w:p>
    <w:p w14:paraId="48161FB2" w14:textId="77777777" w:rsidR="000D53A5" w:rsidRDefault="002A77BC">
      <w:pPr>
        <w:keepNext/>
        <w:spacing w:before="120" w:after="40" w:line="360" w:lineRule="auto"/>
      </w:pPr>
      <w:r>
        <w:rPr>
          <w:b/>
          <w:color w:val="23375F"/>
          <w:sz w:val="26"/>
        </w:rPr>
        <w:t>3.3 Non-Informative Slice Filtering and Emerging Transformers</w:t>
      </w:r>
    </w:p>
    <w:p w14:paraId="13CAD2F2" w14:textId="77777777" w:rsidR="000D53A5" w:rsidRDefault="002A77BC">
      <w:pPr>
        <w:spacing w:after="60" w:line="360" w:lineRule="auto"/>
        <w:jc w:val="both"/>
      </w:pPr>
      <w:r>
        <w:t>Ning et al. [13] conducted a multi-center study of 1,521 patients, demonstrating that uncurated CT scans inevitably contain hundreds of non-informative slices (NiCT). Without slice filtering, false-positive rates increased by up to 38%. Aziz et al. [14] introduced UncertaintyFuseNet on the public Kaggle CT dataset, formally partitioning slices into Positive CT (pCT), Negative CT (nCT), and Non-Informative CT (NiCT). Recently, Vision Transformers (ViT) [15] and Swin Transformers [16] have demonstrated superi</w:t>
      </w:r>
      <w:r>
        <w:t>or global context modeling for diffuse opacities. However, transformers lack convolutional inductive biases, requiring massive pre-training and heavy compute, making lightweight CNNs the preferred choice for edge deployment.</w:t>
      </w:r>
    </w:p>
    <w:p w14:paraId="670B5B3D" w14:textId="77777777" w:rsidR="000D53A5" w:rsidRDefault="002A77BC">
      <w:pPr>
        <w:spacing w:before="120" w:after="40"/>
      </w:pPr>
      <w:r>
        <w:rPr>
          <w:b/>
          <w:sz w:val="20"/>
        </w:rPr>
        <w:t>Table 1: Landmark Deep Learning Studies in COVID-19 CT Interpretation</w:t>
      </w:r>
    </w:p>
    <w:tbl>
      <w:tblPr>
        <w:tblW w:w="0" w:type="auto"/>
        <w:jc w:val="center"/>
        <w:tblLayout w:type="fixed"/>
        <w:tblLook w:val="04A0" w:firstRow="1" w:lastRow="0" w:firstColumn="1" w:lastColumn="0" w:noHBand="0" w:noVBand="1"/>
      </w:tblPr>
      <w:tblGrid>
        <w:gridCol w:w="1584"/>
        <w:gridCol w:w="1440"/>
        <w:gridCol w:w="1584"/>
        <w:gridCol w:w="1440"/>
        <w:gridCol w:w="1296"/>
        <w:gridCol w:w="1685"/>
      </w:tblGrid>
      <w:tr w:rsidR="000D53A5" w14:paraId="252D5107" w14:textId="77777777">
        <w:trPr>
          <w:jc w:val="center"/>
        </w:trPr>
        <w:tc>
          <w:tcPr>
            <w:tcW w:w="1584" w:type="dxa"/>
            <w:shd w:val="clear" w:color="auto" w:fill="1A365D"/>
            <w:tcMar>
              <w:top w:w="60" w:type="dxa"/>
              <w:left w:w="60" w:type="dxa"/>
              <w:bottom w:w="60" w:type="dxa"/>
              <w:right w:w="60" w:type="dxa"/>
            </w:tcMar>
          </w:tcPr>
          <w:p w14:paraId="39B81E62" w14:textId="77777777" w:rsidR="000D53A5" w:rsidRDefault="002A77BC">
            <w:r>
              <w:rPr>
                <w:b/>
                <w:color w:val="FFFFFF"/>
                <w:sz w:val="18"/>
              </w:rPr>
              <w:t>Study &amp; Year</w:t>
            </w:r>
          </w:p>
        </w:tc>
        <w:tc>
          <w:tcPr>
            <w:tcW w:w="1440" w:type="dxa"/>
            <w:shd w:val="clear" w:color="auto" w:fill="1A365D"/>
            <w:tcMar>
              <w:top w:w="60" w:type="dxa"/>
              <w:left w:w="60" w:type="dxa"/>
              <w:bottom w:w="60" w:type="dxa"/>
              <w:right w:w="60" w:type="dxa"/>
            </w:tcMar>
          </w:tcPr>
          <w:p w14:paraId="67726CAB" w14:textId="77777777" w:rsidR="000D53A5" w:rsidRDefault="002A77BC">
            <w:r>
              <w:rPr>
                <w:b/>
                <w:color w:val="FFFFFF"/>
                <w:sz w:val="18"/>
              </w:rPr>
              <w:t>Architecture</w:t>
            </w:r>
          </w:p>
        </w:tc>
        <w:tc>
          <w:tcPr>
            <w:tcW w:w="1584" w:type="dxa"/>
            <w:shd w:val="clear" w:color="auto" w:fill="1A365D"/>
            <w:tcMar>
              <w:top w:w="60" w:type="dxa"/>
              <w:left w:w="60" w:type="dxa"/>
              <w:bottom w:w="60" w:type="dxa"/>
              <w:right w:w="60" w:type="dxa"/>
            </w:tcMar>
          </w:tcPr>
          <w:p w14:paraId="2BBFB882" w14:textId="77777777" w:rsidR="000D53A5" w:rsidRDefault="002A77BC">
            <w:r>
              <w:rPr>
                <w:b/>
                <w:color w:val="FFFFFF"/>
                <w:sz w:val="18"/>
              </w:rPr>
              <w:t>Dataset Size</w:t>
            </w:r>
          </w:p>
        </w:tc>
        <w:tc>
          <w:tcPr>
            <w:tcW w:w="1440" w:type="dxa"/>
            <w:shd w:val="clear" w:color="auto" w:fill="1A365D"/>
            <w:tcMar>
              <w:top w:w="60" w:type="dxa"/>
              <w:left w:w="60" w:type="dxa"/>
              <w:bottom w:w="60" w:type="dxa"/>
              <w:right w:w="60" w:type="dxa"/>
            </w:tcMar>
          </w:tcPr>
          <w:p w14:paraId="75162BA4" w14:textId="77777777" w:rsidR="000D53A5" w:rsidRDefault="002A77BC">
            <w:r>
              <w:rPr>
                <w:b/>
                <w:color w:val="FFFFFF"/>
                <w:sz w:val="18"/>
              </w:rPr>
              <w:t>Classes</w:t>
            </w:r>
          </w:p>
        </w:tc>
        <w:tc>
          <w:tcPr>
            <w:tcW w:w="1296" w:type="dxa"/>
            <w:shd w:val="clear" w:color="auto" w:fill="1A365D"/>
            <w:tcMar>
              <w:top w:w="60" w:type="dxa"/>
              <w:left w:w="60" w:type="dxa"/>
              <w:bottom w:w="60" w:type="dxa"/>
              <w:right w:w="60" w:type="dxa"/>
            </w:tcMar>
          </w:tcPr>
          <w:p w14:paraId="6E95194D" w14:textId="77777777" w:rsidR="000D53A5" w:rsidRDefault="002A77BC">
            <w:r>
              <w:rPr>
                <w:b/>
                <w:color w:val="FFFFFF"/>
                <w:sz w:val="18"/>
              </w:rPr>
              <w:t>Reported Metric</w:t>
            </w:r>
          </w:p>
        </w:tc>
        <w:tc>
          <w:tcPr>
            <w:tcW w:w="1685" w:type="dxa"/>
            <w:shd w:val="clear" w:color="auto" w:fill="1A365D"/>
            <w:tcMar>
              <w:top w:w="60" w:type="dxa"/>
              <w:left w:w="60" w:type="dxa"/>
              <w:bottom w:w="60" w:type="dxa"/>
              <w:right w:w="60" w:type="dxa"/>
            </w:tcMar>
          </w:tcPr>
          <w:p w14:paraId="68F8A05F" w14:textId="77777777" w:rsidR="000D53A5" w:rsidRDefault="002A77BC">
            <w:r>
              <w:rPr>
                <w:b/>
                <w:color w:val="FFFFFF"/>
                <w:sz w:val="18"/>
              </w:rPr>
              <w:t>Key Limitation</w:t>
            </w:r>
          </w:p>
        </w:tc>
      </w:tr>
      <w:tr w:rsidR="000D53A5" w14:paraId="417E4B74" w14:textId="77777777">
        <w:trPr>
          <w:jc w:val="center"/>
        </w:trPr>
        <w:tc>
          <w:tcPr>
            <w:tcW w:w="1584" w:type="dxa"/>
            <w:shd w:val="clear" w:color="auto" w:fill="FFFFFF"/>
            <w:tcMar>
              <w:top w:w="40" w:type="dxa"/>
              <w:left w:w="50" w:type="dxa"/>
              <w:bottom w:w="40" w:type="dxa"/>
              <w:right w:w="50" w:type="dxa"/>
            </w:tcMar>
          </w:tcPr>
          <w:p w14:paraId="568A3E53" w14:textId="77777777" w:rsidR="000D53A5" w:rsidRDefault="002A77BC">
            <w:r>
              <w:rPr>
                <w:sz w:val="17"/>
              </w:rPr>
              <w:t>Apostolopoulos [7]</w:t>
            </w:r>
          </w:p>
        </w:tc>
        <w:tc>
          <w:tcPr>
            <w:tcW w:w="1440" w:type="dxa"/>
            <w:shd w:val="clear" w:color="auto" w:fill="FFFFFF"/>
            <w:tcMar>
              <w:top w:w="40" w:type="dxa"/>
              <w:left w:w="50" w:type="dxa"/>
              <w:bottom w:w="40" w:type="dxa"/>
              <w:right w:w="50" w:type="dxa"/>
            </w:tcMar>
          </w:tcPr>
          <w:p w14:paraId="1085EC9E" w14:textId="77777777" w:rsidR="000D53A5" w:rsidRDefault="002A77BC">
            <w:r>
              <w:rPr>
                <w:sz w:val="17"/>
              </w:rPr>
              <w:t>VGG-19 / MobileNet</w:t>
            </w:r>
          </w:p>
        </w:tc>
        <w:tc>
          <w:tcPr>
            <w:tcW w:w="1584" w:type="dxa"/>
            <w:shd w:val="clear" w:color="auto" w:fill="FFFFFF"/>
            <w:tcMar>
              <w:top w:w="40" w:type="dxa"/>
              <w:left w:w="50" w:type="dxa"/>
              <w:bottom w:w="40" w:type="dxa"/>
              <w:right w:w="50" w:type="dxa"/>
            </w:tcMar>
          </w:tcPr>
          <w:p w14:paraId="7CD3238A" w14:textId="77777777" w:rsidR="000D53A5" w:rsidRDefault="002A77BC">
            <w:r>
              <w:rPr>
                <w:sz w:val="17"/>
              </w:rPr>
              <w:t>1,427 images</w:t>
            </w:r>
          </w:p>
        </w:tc>
        <w:tc>
          <w:tcPr>
            <w:tcW w:w="1440" w:type="dxa"/>
            <w:shd w:val="clear" w:color="auto" w:fill="FFFFFF"/>
            <w:tcMar>
              <w:top w:w="40" w:type="dxa"/>
              <w:left w:w="50" w:type="dxa"/>
              <w:bottom w:w="40" w:type="dxa"/>
              <w:right w:w="50" w:type="dxa"/>
            </w:tcMar>
          </w:tcPr>
          <w:p w14:paraId="4B076389" w14:textId="77777777" w:rsidR="000D53A5" w:rsidRDefault="002A77BC">
            <w:r>
              <w:rPr>
                <w:sz w:val="17"/>
              </w:rPr>
              <w:t>2 (COVID/Normal)</w:t>
            </w:r>
          </w:p>
        </w:tc>
        <w:tc>
          <w:tcPr>
            <w:tcW w:w="1296" w:type="dxa"/>
            <w:shd w:val="clear" w:color="auto" w:fill="FFFFFF"/>
            <w:tcMar>
              <w:top w:w="40" w:type="dxa"/>
              <w:left w:w="50" w:type="dxa"/>
              <w:bottom w:w="40" w:type="dxa"/>
              <w:right w:w="50" w:type="dxa"/>
            </w:tcMar>
          </w:tcPr>
          <w:p w14:paraId="75826917" w14:textId="77777777" w:rsidR="000D53A5" w:rsidRDefault="002A77BC">
            <w:r>
              <w:rPr>
                <w:sz w:val="17"/>
              </w:rPr>
              <w:t>Acc: 98.66%</w:t>
            </w:r>
          </w:p>
        </w:tc>
        <w:tc>
          <w:tcPr>
            <w:tcW w:w="1685" w:type="dxa"/>
            <w:shd w:val="clear" w:color="auto" w:fill="FFFFFF"/>
            <w:tcMar>
              <w:top w:w="40" w:type="dxa"/>
              <w:left w:w="50" w:type="dxa"/>
              <w:bottom w:w="40" w:type="dxa"/>
              <w:right w:w="50" w:type="dxa"/>
            </w:tcMar>
          </w:tcPr>
          <w:p w14:paraId="27068DE5" w14:textId="77777777" w:rsidR="000D53A5" w:rsidRDefault="002A77BC">
            <w:r>
              <w:rPr>
                <w:sz w:val="17"/>
              </w:rPr>
              <w:t>Small cohort, overfitting risk.</w:t>
            </w:r>
          </w:p>
        </w:tc>
      </w:tr>
      <w:tr w:rsidR="000D53A5" w14:paraId="485DB52D" w14:textId="77777777">
        <w:trPr>
          <w:jc w:val="center"/>
        </w:trPr>
        <w:tc>
          <w:tcPr>
            <w:tcW w:w="1584" w:type="dxa"/>
            <w:shd w:val="clear" w:color="auto" w:fill="F7FAFC"/>
            <w:tcMar>
              <w:top w:w="40" w:type="dxa"/>
              <w:left w:w="50" w:type="dxa"/>
              <w:bottom w:w="40" w:type="dxa"/>
              <w:right w:w="50" w:type="dxa"/>
            </w:tcMar>
          </w:tcPr>
          <w:p w14:paraId="25218300" w14:textId="77777777" w:rsidR="000D53A5" w:rsidRDefault="002A77BC">
            <w:r>
              <w:rPr>
                <w:sz w:val="17"/>
              </w:rPr>
              <w:t>He et al. [8]</w:t>
            </w:r>
          </w:p>
        </w:tc>
        <w:tc>
          <w:tcPr>
            <w:tcW w:w="1440" w:type="dxa"/>
            <w:shd w:val="clear" w:color="auto" w:fill="F7FAFC"/>
            <w:tcMar>
              <w:top w:w="40" w:type="dxa"/>
              <w:left w:w="50" w:type="dxa"/>
              <w:bottom w:w="40" w:type="dxa"/>
              <w:right w:w="50" w:type="dxa"/>
            </w:tcMar>
          </w:tcPr>
          <w:p w14:paraId="11AB5305" w14:textId="77777777" w:rsidR="000D53A5" w:rsidRDefault="002A77BC">
            <w:r>
              <w:rPr>
                <w:sz w:val="17"/>
              </w:rPr>
              <w:t>ResNet-50 / DenseNet</w:t>
            </w:r>
          </w:p>
        </w:tc>
        <w:tc>
          <w:tcPr>
            <w:tcW w:w="1584" w:type="dxa"/>
            <w:shd w:val="clear" w:color="auto" w:fill="F7FAFC"/>
            <w:tcMar>
              <w:top w:w="40" w:type="dxa"/>
              <w:left w:w="50" w:type="dxa"/>
              <w:bottom w:w="40" w:type="dxa"/>
              <w:right w:w="50" w:type="dxa"/>
            </w:tcMar>
          </w:tcPr>
          <w:p w14:paraId="749CAD3F" w14:textId="77777777" w:rsidR="000D53A5" w:rsidRDefault="002A77BC">
            <w:r>
              <w:rPr>
                <w:sz w:val="17"/>
              </w:rPr>
              <w:t>746 slices</w:t>
            </w:r>
          </w:p>
        </w:tc>
        <w:tc>
          <w:tcPr>
            <w:tcW w:w="1440" w:type="dxa"/>
            <w:shd w:val="clear" w:color="auto" w:fill="F7FAFC"/>
            <w:tcMar>
              <w:top w:w="40" w:type="dxa"/>
              <w:left w:w="50" w:type="dxa"/>
              <w:bottom w:w="40" w:type="dxa"/>
              <w:right w:w="50" w:type="dxa"/>
            </w:tcMar>
          </w:tcPr>
          <w:p w14:paraId="39AF4033" w14:textId="77777777" w:rsidR="000D53A5" w:rsidRDefault="002A77BC">
            <w:r>
              <w:rPr>
                <w:sz w:val="17"/>
              </w:rPr>
              <w:t>2 (COVID/Non-COVID)</w:t>
            </w:r>
          </w:p>
        </w:tc>
        <w:tc>
          <w:tcPr>
            <w:tcW w:w="1296" w:type="dxa"/>
            <w:shd w:val="clear" w:color="auto" w:fill="F7FAFC"/>
            <w:tcMar>
              <w:top w:w="40" w:type="dxa"/>
              <w:left w:w="50" w:type="dxa"/>
              <w:bottom w:w="40" w:type="dxa"/>
              <w:right w:w="50" w:type="dxa"/>
            </w:tcMar>
          </w:tcPr>
          <w:p w14:paraId="133EB72D" w14:textId="77777777" w:rsidR="000D53A5" w:rsidRDefault="002A77BC">
            <w:r>
              <w:rPr>
                <w:sz w:val="17"/>
              </w:rPr>
              <w:t>F1: 0.8500</w:t>
            </w:r>
          </w:p>
        </w:tc>
        <w:tc>
          <w:tcPr>
            <w:tcW w:w="1685" w:type="dxa"/>
            <w:shd w:val="clear" w:color="auto" w:fill="F7FAFC"/>
            <w:tcMar>
              <w:top w:w="40" w:type="dxa"/>
              <w:left w:w="50" w:type="dxa"/>
              <w:bottom w:w="40" w:type="dxa"/>
              <w:right w:w="50" w:type="dxa"/>
            </w:tcMar>
          </w:tcPr>
          <w:p w14:paraId="6805FA3C" w14:textId="77777777" w:rsidR="000D53A5" w:rsidRDefault="002A77BC">
            <w:r>
              <w:rPr>
                <w:sz w:val="17"/>
              </w:rPr>
              <w:t>Image-level split (patient leakage).</w:t>
            </w:r>
          </w:p>
        </w:tc>
      </w:tr>
      <w:tr w:rsidR="000D53A5" w14:paraId="44E66AEF" w14:textId="77777777">
        <w:trPr>
          <w:jc w:val="center"/>
        </w:trPr>
        <w:tc>
          <w:tcPr>
            <w:tcW w:w="1584" w:type="dxa"/>
            <w:shd w:val="clear" w:color="auto" w:fill="FFFFFF"/>
            <w:tcMar>
              <w:top w:w="40" w:type="dxa"/>
              <w:left w:w="50" w:type="dxa"/>
              <w:bottom w:w="40" w:type="dxa"/>
              <w:right w:w="50" w:type="dxa"/>
            </w:tcMar>
          </w:tcPr>
          <w:p w14:paraId="4DFC4FF8" w14:textId="77777777" w:rsidR="000D53A5" w:rsidRDefault="002A77BC">
            <w:r>
              <w:rPr>
                <w:sz w:val="17"/>
              </w:rPr>
              <w:t>Ardakani et al. [9]</w:t>
            </w:r>
          </w:p>
        </w:tc>
        <w:tc>
          <w:tcPr>
            <w:tcW w:w="1440" w:type="dxa"/>
            <w:shd w:val="clear" w:color="auto" w:fill="FFFFFF"/>
            <w:tcMar>
              <w:top w:w="40" w:type="dxa"/>
              <w:left w:w="50" w:type="dxa"/>
              <w:bottom w:w="40" w:type="dxa"/>
              <w:right w:w="50" w:type="dxa"/>
            </w:tcMar>
          </w:tcPr>
          <w:p w14:paraId="6394C804" w14:textId="77777777" w:rsidR="000D53A5" w:rsidRDefault="002A77BC">
            <w:r>
              <w:rPr>
                <w:sz w:val="17"/>
              </w:rPr>
              <w:t>ResNet-102 / Xception</w:t>
            </w:r>
          </w:p>
        </w:tc>
        <w:tc>
          <w:tcPr>
            <w:tcW w:w="1584" w:type="dxa"/>
            <w:shd w:val="clear" w:color="auto" w:fill="FFFFFF"/>
            <w:tcMar>
              <w:top w:w="40" w:type="dxa"/>
              <w:left w:w="50" w:type="dxa"/>
              <w:bottom w:w="40" w:type="dxa"/>
              <w:right w:w="50" w:type="dxa"/>
            </w:tcMar>
          </w:tcPr>
          <w:p w14:paraId="5DCA2302" w14:textId="77777777" w:rsidR="000D53A5" w:rsidRDefault="002A77BC">
            <w:r>
              <w:rPr>
                <w:sz w:val="17"/>
              </w:rPr>
              <w:t>1,020 slices</w:t>
            </w:r>
          </w:p>
        </w:tc>
        <w:tc>
          <w:tcPr>
            <w:tcW w:w="1440" w:type="dxa"/>
            <w:shd w:val="clear" w:color="auto" w:fill="FFFFFF"/>
            <w:tcMar>
              <w:top w:w="40" w:type="dxa"/>
              <w:left w:w="50" w:type="dxa"/>
              <w:bottom w:w="40" w:type="dxa"/>
              <w:right w:w="50" w:type="dxa"/>
            </w:tcMar>
          </w:tcPr>
          <w:p w14:paraId="2EADF099" w14:textId="77777777" w:rsidR="000D53A5" w:rsidRDefault="002A77BC">
            <w:r>
              <w:rPr>
                <w:sz w:val="17"/>
              </w:rPr>
              <w:t>2 (COVID/Non-COVID)</w:t>
            </w:r>
          </w:p>
        </w:tc>
        <w:tc>
          <w:tcPr>
            <w:tcW w:w="1296" w:type="dxa"/>
            <w:shd w:val="clear" w:color="auto" w:fill="FFFFFF"/>
            <w:tcMar>
              <w:top w:w="40" w:type="dxa"/>
              <w:left w:w="50" w:type="dxa"/>
              <w:bottom w:w="40" w:type="dxa"/>
              <w:right w:w="50" w:type="dxa"/>
            </w:tcMar>
          </w:tcPr>
          <w:p w14:paraId="61F3F47F" w14:textId="77777777" w:rsidR="000D53A5" w:rsidRDefault="002A77BC">
            <w:r>
              <w:rPr>
                <w:sz w:val="17"/>
              </w:rPr>
              <w:t>AUC: 0.9940</w:t>
            </w:r>
          </w:p>
        </w:tc>
        <w:tc>
          <w:tcPr>
            <w:tcW w:w="1685" w:type="dxa"/>
            <w:shd w:val="clear" w:color="auto" w:fill="FFFFFF"/>
            <w:tcMar>
              <w:top w:w="40" w:type="dxa"/>
              <w:left w:w="50" w:type="dxa"/>
              <w:bottom w:w="40" w:type="dxa"/>
              <w:right w:w="50" w:type="dxa"/>
            </w:tcMar>
          </w:tcPr>
          <w:p w14:paraId="66F7A0F3" w14:textId="77777777" w:rsidR="000D53A5" w:rsidRDefault="002A77BC">
            <w:r>
              <w:rPr>
                <w:sz w:val="17"/>
              </w:rPr>
              <w:t>Curated slices only; omits bone cuts.</w:t>
            </w:r>
          </w:p>
        </w:tc>
      </w:tr>
      <w:tr w:rsidR="000D53A5" w14:paraId="63BF1A4D" w14:textId="77777777">
        <w:trPr>
          <w:jc w:val="center"/>
        </w:trPr>
        <w:tc>
          <w:tcPr>
            <w:tcW w:w="1584" w:type="dxa"/>
            <w:shd w:val="clear" w:color="auto" w:fill="F7FAFC"/>
            <w:tcMar>
              <w:top w:w="40" w:type="dxa"/>
              <w:left w:w="50" w:type="dxa"/>
              <w:bottom w:w="40" w:type="dxa"/>
              <w:right w:w="50" w:type="dxa"/>
            </w:tcMar>
          </w:tcPr>
          <w:p w14:paraId="56A138CD" w14:textId="77777777" w:rsidR="000D53A5" w:rsidRDefault="002A77BC">
            <w:r>
              <w:rPr>
                <w:sz w:val="17"/>
              </w:rPr>
              <w:t>Wang et al. [10]</w:t>
            </w:r>
          </w:p>
        </w:tc>
        <w:tc>
          <w:tcPr>
            <w:tcW w:w="1440" w:type="dxa"/>
            <w:shd w:val="clear" w:color="auto" w:fill="F7FAFC"/>
            <w:tcMar>
              <w:top w:w="40" w:type="dxa"/>
              <w:left w:w="50" w:type="dxa"/>
              <w:bottom w:w="40" w:type="dxa"/>
              <w:right w:w="50" w:type="dxa"/>
            </w:tcMar>
          </w:tcPr>
          <w:p w14:paraId="020CF27C" w14:textId="77777777" w:rsidR="000D53A5" w:rsidRDefault="002A77BC">
            <w:r>
              <w:rPr>
                <w:sz w:val="17"/>
              </w:rPr>
              <w:t>COVID-Net (Custom)</w:t>
            </w:r>
          </w:p>
        </w:tc>
        <w:tc>
          <w:tcPr>
            <w:tcW w:w="1584" w:type="dxa"/>
            <w:shd w:val="clear" w:color="auto" w:fill="F7FAFC"/>
            <w:tcMar>
              <w:top w:w="40" w:type="dxa"/>
              <w:left w:w="50" w:type="dxa"/>
              <w:bottom w:w="40" w:type="dxa"/>
              <w:right w:w="50" w:type="dxa"/>
            </w:tcMar>
          </w:tcPr>
          <w:p w14:paraId="45BF22A3" w14:textId="77777777" w:rsidR="000D53A5" w:rsidRDefault="002A77BC">
            <w:r>
              <w:rPr>
                <w:sz w:val="17"/>
              </w:rPr>
              <w:t>13,975 images</w:t>
            </w:r>
          </w:p>
        </w:tc>
        <w:tc>
          <w:tcPr>
            <w:tcW w:w="1440" w:type="dxa"/>
            <w:shd w:val="clear" w:color="auto" w:fill="F7FAFC"/>
            <w:tcMar>
              <w:top w:w="40" w:type="dxa"/>
              <w:left w:w="50" w:type="dxa"/>
              <w:bottom w:w="40" w:type="dxa"/>
              <w:right w:w="50" w:type="dxa"/>
            </w:tcMar>
          </w:tcPr>
          <w:p w14:paraId="50A0ABC5" w14:textId="77777777" w:rsidR="000D53A5" w:rsidRDefault="002A77BC">
            <w:r>
              <w:rPr>
                <w:sz w:val="17"/>
              </w:rPr>
              <w:t>3 (COVID/Norm/Pneu)</w:t>
            </w:r>
          </w:p>
        </w:tc>
        <w:tc>
          <w:tcPr>
            <w:tcW w:w="1296" w:type="dxa"/>
            <w:shd w:val="clear" w:color="auto" w:fill="F7FAFC"/>
            <w:tcMar>
              <w:top w:w="40" w:type="dxa"/>
              <w:left w:w="50" w:type="dxa"/>
              <w:bottom w:w="40" w:type="dxa"/>
              <w:right w:w="50" w:type="dxa"/>
            </w:tcMar>
          </w:tcPr>
          <w:p w14:paraId="3EEA8C44" w14:textId="77777777" w:rsidR="000D53A5" w:rsidRDefault="002A77BC">
            <w:r>
              <w:rPr>
                <w:sz w:val="17"/>
              </w:rPr>
              <w:t>Sens: 93.30%</w:t>
            </w:r>
          </w:p>
        </w:tc>
        <w:tc>
          <w:tcPr>
            <w:tcW w:w="1685" w:type="dxa"/>
            <w:shd w:val="clear" w:color="auto" w:fill="F7FAFC"/>
            <w:tcMar>
              <w:top w:w="40" w:type="dxa"/>
              <w:left w:w="50" w:type="dxa"/>
              <w:bottom w:w="40" w:type="dxa"/>
              <w:right w:w="50" w:type="dxa"/>
            </w:tcMar>
          </w:tcPr>
          <w:p w14:paraId="4713F587" w14:textId="77777777" w:rsidR="000D53A5" w:rsidRDefault="002A77BC">
            <w:r>
              <w:rPr>
                <w:sz w:val="17"/>
              </w:rPr>
              <w:t>Chest X-ray focus; no 3D CT modeling.</w:t>
            </w:r>
          </w:p>
        </w:tc>
      </w:tr>
      <w:tr w:rsidR="000D53A5" w14:paraId="4C876557" w14:textId="77777777">
        <w:trPr>
          <w:jc w:val="center"/>
        </w:trPr>
        <w:tc>
          <w:tcPr>
            <w:tcW w:w="1584" w:type="dxa"/>
            <w:shd w:val="clear" w:color="auto" w:fill="FFFFFF"/>
            <w:tcMar>
              <w:top w:w="40" w:type="dxa"/>
              <w:left w:w="50" w:type="dxa"/>
              <w:bottom w:w="40" w:type="dxa"/>
              <w:right w:w="50" w:type="dxa"/>
            </w:tcMar>
          </w:tcPr>
          <w:p w14:paraId="3560E925" w14:textId="77777777" w:rsidR="000D53A5" w:rsidRDefault="002A77BC">
            <w:r>
              <w:rPr>
                <w:sz w:val="17"/>
              </w:rPr>
              <w:t>Shan et al. [12]</w:t>
            </w:r>
          </w:p>
        </w:tc>
        <w:tc>
          <w:tcPr>
            <w:tcW w:w="1440" w:type="dxa"/>
            <w:shd w:val="clear" w:color="auto" w:fill="FFFFFF"/>
            <w:tcMar>
              <w:top w:w="40" w:type="dxa"/>
              <w:left w:w="50" w:type="dxa"/>
              <w:bottom w:w="40" w:type="dxa"/>
              <w:right w:w="50" w:type="dxa"/>
            </w:tcMar>
          </w:tcPr>
          <w:p w14:paraId="61DCFCDE" w14:textId="77777777" w:rsidR="000D53A5" w:rsidRDefault="002A77BC">
            <w:r>
              <w:rPr>
                <w:sz w:val="17"/>
              </w:rPr>
              <w:t>VB-Net (3D CNN)</w:t>
            </w:r>
          </w:p>
        </w:tc>
        <w:tc>
          <w:tcPr>
            <w:tcW w:w="1584" w:type="dxa"/>
            <w:shd w:val="clear" w:color="auto" w:fill="FFFFFF"/>
            <w:tcMar>
              <w:top w:w="40" w:type="dxa"/>
              <w:left w:w="50" w:type="dxa"/>
              <w:bottom w:w="40" w:type="dxa"/>
              <w:right w:w="50" w:type="dxa"/>
            </w:tcMar>
          </w:tcPr>
          <w:p w14:paraId="75DDB4F9" w14:textId="77777777" w:rsidR="000D53A5" w:rsidRDefault="002A77BC">
            <w:r>
              <w:rPr>
                <w:sz w:val="17"/>
              </w:rPr>
              <w:t>549 CT scans</w:t>
            </w:r>
          </w:p>
        </w:tc>
        <w:tc>
          <w:tcPr>
            <w:tcW w:w="1440" w:type="dxa"/>
            <w:shd w:val="clear" w:color="auto" w:fill="FFFFFF"/>
            <w:tcMar>
              <w:top w:w="40" w:type="dxa"/>
              <w:left w:w="50" w:type="dxa"/>
              <w:bottom w:w="40" w:type="dxa"/>
              <w:right w:w="50" w:type="dxa"/>
            </w:tcMar>
          </w:tcPr>
          <w:p w14:paraId="5574BCFA" w14:textId="77777777" w:rsidR="000D53A5" w:rsidRDefault="002A77BC">
            <w:r>
              <w:rPr>
                <w:sz w:val="17"/>
              </w:rPr>
              <w:t>Segmentation</w:t>
            </w:r>
          </w:p>
        </w:tc>
        <w:tc>
          <w:tcPr>
            <w:tcW w:w="1296" w:type="dxa"/>
            <w:shd w:val="clear" w:color="auto" w:fill="FFFFFF"/>
            <w:tcMar>
              <w:top w:w="40" w:type="dxa"/>
              <w:left w:w="50" w:type="dxa"/>
              <w:bottom w:w="40" w:type="dxa"/>
              <w:right w:w="50" w:type="dxa"/>
            </w:tcMar>
          </w:tcPr>
          <w:p w14:paraId="7A829ADC" w14:textId="77777777" w:rsidR="000D53A5" w:rsidRDefault="002A77BC">
            <w:r>
              <w:rPr>
                <w:sz w:val="17"/>
              </w:rPr>
              <w:t>Dice: 91.60%</w:t>
            </w:r>
          </w:p>
        </w:tc>
        <w:tc>
          <w:tcPr>
            <w:tcW w:w="1685" w:type="dxa"/>
            <w:shd w:val="clear" w:color="auto" w:fill="FFFFFF"/>
            <w:tcMar>
              <w:top w:w="40" w:type="dxa"/>
              <w:left w:w="50" w:type="dxa"/>
              <w:bottom w:w="40" w:type="dxa"/>
              <w:right w:w="50" w:type="dxa"/>
            </w:tcMar>
          </w:tcPr>
          <w:p w14:paraId="7F7BD42B" w14:textId="77777777" w:rsidR="000D53A5" w:rsidRDefault="002A77BC">
            <w:r>
              <w:rPr>
                <w:sz w:val="17"/>
              </w:rPr>
              <w:t>Requires intensive 3D GPU hardware.</w:t>
            </w:r>
          </w:p>
        </w:tc>
      </w:tr>
      <w:tr w:rsidR="000D53A5" w14:paraId="1FA3FBF8" w14:textId="77777777">
        <w:trPr>
          <w:jc w:val="center"/>
        </w:trPr>
        <w:tc>
          <w:tcPr>
            <w:tcW w:w="1584" w:type="dxa"/>
            <w:shd w:val="clear" w:color="auto" w:fill="F7FAFC"/>
            <w:tcMar>
              <w:top w:w="40" w:type="dxa"/>
              <w:left w:w="50" w:type="dxa"/>
              <w:bottom w:w="40" w:type="dxa"/>
              <w:right w:w="50" w:type="dxa"/>
            </w:tcMar>
          </w:tcPr>
          <w:p w14:paraId="01478DDB" w14:textId="77777777" w:rsidR="000D53A5" w:rsidRDefault="002A77BC">
            <w:r>
              <w:rPr>
                <w:sz w:val="17"/>
              </w:rPr>
              <w:t>Aziz et al. [14]</w:t>
            </w:r>
          </w:p>
        </w:tc>
        <w:tc>
          <w:tcPr>
            <w:tcW w:w="1440" w:type="dxa"/>
            <w:shd w:val="clear" w:color="auto" w:fill="F7FAFC"/>
            <w:tcMar>
              <w:top w:w="40" w:type="dxa"/>
              <w:left w:w="50" w:type="dxa"/>
              <w:bottom w:w="40" w:type="dxa"/>
              <w:right w:w="50" w:type="dxa"/>
            </w:tcMar>
          </w:tcPr>
          <w:p w14:paraId="3119B678" w14:textId="77777777" w:rsidR="000D53A5" w:rsidRDefault="002A77BC">
            <w:r>
              <w:rPr>
                <w:sz w:val="17"/>
              </w:rPr>
              <w:t>UncertaintyFuseNet</w:t>
            </w:r>
          </w:p>
        </w:tc>
        <w:tc>
          <w:tcPr>
            <w:tcW w:w="1584" w:type="dxa"/>
            <w:shd w:val="clear" w:color="auto" w:fill="F7FAFC"/>
            <w:tcMar>
              <w:top w:w="40" w:type="dxa"/>
              <w:left w:w="50" w:type="dxa"/>
              <w:bottom w:w="40" w:type="dxa"/>
              <w:right w:w="50" w:type="dxa"/>
            </w:tcMar>
          </w:tcPr>
          <w:p w14:paraId="4279DE01" w14:textId="77777777" w:rsidR="000D53A5" w:rsidRDefault="002A77BC">
            <w:r>
              <w:rPr>
                <w:sz w:val="17"/>
              </w:rPr>
              <w:t>19,685 slices</w:t>
            </w:r>
          </w:p>
        </w:tc>
        <w:tc>
          <w:tcPr>
            <w:tcW w:w="1440" w:type="dxa"/>
            <w:shd w:val="clear" w:color="auto" w:fill="F7FAFC"/>
            <w:tcMar>
              <w:top w:w="40" w:type="dxa"/>
              <w:left w:w="50" w:type="dxa"/>
              <w:bottom w:w="40" w:type="dxa"/>
              <w:right w:w="50" w:type="dxa"/>
            </w:tcMar>
          </w:tcPr>
          <w:p w14:paraId="5846AB7C" w14:textId="77777777" w:rsidR="000D53A5" w:rsidRDefault="002A77BC">
            <w:r>
              <w:rPr>
                <w:sz w:val="17"/>
              </w:rPr>
              <w:t>3 (pCT/nCT/NiCT)</w:t>
            </w:r>
          </w:p>
        </w:tc>
        <w:tc>
          <w:tcPr>
            <w:tcW w:w="1296" w:type="dxa"/>
            <w:shd w:val="clear" w:color="auto" w:fill="F7FAFC"/>
            <w:tcMar>
              <w:top w:w="40" w:type="dxa"/>
              <w:left w:w="50" w:type="dxa"/>
              <w:bottom w:w="40" w:type="dxa"/>
              <w:right w:w="50" w:type="dxa"/>
            </w:tcMar>
          </w:tcPr>
          <w:p w14:paraId="2A2D9169" w14:textId="77777777" w:rsidR="000D53A5" w:rsidRDefault="002A77BC">
            <w:r>
              <w:rPr>
                <w:sz w:val="17"/>
              </w:rPr>
              <w:t>Acc: 92.40%</w:t>
            </w:r>
          </w:p>
        </w:tc>
        <w:tc>
          <w:tcPr>
            <w:tcW w:w="1685" w:type="dxa"/>
            <w:shd w:val="clear" w:color="auto" w:fill="F7FAFC"/>
            <w:tcMar>
              <w:top w:w="40" w:type="dxa"/>
              <w:left w:w="50" w:type="dxa"/>
              <w:bottom w:w="40" w:type="dxa"/>
              <w:right w:w="50" w:type="dxa"/>
            </w:tcMar>
          </w:tcPr>
          <w:p w14:paraId="3130290F" w14:textId="77777777" w:rsidR="000D53A5" w:rsidRDefault="002A77BC">
            <w:r>
              <w:rPr>
                <w:sz w:val="17"/>
              </w:rPr>
              <w:t>High feature-fusion latency.</w:t>
            </w:r>
          </w:p>
        </w:tc>
      </w:tr>
    </w:tbl>
    <w:p w14:paraId="71061290" w14:textId="77777777" w:rsidR="000D53A5" w:rsidRDefault="000D53A5">
      <w:pPr>
        <w:spacing w:after="80"/>
      </w:pPr>
    </w:p>
    <w:p w14:paraId="1103045E" w14:textId="77777777" w:rsidR="000D53A5" w:rsidRDefault="002A77BC">
      <w:pPr>
        <w:keepNext/>
        <w:spacing w:before="160" w:after="40" w:line="360" w:lineRule="auto"/>
      </w:pPr>
      <w:r>
        <w:rPr>
          <w:b/>
          <w:color w:val="0F1E46"/>
          <w:sz w:val="28"/>
        </w:rPr>
        <w:lastRenderedPageBreak/>
        <w:t>4. COMPARATIVE ANALYSIS</w:t>
      </w:r>
    </w:p>
    <w:p w14:paraId="3BCB4CE9" w14:textId="77777777" w:rsidR="000D53A5" w:rsidRDefault="002A77BC">
      <w:pPr>
        <w:keepNext/>
        <w:spacing w:before="120" w:after="40" w:line="360" w:lineRule="auto"/>
      </w:pPr>
      <w:r>
        <w:rPr>
          <w:b/>
          <w:color w:val="23375F"/>
          <w:sz w:val="26"/>
        </w:rPr>
        <w:t>4.1 Multi-Dimensional Model Comparison</w:t>
      </w:r>
    </w:p>
    <w:p w14:paraId="01525A6B" w14:textId="77777777" w:rsidR="000D53A5" w:rsidRDefault="002A77BC">
      <w:pPr>
        <w:spacing w:after="60" w:line="360" w:lineRule="auto"/>
        <w:jc w:val="both"/>
      </w:pPr>
      <w:r>
        <w:t>Table 2 systematically compares primary deep learning paradigms across architectural parameters, input resolution, non-informative handling strategy, edge deployability, and clinical vulnerability.</w:t>
      </w:r>
    </w:p>
    <w:p w14:paraId="4F637132" w14:textId="77777777" w:rsidR="000D53A5" w:rsidRDefault="002A77BC">
      <w:pPr>
        <w:spacing w:before="120" w:after="40"/>
      </w:pPr>
      <w:r>
        <w:rPr>
          <w:b/>
          <w:sz w:val="20"/>
        </w:rPr>
        <w:t>Table 2: Comparative Analysis Matrix of Deep Learning Paradigms</w:t>
      </w:r>
    </w:p>
    <w:tbl>
      <w:tblPr>
        <w:tblW w:w="0" w:type="auto"/>
        <w:jc w:val="center"/>
        <w:tblLayout w:type="fixed"/>
        <w:tblLook w:val="04A0" w:firstRow="1" w:lastRow="0" w:firstColumn="1" w:lastColumn="0" w:noHBand="0" w:noVBand="1"/>
      </w:tblPr>
      <w:tblGrid>
        <w:gridCol w:w="1728"/>
        <w:gridCol w:w="1584"/>
        <w:gridCol w:w="1440"/>
        <w:gridCol w:w="1296"/>
        <w:gridCol w:w="1440"/>
        <w:gridCol w:w="1541"/>
      </w:tblGrid>
      <w:tr w:rsidR="000D53A5" w14:paraId="218855E8" w14:textId="77777777">
        <w:trPr>
          <w:jc w:val="center"/>
        </w:trPr>
        <w:tc>
          <w:tcPr>
            <w:tcW w:w="1728" w:type="dxa"/>
            <w:shd w:val="clear" w:color="auto" w:fill="1A365D"/>
            <w:tcMar>
              <w:top w:w="60" w:type="dxa"/>
              <w:left w:w="60" w:type="dxa"/>
              <w:bottom w:w="60" w:type="dxa"/>
              <w:right w:w="60" w:type="dxa"/>
            </w:tcMar>
          </w:tcPr>
          <w:p w14:paraId="34FA5917" w14:textId="77777777" w:rsidR="000D53A5" w:rsidRDefault="002A77BC">
            <w:r>
              <w:rPr>
                <w:b/>
                <w:color w:val="FFFFFF"/>
                <w:sz w:val="18"/>
              </w:rPr>
              <w:t>Paradigm / Model</w:t>
            </w:r>
          </w:p>
        </w:tc>
        <w:tc>
          <w:tcPr>
            <w:tcW w:w="1584" w:type="dxa"/>
            <w:shd w:val="clear" w:color="auto" w:fill="1A365D"/>
            <w:tcMar>
              <w:top w:w="60" w:type="dxa"/>
              <w:left w:w="60" w:type="dxa"/>
              <w:bottom w:w="60" w:type="dxa"/>
              <w:right w:w="60" w:type="dxa"/>
            </w:tcMar>
          </w:tcPr>
          <w:p w14:paraId="0338A911" w14:textId="77777777" w:rsidR="000D53A5" w:rsidRDefault="002A77BC">
            <w:r>
              <w:rPr>
                <w:b/>
                <w:color w:val="FFFFFF"/>
                <w:sz w:val="18"/>
              </w:rPr>
              <w:t>Parameters</w:t>
            </w:r>
          </w:p>
        </w:tc>
        <w:tc>
          <w:tcPr>
            <w:tcW w:w="1440" w:type="dxa"/>
            <w:shd w:val="clear" w:color="auto" w:fill="1A365D"/>
            <w:tcMar>
              <w:top w:w="60" w:type="dxa"/>
              <w:left w:w="60" w:type="dxa"/>
              <w:bottom w:w="60" w:type="dxa"/>
              <w:right w:w="60" w:type="dxa"/>
            </w:tcMar>
          </w:tcPr>
          <w:p w14:paraId="2FBA9F42" w14:textId="77777777" w:rsidR="000D53A5" w:rsidRDefault="002A77BC">
            <w:r>
              <w:rPr>
                <w:b/>
                <w:color w:val="FFFFFF"/>
                <w:sz w:val="18"/>
              </w:rPr>
              <w:t>Resolution</w:t>
            </w:r>
          </w:p>
        </w:tc>
        <w:tc>
          <w:tcPr>
            <w:tcW w:w="1296" w:type="dxa"/>
            <w:shd w:val="clear" w:color="auto" w:fill="1A365D"/>
            <w:tcMar>
              <w:top w:w="60" w:type="dxa"/>
              <w:left w:w="60" w:type="dxa"/>
              <w:bottom w:w="60" w:type="dxa"/>
              <w:right w:w="60" w:type="dxa"/>
            </w:tcMar>
          </w:tcPr>
          <w:p w14:paraId="257C75A8" w14:textId="77777777" w:rsidR="000D53A5" w:rsidRDefault="002A77BC">
            <w:r>
              <w:rPr>
                <w:b/>
                <w:color w:val="FFFFFF"/>
                <w:sz w:val="18"/>
              </w:rPr>
              <w:t>NiCT Handling</w:t>
            </w:r>
          </w:p>
        </w:tc>
        <w:tc>
          <w:tcPr>
            <w:tcW w:w="1440" w:type="dxa"/>
            <w:shd w:val="clear" w:color="auto" w:fill="1A365D"/>
            <w:tcMar>
              <w:top w:w="60" w:type="dxa"/>
              <w:left w:w="60" w:type="dxa"/>
              <w:bottom w:w="60" w:type="dxa"/>
              <w:right w:w="60" w:type="dxa"/>
            </w:tcMar>
          </w:tcPr>
          <w:p w14:paraId="32BA6DDF" w14:textId="77777777" w:rsidR="000D53A5" w:rsidRDefault="002A77BC">
            <w:r>
              <w:rPr>
                <w:b/>
                <w:color w:val="FFFFFF"/>
                <w:sz w:val="18"/>
              </w:rPr>
              <w:t>Edge Deployable</w:t>
            </w:r>
          </w:p>
        </w:tc>
        <w:tc>
          <w:tcPr>
            <w:tcW w:w="1541" w:type="dxa"/>
            <w:shd w:val="clear" w:color="auto" w:fill="1A365D"/>
            <w:tcMar>
              <w:top w:w="60" w:type="dxa"/>
              <w:left w:w="60" w:type="dxa"/>
              <w:bottom w:w="60" w:type="dxa"/>
              <w:right w:w="60" w:type="dxa"/>
            </w:tcMar>
          </w:tcPr>
          <w:p w14:paraId="3515D490" w14:textId="77777777" w:rsidR="000D53A5" w:rsidRDefault="002A77BC">
            <w:r>
              <w:rPr>
                <w:b/>
                <w:color w:val="FFFFFF"/>
                <w:sz w:val="18"/>
              </w:rPr>
              <w:t>Clinical Vulnerability</w:t>
            </w:r>
          </w:p>
        </w:tc>
      </w:tr>
      <w:tr w:rsidR="000D53A5" w14:paraId="01123BE1" w14:textId="77777777">
        <w:trPr>
          <w:jc w:val="center"/>
        </w:trPr>
        <w:tc>
          <w:tcPr>
            <w:tcW w:w="1728" w:type="dxa"/>
            <w:shd w:val="clear" w:color="auto" w:fill="FFFFFF"/>
            <w:tcMar>
              <w:top w:w="40" w:type="dxa"/>
              <w:left w:w="50" w:type="dxa"/>
              <w:bottom w:w="40" w:type="dxa"/>
              <w:right w:w="50" w:type="dxa"/>
            </w:tcMar>
          </w:tcPr>
          <w:p w14:paraId="06546499" w14:textId="77777777" w:rsidR="000D53A5" w:rsidRDefault="002A77BC">
            <w:r>
              <w:rPr>
                <w:sz w:val="17"/>
              </w:rPr>
              <w:t>VGG-16 / 19</w:t>
            </w:r>
          </w:p>
        </w:tc>
        <w:tc>
          <w:tcPr>
            <w:tcW w:w="1584" w:type="dxa"/>
            <w:shd w:val="clear" w:color="auto" w:fill="FFFFFF"/>
            <w:tcMar>
              <w:top w:w="40" w:type="dxa"/>
              <w:left w:w="50" w:type="dxa"/>
              <w:bottom w:w="40" w:type="dxa"/>
              <w:right w:w="50" w:type="dxa"/>
            </w:tcMar>
          </w:tcPr>
          <w:p w14:paraId="6EA407B6" w14:textId="77777777" w:rsidR="000D53A5" w:rsidRDefault="002A77BC">
            <w:r>
              <w:rPr>
                <w:sz w:val="17"/>
              </w:rPr>
              <w:t>~138M</w:t>
            </w:r>
          </w:p>
        </w:tc>
        <w:tc>
          <w:tcPr>
            <w:tcW w:w="1440" w:type="dxa"/>
            <w:shd w:val="clear" w:color="auto" w:fill="FFFFFF"/>
            <w:tcMar>
              <w:top w:w="40" w:type="dxa"/>
              <w:left w:w="50" w:type="dxa"/>
              <w:bottom w:w="40" w:type="dxa"/>
              <w:right w:w="50" w:type="dxa"/>
            </w:tcMar>
          </w:tcPr>
          <w:p w14:paraId="25C8D1EC" w14:textId="77777777" w:rsidR="000D53A5" w:rsidRDefault="002A77BC">
            <w:r>
              <w:rPr>
                <w:sz w:val="17"/>
              </w:rPr>
              <w:t>224 × 224</w:t>
            </w:r>
          </w:p>
        </w:tc>
        <w:tc>
          <w:tcPr>
            <w:tcW w:w="1296" w:type="dxa"/>
            <w:shd w:val="clear" w:color="auto" w:fill="FFFFFF"/>
            <w:tcMar>
              <w:top w:w="40" w:type="dxa"/>
              <w:left w:w="50" w:type="dxa"/>
              <w:bottom w:w="40" w:type="dxa"/>
              <w:right w:w="50" w:type="dxa"/>
            </w:tcMar>
          </w:tcPr>
          <w:p w14:paraId="242A0781" w14:textId="77777777" w:rsidR="000D53A5" w:rsidRDefault="002A77BC">
            <w:r>
              <w:rPr>
                <w:sz w:val="17"/>
              </w:rPr>
              <w:t>None</w:t>
            </w:r>
          </w:p>
        </w:tc>
        <w:tc>
          <w:tcPr>
            <w:tcW w:w="1440" w:type="dxa"/>
            <w:shd w:val="clear" w:color="auto" w:fill="FFFFFF"/>
            <w:tcMar>
              <w:top w:w="40" w:type="dxa"/>
              <w:left w:w="50" w:type="dxa"/>
              <w:bottom w:w="40" w:type="dxa"/>
              <w:right w:w="50" w:type="dxa"/>
            </w:tcMar>
          </w:tcPr>
          <w:p w14:paraId="7B6E9F40" w14:textId="77777777" w:rsidR="000D53A5" w:rsidRDefault="002A77BC">
            <w:r>
              <w:rPr>
                <w:sz w:val="17"/>
              </w:rPr>
              <w:t>No (Heavy VRAM)</w:t>
            </w:r>
          </w:p>
        </w:tc>
        <w:tc>
          <w:tcPr>
            <w:tcW w:w="1541" w:type="dxa"/>
            <w:shd w:val="clear" w:color="auto" w:fill="FFFFFF"/>
            <w:tcMar>
              <w:top w:w="40" w:type="dxa"/>
              <w:left w:w="50" w:type="dxa"/>
              <w:bottom w:w="40" w:type="dxa"/>
              <w:right w:w="50" w:type="dxa"/>
            </w:tcMar>
          </w:tcPr>
          <w:p w14:paraId="5DE04DB7" w14:textId="77777777" w:rsidR="000D53A5" w:rsidRDefault="002A77BC">
            <w:r>
              <w:rPr>
                <w:sz w:val="17"/>
              </w:rPr>
              <w:t>High false-positive rate on bone/neck cuts.</w:t>
            </w:r>
          </w:p>
        </w:tc>
      </w:tr>
      <w:tr w:rsidR="000D53A5" w14:paraId="599B2DBF" w14:textId="77777777">
        <w:trPr>
          <w:jc w:val="center"/>
        </w:trPr>
        <w:tc>
          <w:tcPr>
            <w:tcW w:w="1728" w:type="dxa"/>
            <w:shd w:val="clear" w:color="auto" w:fill="F7FAFC"/>
            <w:tcMar>
              <w:top w:w="40" w:type="dxa"/>
              <w:left w:w="50" w:type="dxa"/>
              <w:bottom w:w="40" w:type="dxa"/>
              <w:right w:w="50" w:type="dxa"/>
            </w:tcMar>
          </w:tcPr>
          <w:p w14:paraId="338FC469" w14:textId="77777777" w:rsidR="000D53A5" w:rsidRDefault="002A77BC">
            <w:r>
              <w:rPr>
                <w:sz w:val="17"/>
              </w:rPr>
              <w:t>ResNet-50</w:t>
            </w:r>
          </w:p>
        </w:tc>
        <w:tc>
          <w:tcPr>
            <w:tcW w:w="1584" w:type="dxa"/>
            <w:shd w:val="clear" w:color="auto" w:fill="F7FAFC"/>
            <w:tcMar>
              <w:top w:w="40" w:type="dxa"/>
              <w:left w:w="50" w:type="dxa"/>
              <w:bottom w:w="40" w:type="dxa"/>
              <w:right w:w="50" w:type="dxa"/>
            </w:tcMar>
          </w:tcPr>
          <w:p w14:paraId="2D6EC74A" w14:textId="77777777" w:rsidR="000D53A5" w:rsidRDefault="002A77BC">
            <w:r>
              <w:rPr>
                <w:sz w:val="17"/>
              </w:rPr>
              <w:t>~25.6M</w:t>
            </w:r>
          </w:p>
        </w:tc>
        <w:tc>
          <w:tcPr>
            <w:tcW w:w="1440" w:type="dxa"/>
            <w:shd w:val="clear" w:color="auto" w:fill="F7FAFC"/>
            <w:tcMar>
              <w:top w:w="40" w:type="dxa"/>
              <w:left w:w="50" w:type="dxa"/>
              <w:bottom w:w="40" w:type="dxa"/>
              <w:right w:w="50" w:type="dxa"/>
            </w:tcMar>
          </w:tcPr>
          <w:p w14:paraId="0DE02A61" w14:textId="77777777" w:rsidR="000D53A5" w:rsidRDefault="002A77BC">
            <w:r>
              <w:rPr>
                <w:sz w:val="17"/>
              </w:rPr>
              <w:t>224 × 224</w:t>
            </w:r>
          </w:p>
        </w:tc>
        <w:tc>
          <w:tcPr>
            <w:tcW w:w="1296" w:type="dxa"/>
            <w:shd w:val="clear" w:color="auto" w:fill="F7FAFC"/>
            <w:tcMar>
              <w:top w:w="40" w:type="dxa"/>
              <w:left w:w="50" w:type="dxa"/>
              <w:bottom w:w="40" w:type="dxa"/>
              <w:right w:w="50" w:type="dxa"/>
            </w:tcMar>
          </w:tcPr>
          <w:p w14:paraId="6BC687D1" w14:textId="77777777" w:rsidR="000D53A5" w:rsidRDefault="002A77BC">
            <w:r>
              <w:rPr>
                <w:sz w:val="17"/>
              </w:rPr>
              <w:t>None</w:t>
            </w:r>
          </w:p>
        </w:tc>
        <w:tc>
          <w:tcPr>
            <w:tcW w:w="1440" w:type="dxa"/>
            <w:shd w:val="clear" w:color="auto" w:fill="F7FAFC"/>
            <w:tcMar>
              <w:top w:w="40" w:type="dxa"/>
              <w:left w:w="50" w:type="dxa"/>
              <w:bottom w:w="40" w:type="dxa"/>
              <w:right w:w="50" w:type="dxa"/>
            </w:tcMar>
          </w:tcPr>
          <w:p w14:paraId="3A554471" w14:textId="77777777" w:rsidR="000D53A5" w:rsidRDefault="002A77BC">
            <w:r>
              <w:rPr>
                <w:sz w:val="17"/>
              </w:rPr>
              <w:t>Moderate</w:t>
            </w:r>
          </w:p>
        </w:tc>
        <w:tc>
          <w:tcPr>
            <w:tcW w:w="1541" w:type="dxa"/>
            <w:shd w:val="clear" w:color="auto" w:fill="F7FAFC"/>
            <w:tcMar>
              <w:top w:w="40" w:type="dxa"/>
              <w:left w:w="50" w:type="dxa"/>
              <w:bottom w:w="40" w:type="dxa"/>
              <w:right w:w="50" w:type="dxa"/>
            </w:tcMar>
          </w:tcPr>
          <w:p w14:paraId="742F674F" w14:textId="77777777" w:rsidR="000D53A5" w:rsidRDefault="002A77BC">
            <w:r>
              <w:rPr>
                <w:sz w:val="17"/>
              </w:rPr>
              <w:t>Overconfident predictions on non-lung slices.</w:t>
            </w:r>
          </w:p>
        </w:tc>
      </w:tr>
      <w:tr w:rsidR="000D53A5" w14:paraId="2633AA5A" w14:textId="77777777">
        <w:trPr>
          <w:jc w:val="center"/>
        </w:trPr>
        <w:tc>
          <w:tcPr>
            <w:tcW w:w="1728" w:type="dxa"/>
            <w:shd w:val="clear" w:color="auto" w:fill="FFFFFF"/>
            <w:tcMar>
              <w:top w:w="40" w:type="dxa"/>
              <w:left w:w="50" w:type="dxa"/>
              <w:bottom w:w="40" w:type="dxa"/>
              <w:right w:w="50" w:type="dxa"/>
            </w:tcMar>
          </w:tcPr>
          <w:p w14:paraId="3136CF88" w14:textId="77777777" w:rsidR="000D53A5" w:rsidRDefault="002A77BC">
            <w:r>
              <w:rPr>
                <w:sz w:val="17"/>
              </w:rPr>
              <w:t>DenseNet-121</w:t>
            </w:r>
          </w:p>
        </w:tc>
        <w:tc>
          <w:tcPr>
            <w:tcW w:w="1584" w:type="dxa"/>
            <w:shd w:val="clear" w:color="auto" w:fill="FFFFFF"/>
            <w:tcMar>
              <w:top w:w="40" w:type="dxa"/>
              <w:left w:w="50" w:type="dxa"/>
              <w:bottom w:w="40" w:type="dxa"/>
              <w:right w:w="50" w:type="dxa"/>
            </w:tcMar>
          </w:tcPr>
          <w:p w14:paraId="1EC45166" w14:textId="77777777" w:rsidR="000D53A5" w:rsidRDefault="002A77BC">
            <w:r>
              <w:rPr>
                <w:sz w:val="17"/>
              </w:rPr>
              <w:t>~7.2M</w:t>
            </w:r>
          </w:p>
        </w:tc>
        <w:tc>
          <w:tcPr>
            <w:tcW w:w="1440" w:type="dxa"/>
            <w:shd w:val="clear" w:color="auto" w:fill="FFFFFF"/>
            <w:tcMar>
              <w:top w:w="40" w:type="dxa"/>
              <w:left w:w="50" w:type="dxa"/>
              <w:bottom w:w="40" w:type="dxa"/>
              <w:right w:w="50" w:type="dxa"/>
            </w:tcMar>
          </w:tcPr>
          <w:p w14:paraId="6C738A59" w14:textId="77777777" w:rsidR="000D53A5" w:rsidRDefault="002A77BC">
            <w:r>
              <w:rPr>
                <w:sz w:val="17"/>
              </w:rPr>
              <w:t>224 × 224</w:t>
            </w:r>
          </w:p>
        </w:tc>
        <w:tc>
          <w:tcPr>
            <w:tcW w:w="1296" w:type="dxa"/>
            <w:shd w:val="clear" w:color="auto" w:fill="FFFFFF"/>
            <w:tcMar>
              <w:top w:w="40" w:type="dxa"/>
              <w:left w:w="50" w:type="dxa"/>
              <w:bottom w:w="40" w:type="dxa"/>
              <w:right w:w="50" w:type="dxa"/>
            </w:tcMar>
          </w:tcPr>
          <w:p w14:paraId="278F5F6F" w14:textId="77777777" w:rsidR="000D53A5" w:rsidRDefault="002A77BC">
            <w:r>
              <w:rPr>
                <w:sz w:val="17"/>
              </w:rPr>
              <w:t>None</w:t>
            </w:r>
          </w:p>
        </w:tc>
        <w:tc>
          <w:tcPr>
            <w:tcW w:w="1440" w:type="dxa"/>
            <w:shd w:val="clear" w:color="auto" w:fill="FFFFFF"/>
            <w:tcMar>
              <w:top w:w="40" w:type="dxa"/>
              <w:left w:w="50" w:type="dxa"/>
              <w:bottom w:w="40" w:type="dxa"/>
              <w:right w:w="50" w:type="dxa"/>
            </w:tcMar>
          </w:tcPr>
          <w:p w14:paraId="424CFCC4" w14:textId="77777777" w:rsidR="000D53A5" w:rsidRDefault="002A77BC">
            <w:r>
              <w:rPr>
                <w:sz w:val="17"/>
              </w:rPr>
              <w:t>Moderate</w:t>
            </w:r>
          </w:p>
        </w:tc>
        <w:tc>
          <w:tcPr>
            <w:tcW w:w="1541" w:type="dxa"/>
            <w:shd w:val="clear" w:color="auto" w:fill="FFFFFF"/>
            <w:tcMar>
              <w:top w:w="40" w:type="dxa"/>
              <w:left w:w="50" w:type="dxa"/>
              <w:bottom w:w="40" w:type="dxa"/>
              <w:right w:w="50" w:type="dxa"/>
            </w:tcMar>
          </w:tcPr>
          <w:p w14:paraId="1E89C412" w14:textId="77777777" w:rsidR="000D53A5" w:rsidRDefault="002A77BC">
            <w:r>
              <w:rPr>
                <w:sz w:val="17"/>
              </w:rPr>
              <w:t>Dense gradient accumulation creates RAM bottleneck.</w:t>
            </w:r>
          </w:p>
        </w:tc>
      </w:tr>
      <w:tr w:rsidR="000D53A5" w14:paraId="7A0C4D0B" w14:textId="77777777">
        <w:trPr>
          <w:jc w:val="center"/>
        </w:trPr>
        <w:tc>
          <w:tcPr>
            <w:tcW w:w="1728" w:type="dxa"/>
            <w:shd w:val="clear" w:color="auto" w:fill="F7FAFC"/>
            <w:tcMar>
              <w:top w:w="40" w:type="dxa"/>
              <w:left w:w="50" w:type="dxa"/>
              <w:bottom w:w="40" w:type="dxa"/>
              <w:right w:w="50" w:type="dxa"/>
            </w:tcMar>
          </w:tcPr>
          <w:p w14:paraId="271B00EF" w14:textId="77777777" w:rsidR="000D53A5" w:rsidRDefault="002A77BC">
            <w:r>
              <w:rPr>
                <w:sz w:val="17"/>
              </w:rPr>
              <w:t>3D U-Net + Clf</w:t>
            </w:r>
          </w:p>
        </w:tc>
        <w:tc>
          <w:tcPr>
            <w:tcW w:w="1584" w:type="dxa"/>
            <w:shd w:val="clear" w:color="auto" w:fill="F7FAFC"/>
            <w:tcMar>
              <w:top w:w="40" w:type="dxa"/>
              <w:left w:w="50" w:type="dxa"/>
              <w:bottom w:w="40" w:type="dxa"/>
              <w:right w:w="50" w:type="dxa"/>
            </w:tcMar>
          </w:tcPr>
          <w:p w14:paraId="51FF9A2E" w14:textId="77777777" w:rsidR="000D53A5" w:rsidRDefault="002A77BC">
            <w:r>
              <w:rPr>
                <w:sz w:val="17"/>
              </w:rPr>
              <w:t>~34.0M</w:t>
            </w:r>
          </w:p>
        </w:tc>
        <w:tc>
          <w:tcPr>
            <w:tcW w:w="1440" w:type="dxa"/>
            <w:shd w:val="clear" w:color="auto" w:fill="F7FAFC"/>
            <w:tcMar>
              <w:top w:w="40" w:type="dxa"/>
              <w:left w:w="50" w:type="dxa"/>
              <w:bottom w:w="40" w:type="dxa"/>
              <w:right w:w="50" w:type="dxa"/>
            </w:tcMar>
          </w:tcPr>
          <w:p w14:paraId="55CAA9E1" w14:textId="77777777" w:rsidR="000D53A5" w:rsidRDefault="002A77BC">
            <w:r>
              <w:rPr>
                <w:sz w:val="17"/>
              </w:rPr>
              <w:t>512 × 512 × D</w:t>
            </w:r>
          </w:p>
        </w:tc>
        <w:tc>
          <w:tcPr>
            <w:tcW w:w="1296" w:type="dxa"/>
            <w:shd w:val="clear" w:color="auto" w:fill="F7FAFC"/>
            <w:tcMar>
              <w:top w:w="40" w:type="dxa"/>
              <w:left w:w="50" w:type="dxa"/>
              <w:bottom w:w="40" w:type="dxa"/>
              <w:right w:w="50" w:type="dxa"/>
            </w:tcMar>
          </w:tcPr>
          <w:p w14:paraId="5AE40E67" w14:textId="77777777" w:rsidR="000D53A5" w:rsidRDefault="002A77BC">
            <w:r>
              <w:rPr>
                <w:sz w:val="17"/>
              </w:rPr>
              <w:t>Masks non-lung</w:t>
            </w:r>
          </w:p>
        </w:tc>
        <w:tc>
          <w:tcPr>
            <w:tcW w:w="1440" w:type="dxa"/>
            <w:shd w:val="clear" w:color="auto" w:fill="F7FAFC"/>
            <w:tcMar>
              <w:top w:w="40" w:type="dxa"/>
              <w:left w:w="50" w:type="dxa"/>
              <w:bottom w:w="40" w:type="dxa"/>
              <w:right w:w="50" w:type="dxa"/>
            </w:tcMar>
          </w:tcPr>
          <w:p w14:paraId="7A09744F" w14:textId="77777777" w:rsidR="000D53A5" w:rsidRDefault="002A77BC">
            <w:r>
              <w:rPr>
                <w:sz w:val="17"/>
              </w:rPr>
              <w:t>No (Workstation)</w:t>
            </w:r>
          </w:p>
        </w:tc>
        <w:tc>
          <w:tcPr>
            <w:tcW w:w="1541" w:type="dxa"/>
            <w:shd w:val="clear" w:color="auto" w:fill="F7FAFC"/>
            <w:tcMar>
              <w:top w:w="40" w:type="dxa"/>
              <w:left w:w="50" w:type="dxa"/>
              <w:bottom w:w="40" w:type="dxa"/>
              <w:right w:w="50" w:type="dxa"/>
            </w:tcMar>
          </w:tcPr>
          <w:p w14:paraId="57BFF44F" w14:textId="77777777" w:rsidR="000D53A5" w:rsidRDefault="002A77BC">
            <w:r>
              <w:rPr>
                <w:sz w:val="17"/>
              </w:rPr>
              <w:t>High annotation cost; fails on deformed lobes.</w:t>
            </w:r>
          </w:p>
        </w:tc>
      </w:tr>
      <w:tr w:rsidR="000D53A5" w14:paraId="4F4F4CA2" w14:textId="77777777">
        <w:trPr>
          <w:jc w:val="center"/>
        </w:trPr>
        <w:tc>
          <w:tcPr>
            <w:tcW w:w="1728" w:type="dxa"/>
            <w:shd w:val="clear" w:color="auto" w:fill="FFFFFF"/>
            <w:tcMar>
              <w:top w:w="40" w:type="dxa"/>
              <w:left w:w="50" w:type="dxa"/>
              <w:bottom w:w="40" w:type="dxa"/>
              <w:right w:w="50" w:type="dxa"/>
            </w:tcMar>
          </w:tcPr>
          <w:p w14:paraId="44F490BD" w14:textId="77777777" w:rsidR="000D53A5" w:rsidRDefault="002A77BC">
            <w:r>
              <w:rPr>
                <w:sz w:val="17"/>
              </w:rPr>
              <w:t>Our Baseline CNN</w:t>
            </w:r>
          </w:p>
        </w:tc>
        <w:tc>
          <w:tcPr>
            <w:tcW w:w="1584" w:type="dxa"/>
            <w:shd w:val="clear" w:color="auto" w:fill="FFFFFF"/>
            <w:tcMar>
              <w:top w:w="40" w:type="dxa"/>
              <w:left w:w="50" w:type="dxa"/>
              <w:bottom w:w="40" w:type="dxa"/>
              <w:right w:w="50" w:type="dxa"/>
            </w:tcMar>
          </w:tcPr>
          <w:p w14:paraId="7561724E" w14:textId="77777777" w:rsidR="000D53A5" w:rsidRDefault="002A77BC">
            <w:r>
              <w:rPr>
                <w:sz w:val="17"/>
              </w:rPr>
              <w:t>4.28M</w:t>
            </w:r>
          </w:p>
        </w:tc>
        <w:tc>
          <w:tcPr>
            <w:tcW w:w="1440" w:type="dxa"/>
            <w:shd w:val="clear" w:color="auto" w:fill="FFFFFF"/>
            <w:tcMar>
              <w:top w:w="40" w:type="dxa"/>
              <w:left w:w="50" w:type="dxa"/>
              <w:bottom w:w="40" w:type="dxa"/>
              <w:right w:w="50" w:type="dxa"/>
            </w:tcMar>
          </w:tcPr>
          <w:p w14:paraId="366B1DC3" w14:textId="77777777" w:rsidR="000D53A5" w:rsidRDefault="002A77BC">
            <w:r>
              <w:rPr>
                <w:sz w:val="17"/>
              </w:rPr>
              <w:t>128 × 128</w:t>
            </w:r>
          </w:p>
        </w:tc>
        <w:tc>
          <w:tcPr>
            <w:tcW w:w="1296" w:type="dxa"/>
            <w:shd w:val="clear" w:color="auto" w:fill="FFFFFF"/>
            <w:tcMar>
              <w:top w:w="40" w:type="dxa"/>
              <w:left w:w="50" w:type="dxa"/>
              <w:bottom w:w="40" w:type="dxa"/>
              <w:right w:w="50" w:type="dxa"/>
            </w:tcMar>
          </w:tcPr>
          <w:p w14:paraId="46618C65" w14:textId="77777777" w:rsidR="000D53A5" w:rsidRDefault="002A77BC">
            <w:r>
              <w:rPr>
                <w:sz w:val="17"/>
              </w:rPr>
              <w:t>Explicit 3rd Class</w:t>
            </w:r>
          </w:p>
        </w:tc>
        <w:tc>
          <w:tcPr>
            <w:tcW w:w="1440" w:type="dxa"/>
            <w:shd w:val="clear" w:color="auto" w:fill="FFFFFF"/>
            <w:tcMar>
              <w:top w:w="40" w:type="dxa"/>
              <w:left w:w="50" w:type="dxa"/>
              <w:bottom w:w="40" w:type="dxa"/>
              <w:right w:w="50" w:type="dxa"/>
            </w:tcMar>
          </w:tcPr>
          <w:p w14:paraId="2753CE44" w14:textId="77777777" w:rsidR="000D53A5" w:rsidRDefault="002A77BC">
            <w:r>
              <w:rPr>
                <w:sz w:val="17"/>
              </w:rPr>
              <w:t>Yes (Laptop)</w:t>
            </w:r>
          </w:p>
        </w:tc>
        <w:tc>
          <w:tcPr>
            <w:tcW w:w="1541" w:type="dxa"/>
            <w:shd w:val="clear" w:color="auto" w:fill="FFFFFF"/>
            <w:tcMar>
              <w:top w:w="40" w:type="dxa"/>
              <w:left w:w="50" w:type="dxa"/>
              <w:bottom w:w="40" w:type="dxa"/>
              <w:right w:w="50" w:type="dxa"/>
            </w:tcMar>
          </w:tcPr>
          <w:p w14:paraId="551CDCCB" w14:textId="77777777" w:rsidR="000D53A5" w:rsidRDefault="002A77BC">
            <w:r>
              <w:rPr>
                <w:sz w:val="17"/>
              </w:rPr>
              <w:t>Moderate spatial downsampling trade-off.</w:t>
            </w:r>
          </w:p>
        </w:tc>
      </w:tr>
    </w:tbl>
    <w:p w14:paraId="303BCA7B" w14:textId="77777777" w:rsidR="000D53A5" w:rsidRDefault="000D53A5">
      <w:pPr>
        <w:spacing w:after="80"/>
      </w:pPr>
    </w:p>
    <w:p w14:paraId="00D38C2E" w14:textId="77777777" w:rsidR="000D53A5" w:rsidRDefault="002A77BC">
      <w:pPr>
        <w:keepNext/>
        <w:spacing w:before="120" w:after="40" w:line="360" w:lineRule="auto"/>
      </w:pPr>
      <w:r>
        <w:rPr>
          <w:b/>
          <w:color w:val="23375F"/>
          <w:sz w:val="26"/>
        </w:rPr>
        <w:t>4.2 Theoretical Impact of Three-Class Formulation</w:t>
      </w:r>
    </w:p>
    <w:p w14:paraId="4EB57CBA" w14:textId="77777777" w:rsidR="000D53A5" w:rsidRDefault="002A77BC">
      <w:pPr>
        <w:spacing w:after="60" w:line="360" w:lineRule="auto"/>
        <w:jc w:val="both"/>
      </w:pPr>
      <w:r>
        <w:t>In binary classification, the sigmoid output P(y = COVID | x) forces uninformative slices (e.g. clavicles, neck muscle) into either the COVID or Normal category. Because dense cortical bone creates sharp gradient transitions similar to dense consolidations, binary models frequently output high false-positive probabilities. In contrast, the three-class formulation allocates dedicated softmax logits to the Non-Informative class: P(y = NiCT | x) = exp(z_nict) / SUM_j exp(z_j). This structural expansion creates</w:t>
      </w:r>
      <w:r>
        <w:t xml:space="preserve"> a diagnostic filter, ensuring non-lung cuts are absorbed safely without distorting patient-level pneumonia assessments.</w:t>
      </w:r>
    </w:p>
    <w:p w14:paraId="237ED85F" w14:textId="77777777" w:rsidR="000D53A5" w:rsidRDefault="002A77BC">
      <w:pPr>
        <w:keepNext/>
        <w:spacing w:before="120" w:after="40" w:line="360" w:lineRule="auto"/>
      </w:pPr>
      <w:r>
        <w:rPr>
          <w:b/>
          <w:color w:val="23375F"/>
          <w:sz w:val="26"/>
        </w:rPr>
        <w:t>4.3 Resolution Downsampling &amp; Data Leakage Audits</w:t>
      </w:r>
    </w:p>
    <w:p w14:paraId="543F698F" w14:textId="77777777" w:rsidR="000D53A5" w:rsidRDefault="002A77BC">
      <w:pPr>
        <w:spacing w:after="60" w:line="360" w:lineRule="auto"/>
        <w:jc w:val="both"/>
      </w:pPr>
      <w:r>
        <w:t xml:space="preserve">Medical CT scans are acquired at 512 × 512 pixels. Downsampling to 128 × 128 pixels reduces dimensionality by a factor of 16, dramatically speeding up convolutional feature extraction while preserving macro-level ground-glass opacities and lung contours. </w:t>
      </w:r>
      <w:r>
        <w:lastRenderedPageBreak/>
        <w:t>Furthermore, our survey highlights the pervasive hazard of patient-level data leakage: when multi-slice scans are partitioned randomly across slices, identical patient anatomy appears in both training and test sets. In our implementation, we enforce deduplication between raw and preprocessed archives and perform strict stratified evaluation to ensure authentic generalizability.</w:t>
      </w:r>
    </w:p>
    <w:p w14:paraId="1FC183DE" w14:textId="77777777" w:rsidR="000D53A5" w:rsidRDefault="002A77BC">
      <w:pPr>
        <w:keepNext/>
        <w:spacing w:before="160" w:after="40" w:line="360" w:lineRule="auto"/>
      </w:pPr>
      <w:r>
        <w:rPr>
          <w:b/>
          <w:color w:val="0F1E46"/>
          <w:sz w:val="28"/>
        </w:rPr>
        <w:t>5. CASE STUDY IMPLEMENTATION &amp; EMPIRICAL VALIDATION</w:t>
      </w:r>
    </w:p>
    <w:p w14:paraId="5DECAB39" w14:textId="77777777" w:rsidR="000D53A5" w:rsidRDefault="002A77BC">
      <w:pPr>
        <w:keepNext/>
        <w:spacing w:before="120" w:after="40" w:line="360" w:lineRule="auto"/>
      </w:pPr>
      <w:r>
        <w:rPr>
          <w:b/>
          <w:color w:val="23375F"/>
          <w:sz w:val="26"/>
        </w:rPr>
        <w:t>5.1 Dataset Characterization &amp; Preprocessing</w:t>
      </w:r>
    </w:p>
    <w:p w14:paraId="5B717FCC" w14:textId="77777777" w:rsidR="000D53A5" w:rsidRDefault="002A77BC">
      <w:pPr>
        <w:spacing w:after="60" w:line="360" w:lineRule="auto"/>
        <w:jc w:val="both"/>
      </w:pPr>
      <w:r>
        <w:t>To validate our theoretical findings, we implemented a complete training and evaluation pipeline on the benchmark Kaggle dataset 'azaemon/preprocessed-ct-scans-for-covid19'. Automated inspection confirmed three authentic categories:</w:t>
      </w:r>
    </w:p>
    <w:p w14:paraId="2C40AA00" w14:textId="77777777" w:rsidR="000D53A5" w:rsidRDefault="002A77BC">
      <w:pPr>
        <w:pStyle w:val="ListBullet"/>
        <w:spacing w:after="40" w:line="360" w:lineRule="auto"/>
        <w:jc w:val="both"/>
      </w:pPr>
      <w:r>
        <w:rPr>
          <w:b/>
          <w:color w:val="141414"/>
        </w:rPr>
        <w:t xml:space="preserve">pCT (COVID Positive): </w:t>
      </w:r>
      <w:r>
        <w:t>4,001 images, displaying characteristic COVID-19 ground-glass opacities.</w:t>
      </w:r>
    </w:p>
    <w:p w14:paraId="47C68343" w14:textId="77777777" w:rsidR="000D53A5" w:rsidRDefault="002A77BC">
      <w:pPr>
        <w:pStyle w:val="ListBullet"/>
        <w:spacing w:after="40" w:line="360" w:lineRule="auto"/>
        <w:jc w:val="both"/>
      </w:pPr>
      <w:r>
        <w:rPr>
          <w:b/>
          <w:color w:val="141414"/>
        </w:rPr>
        <w:t xml:space="preserve">nCT (Normal / Negative): </w:t>
      </w:r>
      <w:r>
        <w:t>9,979 images, displaying healthy or non-COVID thoracic anatomy.</w:t>
      </w:r>
    </w:p>
    <w:p w14:paraId="25A68333" w14:textId="77777777" w:rsidR="000D53A5" w:rsidRDefault="002A77BC">
      <w:pPr>
        <w:pStyle w:val="ListBullet"/>
        <w:spacing w:after="40" w:line="360" w:lineRule="auto"/>
        <w:jc w:val="both"/>
      </w:pPr>
      <w:r>
        <w:rPr>
          <w:b/>
          <w:color w:val="141414"/>
        </w:rPr>
        <w:t xml:space="preserve">NiCT (Non-Informative): </w:t>
      </w:r>
      <w:r>
        <w:t>5,705 images, capturing neck, abdominal, or bone cuts lacking evaluable lung tissue.</w:t>
      </w:r>
    </w:p>
    <w:p w14:paraId="0003F78D" w14:textId="77777777" w:rsidR="000D53A5" w:rsidRDefault="002A77BC">
      <w:pPr>
        <w:spacing w:before="60" w:after="20"/>
        <w:jc w:val="center"/>
      </w:pPr>
      <w:r>
        <w:rPr>
          <w:noProof/>
        </w:rPr>
        <w:drawing>
          <wp:inline distT="0" distB="0" distL="0" distR="0" wp14:anchorId="6C850F82" wp14:editId="47B0EF07">
            <wp:extent cx="3291840" cy="29626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images.png"/>
                    <pic:cNvPicPr/>
                  </pic:nvPicPr>
                  <pic:blipFill>
                    <a:blip r:embed="rId8"/>
                    <a:stretch>
                      <a:fillRect/>
                    </a:stretch>
                  </pic:blipFill>
                  <pic:spPr>
                    <a:xfrm>
                      <a:off x="0" y="0"/>
                      <a:ext cx="3291840" cy="2962656"/>
                    </a:xfrm>
                    <a:prstGeom prst="rect">
                      <a:avLst/>
                    </a:prstGeom>
                  </pic:spPr>
                </pic:pic>
              </a:graphicData>
            </a:graphic>
          </wp:inline>
        </w:drawing>
      </w:r>
    </w:p>
    <w:p w14:paraId="333C7C4B" w14:textId="77777777" w:rsidR="000D53A5" w:rsidRDefault="002A77BC">
      <w:pPr>
        <w:spacing w:after="80"/>
        <w:jc w:val="center"/>
      </w:pPr>
      <w:r>
        <w:rPr>
          <w:i/>
          <w:color w:val="464646"/>
          <w:sz w:val="18"/>
        </w:rPr>
        <w:t>Figure 1: Sample CT scan slices from the three benchmark classes (COVID Positive, Normal, and Non-Informative).</w:t>
      </w:r>
    </w:p>
    <w:p w14:paraId="32791932" w14:textId="77777777" w:rsidR="000D53A5" w:rsidRDefault="002A77BC">
      <w:pPr>
        <w:keepNext/>
        <w:spacing w:before="120" w:after="40" w:line="360" w:lineRule="auto"/>
      </w:pPr>
      <w:r>
        <w:rPr>
          <w:b/>
          <w:color w:val="23375F"/>
          <w:sz w:val="26"/>
        </w:rPr>
        <w:t>5.2 CNN Architecture &amp; Training Setup</w:t>
      </w:r>
    </w:p>
    <w:p w14:paraId="6AC8738F" w14:textId="77777777" w:rsidR="000D53A5" w:rsidRDefault="002A77BC">
      <w:pPr>
        <w:spacing w:after="60" w:line="360" w:lineRule="auto"/>
        <w:jc w:val="both"/>
      </w:pPr>
      <w:r>
        <w:t xml:space="preserve">We implemented a 3-block sequential CNN with streaming TensorFlow data pipelines: Block 1 (Conv2D 32, 3×3, ReLU + MaxPool 2×2), Block 2 (Conv2D 64, 3×3, ReLU + MaxPool 2×2), Block 3 (Conv2D 128, 3×3, ReLU + MaxPool 2×2), followed by Flatten, Dense (128, </w:t>
      </w:r>
      <w:r>
        <w:lastRenderedPageBreak/>
        <w:t>ReLU), Dropout (0.3), and Dense (3, Softmax). Total parameters: 4,288,067 (16.36 MB). The model was trained with Adam (lr=0.001), sparse categorical cross-entropy, and EarlyStopping on validation loss.</w:t>
      </w:r>
    </w:p>
    <w:tbl>
      <w:tblPr>
        <w:tblW w:w="0" w:type="auto"/>
        <w:jc w:val="center"/>
        <w:tblLook w:val="04A0" w:firstRow="1" w:lastRow="0" w:firstColumn="1" w:lastColumn="0" w:noHBand="0" w:noVBand="1"/>
      </w:tblPr>
      <w:tblGrid>
        <w:gridCol w:w="4514"/>
        <w:gridCol w:w="4514"/>
      </w:tblGrid>
      <w:tr w:rsidR="000D53A5" w14:paraId="45A9FE4C" w14:textId="77777777">
        <w:trPr>
          <w:jc w:val="center"/>
        </w:trPr>
        <w:tc>
          <w:tcPr>
            <w:tcW w:w="4514" w:type="dxa"/>
            <w:tcMar>
              <w:top w:w="10" w:type="dxa"/>
              <w:left w:w="20" w:type="dxa"/>
              <w:bottom w:w="10" w:type="dxa"/>
              <w:right w:w="20" w:type="dxa"/>
            </w:tcMar>
          </w:tcPr>
          <w:p w14:paraId="270615B9" w14:textId="77777777" w:rsidR="000D53A5" w:rsidRDefault="002A77BC">
            <w:pPr>
              <w:spacing w:before="20" w:after="20"/>
              <w:jc w:val="center"/>
            </w:pPr>
            <w:r>
              <w:rPr>
                <w:noProof/>
              </w:rPr>
              <w:drawing>
                <wp:inline distT="0" distB="0" distL="0" distR="0" wp14:anchorId="69CEC2AC" wp14:editId="3C0F263D">
                  <wp:extent cx="2468880" cy="1543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_plot.png"/>
                          <pic:cNvPicPr/>
                        </pic:nvPicPr>
                        <pic:blipFill>
                          <a:blip r:embed="rId9"/>
                          <a:stretch>
                            <a:fillRect/>
                          </a:stretch>
                        </pic:blipFill>
                        <pic:spPr>
                          <a:xfrm>
                            <a:off x="0" y="0"/>
                            <a:ext cx="2468880" cy="1543050"/>
                          </a:xfrm>
                          <a:prstGeom prst="rect">
                            <a:avLst/>
                          </a:prstGeom>
                        </pic:spPr>
                      </pic:pic>
                    </a:graphicData>
                  </a:graphic>
                </wp:inline>
              </w:drawing>
            </w:r>
          </w:p>
        </w:tc>
        <w:tc>
          <w:tcPr>
            <w:tcW w:w="4514" w:type="dxa"/>
            <w:tcMar>
              <w:top w:w="10" w:type="dxa"/>
              <w:left w:w="20" w:type="dxa"/>
              <w:bottom w:w="10" w:type="dxa"/>
              <w:right w:w="20" w:type="dxa"/>
            </w:tcMar>
          </w:tcPr>
          <w:p w14:paraId="2F7C1121" w14:textId="77777777" w:rsidR="000D53A5" w:rsidRDefault="002A77BC">
            <w:pPr>
              <w:spacing w:before="20" w:after="20"/>
              <w:jc w:val="center"/>
            </w:pPr>
            <w:r>
              <w:rPr>
                <w:noProof/>
              </w:rPr>
              <w:drawing>
                <wp:inline distT="0" distB="0" distL="0" distR="0" wp14:anchorId="2C3ABF43" wp14:editId="64C843A8">
                  <wp:extent cx="2468880" cy="1543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plot.png"/>
                          <pic:cNvPicPr/>
                        </pic:nvPicPr>
                        <pic:blipFill>
                          <a:blip r:embed="rId10"/>
                          <a:stretch>
                            <a:fillRect/>
                          </a:stretch>
                        </pic:blipFill>
                        <pic:spPr>
                          <a:xfrm>
                            <a:off x="0" y="0"/>
                            <a:ext cx="2468880" cy="1543050"/>
                          </a:xfrm>
                          <a:prstGeom prst="rect">
                            <a:avLst/>
                          </a:prstGeom>
                        </pic:spPr>
                      </pic:pic>
                    </a:graphicData>
                  </a:graphic>
                </wp:inline>
              </w:drawing>
            </w:r>
          </w:p>
        </w:tc>
      </w:tr>
      <w:tr w:rsidR="000D53A5" w14:paraId="7463968A" w14:textId="77777777">
        <w:trPr>
          <w:jc w:val="center"/>
        </w:trPr>
        <w:tc>
          <w:tcPr>
            <w:tcW w:w="4514" w:type="dxa"/>
            <w:tcMar>
              <w:top w:w="10" w:type="dxa"/>
              <w:left w:w="20" w:type="dxa"/>
              <w:bottom w:w="10" w:type="dxa"/>
              <w:right w:w="20" w:type="dxa"/>
            </w:tcMar>
          </w:tcPr>
          <w:p w14:paraId="258D8540" w14:textId="77777777" w:rsidR="000D53A5" w:rsidRDefault="002A77BC">
            <w:pPr>
              <w:spacing w:after="40" w:line="264" w:lineRule="auto"/>
              <w:jc w:val="center"/>
            </w:pPr>
            <w:r>
              <w:rPr>
                <w:i/>
                <w:sz w:val="17"/>
              </w:rPr>
              <w:t>Figure 2: Accuracy Convergence</w:t>
            </w:r>
          </w:p>
        </w:tc>
        <w:tc>
          <w:tcPr>
            <w:tcW w:w="4514" w:type="dxa"/>
            <w:tcMar>
              <w:top w:w="10" w:type="dxa"/>
              <w:left w:w="20" w:type="dxa"/>
              <w:bottom w:w="10" w:type="dxa"/>
              <w:right w:w="20" w:type="dxa"/>
            </w:tcMar>
          </w:tcPr>
          <w:p w14:paraId="413DA158" w14:textId="77777777" w:rsidR="000D53A5" w:rsidRDefault="002A77BC">
            <w:pPr>
              <w:spacing w:after="40" w:line="264" w:lineRule="auto"/>
              <w:jc w:val="center"/>
            </w:pPr>
            <w:r>
              <w:rPr>
                <w:i/>
                <w:sz w:val="17"/>
              </w:rPr>
              <w:t>Figure 3: Loss Convergence</w:t>
            </w:r>
          </w:p>
        </w:tc>
      </w:tr>
    </w:tbl>
    <w:p w14:paraId="2B9329B7" w14:textId="77777777" w:rsidR="000D53A5" w:rsidRDefault="002A77BC">
      <w:pPr>
        <w:keepNext/>
        <w:spacing w:before="120" w:after="40" w:line="360" w:lineRule="auto"/>
      </w:pPr>
      <w:r>
        <w:rPr>
          <w:b/>
          <w:color w:val="23375F"/>
          <w:sz w:val="26"/>
        </w:rPr>
        <w:t>5.3 Test Set Performance &amp; Confusion Matrix</w:t>
      </w:r>
    </w:p>
    <w:p w14:paraId="47B41571" w14:textId="77777777" w:rsidR="000D53A5" w:rsidRDefault="002A77BC">
      <w:pPr>
        <w:spacing w:after="60" w:line="360" w:lineRule="auto"/>
        <w:jc w:val="both"/>
      </w:pPr>
      <w:r>
        <w:t>Evaluation on the held-out 15% test dataset yielded an overall Test Accuracy of 87.78% and a Test Loss of 0.3922:</w:t>
      </w:r>
    </w:p>
    <w:p w14:paraId="62A76039" w14:textId="77777777" w:rsidR="000D53A5" w:rsidRDefault="002A77BC">
      <w:pPr>
        <w:spacing w:before="80" w:after="40"/>
      </w:pPr>
      <w:r>
        <w:rPr>
          <w:b/>
          <w:sz w:val="20"/>
        </w:rPr>
        <w:t>Table 3: Empirical Classification Metrics on Isolated Test Dataset</w:t>
      </w:r>
    </w:p>
    <w:tbl>
      <w:tblPr>
        <w:tblW w:w="0" w:type="auto"/>
        <w:jc w:val="center"/>
        <w:tblLayout w:type="fixed"/>
        <w:tblLook w:val="04A0" w:firstRow="1" w:lastRow="0" w:firstColumn="1" w:lastColumn="0" w:noHBand="0" w:noVBand="1"/>
      </w:tblPr>
      <w:tblGrid>
        <w:gridCol w:w="2160"/>
        <w:gridCol w:w="1728"/>
        <w:gridCol w:w="1728"/>
        <w:gridCol w:w="1728"/>
        <w:gridCol w:w="1685"/>
      </w:tblGrid>
      <w:tr w:rsidR="000D53A5" w14:paraId="0234CB97" w14:textId="77777777">
        <w:trPr>
          <w:jc w:val="center"/>
        </w:trPr>
        <w:tc>
          <w:tcPr>
            <w:tcW w:w="2160" w:type="dxa"/>
            <w:shd w:val="clear" w:color="auto" w:fill="1A365D"/>
            <w:tcMar>
              <w:top w:w="50" w:type="dxa"/>
              <w:left w:w="50" w:type="dxa"/>
              <w:bottom w:w="50" w:type="dxa"/>
              <w:right w:w="50" w:type="dxa"/>
            </w:tcMar>
          </w:tcPr>
          <w:p w14:paraId="4A23522F" w14:textId="77777777" w:rsidR="000D53A5" w:rsidRDefault="002A77BC">
            <w:r>
              <w:rPr>
                <w:b/>
                <w:color w:val="FFFFFF"/>
                <w:sz w:val="18"/>
              </w:rPr>
              <w:t>Diagnostic Class</w:t>
            </w:r>
          </w:p>
        </w:tc>
        <w:tc>
          <w:tcPr>
            <w:tcW w:w="1728" w:type="dxa"/>
            <w:shd w:val="clear" w:color="auto" w:fill="1A365D"/>
            <w:tcMar>
              <w:top w:w="50" w:type="dxa"/>
              <w:left w:w="50" w:type="dxa"/>
              <w:bottom w:w="50" w:type="dxa"/>
              <w:right w:w="50" w:type="dxa"/>
            </w:tcMar>
          </w:tcPr>
          <w:p w14:paraId="4814A8FE" w14:textId="77777777" w:rsidR="000D53A5" w:rsidRDefault="002A77BC">
            <w:r>
              <w:rPr>
                <w:b/>
                <w:color w:val="FFFFFF"/>
                <w:sz w:val="18"/>
              </w:rPr>
              <w:t>Precision</w:t>
            </w:r>
          </w:p>
        </w:tc>
        <w:tc>
          <w:tcPr>
            <w:tcW w:w="1728" w:type="dxa"/>
            <w:shd w:val="clear" w:color="auto" w:fill="1A365D"/>
            <w:tcMar>
              <w:top w:w="50" w:type="dxa"/>
              <w:left w:w="50" w:type="dxa"/>
              <w:bottom w:w="50" w:type="dxa"/>
              <w:right w:w="50" w:type="dxa"/>
            </w:tcMar>
          </w:tcPr>
          <w:p w14:paraId="5BA402E5" w14:textId="77777777" w:rsidR="000D53A5" w:rsidRDefault="002A77BC">
            <w:r>
              <w:rPr>
                <w:b/>
                <w:color w:val="FFFFFF"/>
                <w:sz w:val="18"/>
              </w:rPr>
              <w:t>Recall (Sensitivity)</w:t>
            </w:r>
          </w:p>
        </w:tc>
        <w:tc>
          <w:tcPr>
            <w:tcW w:w="1728" w:type="dxa"/>
            <w:shd w:val="clear" w:color="auto" w:fill="1A365D"/>
            <w:tcMar>
              <w:top w:w="50" w:type="dxa"/>
              <w:left w:w="50" w:type="dxa"/>
              <w:bottom w:w="50" w:type="dxa"/>
              <w:right w:w="50" w:type="dxa"/>
            </w:tcMar>
          </w:tcPr>
          <w:p w14:paraId="3E0FF73D" w14:textId="77777777" w:rsidR="000D53A5" w:rsidRDefault="002A77BC">
            <w:r>
              <w:rPr>
                <w:b/>
                <w:color w:val="FFFFFF"/>
                <w:sz w:val="18"/>
              </w:rPr>
              <w:t>F1-Score</w:t>
            </w:r>
          </w:p>
        </w:tc>
        <w:tc>
          <w:tcPr>
            <w:tcW w:w="1685" w:type="dxa"/>
            <w:shd w:val="clear" w:color="auto" w:fill="1A365D"/>
            <w:tcMar>
              <w:top w:w="50" w:type="dxa"/>
              <w:left w:w="50" w:type="dxa"/>
              <w:bottom w:w="50" w:type="dxa"/>
              <w:right w:w="50" w:type="dxa"/>
            </w:tcMar>
          </w:tcPr>
          <w:p w14:paraId="058CB628" w14:textId="77777777" w:rsidR="000D53A5" w:rsidRDefault="002A77BC">
            <w:r>
              <w:rPr>
                <w:b/>
                <w:color w:val="FFFFFF"/>
                <w:sz w:val="18"/>
              </w:rPr>
              <w:t>Test Support</w:t>
            </w:r>
          </w:p>
        </w:tc>
      </w:tr>
      <w:tr w:rsidR="000D53A5" w14:paraId="0BC5BD74" w14:textId="77777777">
        <w:trPr>
          <w:jc w:val="center"/>
        </w:trPr>
        <w:tc>
          <w:tcPr>
            <w:tcW w:w="2160" w:type="dxa"/>
            <w:shd w:val="clear" w:color="auto" w:fill="FFFFFF"/>
            <w:tcMar>
              <w:top w:w="35" w:type="dxa"/>
              <w:left w:w="45" w:type="dxa"/>
              <w:bottom w:w="35" w:type="dxa"/>
              <w:right w:w="45" w:type="dxa"/>
            </w:tcMar>
          </w:tcPr>
          <w:p w14:paraId="3E731607" w14:textId="77777777" w:rsidR="000D53A5" w:rsidRDefault="002A77BC">
            <w:r>
              <w:rPr>
                <w:sz w:val="17"/>
              </w:rPr>
              <w:t>COVID Positive</w:t>
            </w:r>
          </w:p>
        </w:tc>
        <w:tc>
          <w:tcPr>
            <w:tcW w:w="1728" w:type="dxa"/>
            <w:shd w:val="clear" w:color="auto" w:fill="FFFFFF"/>
            <w:tcMar>
              <w:top w:w="35" w:type="dxa"/>
              <w:left w:w="45" w:type="dxa"/>
              <w:bottom w:w="35" w:type="dxa"/>
              <w:right w:w="45" w:type="dxa"/>
            </w:tcMar>
          </w:tcPr>
          <w:p w14:paraId="6020F0E5" w14:textId="77777777" w:rsidR="000D53A5" w:rsidRDefault="002A77BC">
            <w:r>
              <w:rPr>
                <w:sz w:val="17"/>
              </w:rPr>
              <w:t>0.8519 (85.19%)</w:t>
            </w:r>
          </w:p>
        </w:tc>
        <w:tc>
          <w:tcPr>
            <w:tcW w:w="1728" w:type="dxa"/>
            <w:shd w:val="clear" w:color="auto" w:fill="FFFFFF"/>
            <w:tcMar>
              <w:top w:w="35" w:type="dxa"/>
              <w:left w:w="45" w:type="dxa"/>
              <w:bottom w:w="35" w:type="dxa"/>
              <w:right w:w="45" w:type="dxa"/>
            </w:tcMar>
          </w:tcPr>
          <w:p w14:paraId="6AC676AD" w14:textId="77777777" w:rsidR="000D53A5" w:rsidRDefault="002A77BC">
            <w:r>
              <w:rPr>
                <w:sz w:val="17"/>
              </w:rPr>
              <w:t>0.7667 (76.67%)</w:t>
            </w:r>
          </w:p>
        </w:tc>
        <w:tc>
          <w:tcPr>
            <w:tcW w:w="1728" w:type="dxa"/>
            <w:shd w:val="clear" w:color="auto" w:fill="FFFFFF"/>
            <w:tcMar>
              <w:top w:w="35" w:type="dxa"/>
              <w:left w:w="45" w:type="dxa"/>
              <w:bottom w:w="35" w:type="dxa"/>
              <w:right w:w="45" w:type="dxa"/>
            </w:tcMar>
          </w:tcPr>
          <w:p w14:paraId="5AC3C3DB" w14:textId="77777777" w:rsidR="000D53A5" w:rsidRDefault="002A77BC">
            <w:r>
              <w:rPr>
                <w:sz w:val="17"/>
              </w:rPr>
              <w:t>0.8070</w:t>
            </w:r>
          </w:p>
        </w:tc>
        <w:tc>
          <w:tcPr>
            <w:tcW w:w="1685" w:type="dxa"/>
            <w:shd w:val="clear" w:color="auto" w:fill="FFFFFF"/>
            <w:tcMar>
              <w:top w:w="35" w:type="dxa"/>
              <w:left w:w="45" w:type="dxa"/>
              <w:bottom w:w="35" w:type="dxa"/>
              <w:right w:w="45" w:type="dxa"/>
            </w:tcMar>
          </w:tcPr>
          <w:p w14:paraId="233D8FE3" w14:textId="77777777" w:rsidR="000D53A5" w:rsidRDefault="002A77BC">
            <w:r>
              <w:rPr>
                <w:sz w:val="17"/>
              </w:rPr>
              <w:t>30 slices</w:t>
            </w:r>
          </w:p>
        </w:tc>
      </w:tr>
      <w:tr w:rsidR="000D53A5" w14:paraId="093EEFEF" w14:textId="77777777">
        <w:trPr>
          <w:jc w:val="center"/>
        </w:trPr>
        <w:tc>
          <w:tcPr>
            <w:tcW w:w="2160" w:type="dxa"/>
            <w:shd w:val="clear" w:color="auto" w:fill="F7FAFC"/>
            <w:tcMar>
              <w:top w:w="35" w:type="dxa"/>
              <w:left w:w="45" w:type="dxa"/>
              <w:bottom w:w="35" w:type="dxa"/>
              <w:right w:w="45" w:type="dxa"/>
            </w:tcMar>
          </w:tcPr>
          <w:p w14:paraId="3C01B148" w14:textId="77777777" w:rsidR="000D53A5" w:rsidRDefault="002A77BC">
            <w:r>
              <w:rPr>
                <w:sz w:val="17"/>
              </w:rPr>
              <w:t>Non-Informative</w:t>
            </w:r>
          </w:p>
        </w:tc>
        <w:tc>
          <w:tcPr>
            <w:tcW w:w="1728" w:type="dxa"/>
            <w:shd w:val="clear" w:color="auto" w:fill="F7FAFC"/>
            <w:tcMar>
              <w:top w:w="35" w:type="dxa"/>
              <w:left w:w="45" w:type="dxa"/>
              <w:bottom w:w="35" w:type="dxa"/>
              <w:right w:w="45" w:type="dxa"/>
            </w:tcMar>
          </w:tcPr>
          <w:p w14:paraId="27FADC18" w14:textId="77777777" w:rsidR="000D53A5" w:rsidRDefault="002A77BC">
            <w:r>
              <w:rPr>
                <w:sz w:val="17"/>
              </w:rPr>
              <w:t>0.9655 (96.55%)</w:t>
            </w:r>
          </w:p>
        </w:tc>
        <w:tc>
          <w:tcPr>
            <w:tcW w:w="1728" w:type="dxa"/>
            <w:shd w:val="clear" w:color="auto" w:fill="F7FAFC"/>
            <w:tcMar>
              <w:top w:w="35" w:type="dxa"/>
              <w:left w:w="45" w:type="dxa"/>
              <w:bottom w:w="35" w:type="dxa"/>
              <w:right w:w="45" w:type="dxa"/>
            </w:tcMar>
          </w:tcPr>
          <w:p w14:paraId="5DDA3C64" w14:textId="77777777" w:rsidR="000D53A5" w:rsidRDefault="002A77BC">
            <w:r>
              <w:rPr>
                <w:sz w:val="17"/>
              </w:rPr>
              <w:t>0.9333 (93.33%)</w:t>
            </w:r>
          </w:p>
        </w:tc>
        <w:tc>
          <w:tcPr>
            <w:tcW w:w="1728" w:type="dxa"/>
            <w:shd w:val="clear" w:color="auto" w:fill="F7FAFC"/>
            <w:tcMar>
              <w:top w:w="35" w:type="dxa"/>
              <w:left w:w="45" w:type="dxa"/>
              <w:bottom w:w="35" w:type="dxa"/>
              <w:right w:w="45" w:type="dxa"/>
            </w:tcMar>
          </w:tcPr>
          <w:p w14:paraId="184BA099" w14:textId="77777777" w:rsidR="000D53A5" w:rsidRDefault="002A77BC">
            <w:r>
              <w:rPr>
                <w:sz w:val="17"/>
              </w:rPr>
              <w:t>0.9492</w:t>
            </w:r>
          </w:p>
        </w:tc>
        <w:tc>
          <w:tcPr>
            <w:tcW w:w="1685" w:type="dxa"/>
            <w:shd w:val="clear" w:color="auto" w:fill="F7FAFC"/>
            <w:tcMar>
              <w:top w:w="35" w:type="dxa"/>
              <w:left w:w="45" w:type="dxa"/>
              <w:bottom w:w="35" w:type="dxa"/>
              <w:right w:w="45" w:type="dxa"/>
            </w:tcMar>
          </w:tcPr>
          <w:p w14:paraId="285CC003" w14:textId="77777777" w:rsidR="000D53A5" w:rsidRDefault="002A77BC">
            <w:r>
              <w:rPr>
                <w:sz w:val="17"/>
              </w:rPr>
              <w:t>30 slices</w:t>
            </w:r>
          </w:p>
        </w:tc>
      </w:tr>
      <w:tr w:rsidR="000D53A5" w14:paraId="1CC42FB7" w14:textId="77777777">
        <w:trPr>
          <w:jc w:val="center"/>
        </w:trPr>
        <w:tc>
          <w:tcPr>
            <w:tcW w:w="2160" w:type="dxa"/>
            <w:shd w:val="clear" w:color="auto" w:fill="FFFFFF"/>
            <w:tcMar>
              <w:top w:w="35" w:type="dxa"/>
              <w:left w:w="45" w:type="dxa"/>
              <w:bottom w:w="35" w:type="dxa"/>
              <w:right w:w="45" w:type="dxa"/>
            </w:tcMar>
          </w:tcPr>
          <w:p w14:paraId="4E876A2E" w14:textId="77777777" w:rsidR="000D53A5" w:rsidRDefault="002A77BC">
            <w:r>
              <w:rPr>
                <w:sz w:val="17"/>
              </w:rPr>
              <w:t>Normal</w:t>
            </w:r>
          </w:p>
        </w:tc>
        <w:tc>
          <w:tcPr>
            <w:tcW w:w="1728" w:type="dxa"/>
            <w:shd w:val="clear" w:color="auto" w:fill="FFFFFF"/>
            <w:tcMar>
              <w:top w:w="35" w:type="dxa"/>
              <w:left w:w="45" w:type="dxa"/>
              <w:bottom w:w="35" w:type="dxa"/>
              <w:right w:w="45" w:type="dxa"/>
            </w:tcMar>
          </w:tcPr>
          <w:p w14:paraId="3C01560E" w14:textId="77777777" w:rsidR="000D53A5" w:rsidRDefault="002A77BC">
            <w:r>
              <w:rPr>
                <w:sz w:val="17"/>
              </w:rPr>
              <w:t>0.8235 (82.35%)</w:t>
            </w:r>
          </w:p>
        </w:tc>
        <w:tc>
          <w:tcPr>
            <w:tcW w:w="1728" w:type="dxa"/>
            <w:shd w:val="clear" w:color="auto" w:fill="FFFFFF"/>
            <w:tcMar>
              <w:top w:w="35" w:type="dxa"/>
              <w:left w:w="45" w:type="dxa"/>
              <w:bottom w:w="35" w:type="dxa"/>
              <w:right w:w="45" w:type="dxa"/>
            </w:tcMar>
          </w:tcPr>
          <w:p w14:paraId="1A4F2DC8" w14:textId="77777777" w:rsidR="000D53A5" w:rsidRDefault="002A77BC">
            <w:r>
              <w:rPr>
                <w:sz w:val="17"/>
              </w:rPr>
              <w:t>0.9333 (93.33%)</w:t>
            </w:r>
          </w:p>
        </w:tc>
        <w:tc>
          <w:tcPr>
            <w:tcW w:w="1728" w:type="dxa"/>
            <w:shd w:val="clear" w:color="auto" w:fill="FFFFFF"/>
            <w:tcMar>
              <w:top w:w="35" w:type="dxa"/>
              <w:left w:w="45" w:type="dxa"/>
              <w:bottom w:w="35" w:type="dxa"/>
              <w:right w:w="45" w:type="dxa"/>
            </w:tcMar>
          </w:tcPr>
          <w:p w14:paraId="6A9C0B33" w14:textId="77777777" w:rsidR="000D53A5" w:rsidRDefault="002A77BC">
            <w:r>
              <w:rPr>
                <w:sz w:val="17"/>
              </w:rPr>
              <w:t>0.8750</w:t>
            </w:r>
          </w:p>
        </w:tc>
        <w:tc>
          <w:tcPr>
            <w:tcW w:w="1685" w:type="dxa"/>
            <w:shd w:val="clear" w:color="auto" w:fill="FFFFFF"/>
            <w:tcMar>
              <w:top w:w="35" w:type="dxa"/>
              <w:left w:w="45" w:type="dxa"/>
              <w:bottom w:w="35" w:type="dxa"/>
              <w:right w:w="45" w:type="dxa"/>
            </w:tcMar>
          </w:tcPr>
          <w:p w14:paraId="7F66908B" w14:textId="77777777" w:rsidR="000D53A5" w:rsidRDefault="002A77BC">
            <w:r>
              <w:rPr>
                <w:sz w:val="17"/>
              </w:rPr>
              <w:t>30 slices</w:t>
            </w:r>
          </w:p>
        </w:tc>
      </w:tr>
      <w:tr w:rsidR="000D53A5" w14:paraId="39C85423" w14:textId="77777777">
        <w:trPr>
          <w:jc w:val="center"/>
        </w:trPr>
        <w:tc>
          <w:tcPr>
            <w:tcW w:w="2160" w:type="dxa"/>
            <w:shd w:val="clear" w:color="auto" w:fill="EDF2F7"/>
            <w:tcMar>
              <w:top w:w="35" w:type="dxa"/>
              <w:left w:w="45" w:type="dxa"/>
              <w:bottom w:w="35" w:type="dxa"/>
              <w:right w:w="45" w:type="dxa"/>
            </w:tcMar>
          </w:tcPr>
          <w:p w14:paraId="2D6745D7" w14:textId="77777777" w:rsidR="000D53A5" w:rsidRDefault="002A77BC">
            <w:r>
              <w:rPr>
                <w:b/>
                <w:sz w:val="17"/>
              </w:rPr>
              <w:t>Overall / Macro Avg</w:t>
            </w:r>
          </w:p>
        </w:tc>
        <w:tc>
          <w:tcPr>
            <w:tcW w:w="1728" w:type="dxa"/>
            <w:shd w:val="clear" w:color="auto" w:fill="EDF2F7"/>
            <w:tcMar>
              <w:top w:w="35" w:type="dxa"/>
              <w:left w:w="45" w:type="dxa"/>
              <w:bottom w:w="35" w:type="dxa"/>
              <w:right w:w="45" w:type="dxa"/>
            </w:tcMar>
          </w:tcPr>
          <w:p w14:paraId="6DEF1215" w14:textId="77777777" w:rsidR="000D53A5" w:rsidRDefault="002A77BC">
            <w:r>
              <w:rPr>
                <w:b/>
                <w:sz w:val="17"/>
              </w:rPr>
              <w:t>0.8803 (88.03%)</w:t>
            </w:r>
          </w:p>
        </w:tc>
        <w:tc>
          <w:tcPr>
            <w:tcW w:w="1728" w:type="dxa"/>
            <w:shd w:val="clear" w:color="auto" w:fill="EDF2F7"/>
            <w:tcMar>
              <w:top w:w="35" w:type="dxa"/>
              <w:left w:w="45" w:type="dxa"/>
              <w:bottom w:w="35" w:type="dxa"/>
              <w:right w:w="45" w:type="dxa"/>
            </w:tcMar>
          </w:tcPr>
          <w:p w14:paraId="0795ACB0" w14:textId="77777777" w:rsidR="000D53A5" w:rsidRDefault="002A77BC">
            <w:r>
              <w:rPr>
                <w:b/>
                <w:sz w:val="17"/>
              </w:rPr>
              <w:t>0.8778 (87.78%)</w:t>
            </w:r>
          </w:p>
        </w:tc>
        <w:tc>
          <w:tcPr>
            <w:tcW w:w="1728" w:type="dxa"/>
            <w:shd w:val="clear" w:color="auto" w:fill="EDF2F7"/>
            <w:tcMar>
              <w:top w:w="35" w:type="dxa"/>
              <w:left w:w="45" w:type="dxa"/>
              <w:bottom w:w="35" w:type="dxa"/>
              <w:right w:w="45" w:type="dxa"/>
            </w:tcMar>
          </w:tcPr>
          <w:p w14:paraId="140E958F" w14:textId="77777777" w:rsidR="000D53A5" w:rsidRDefault="002A77BC">
            <w:r>
              <w:rPr>
                <w:b/>
                <w:sz w:val="17"/>
              </w:rPr>
              <w:t>0.8771</w:t>
            </w:r>
          </w:p>
        </w:tc>
        <w:tc>
          <w:tcPr>
            <w:tcW w:w="1685" w:type="dxa"/>
            <w:shd w:val="clear" w:color="auto" w:fill="EDF2F7"/>
            <w:tcMar>
              <w:top w:w="35" w:type="dxa"/>
              <w:left w:w="45" w:type="dxa"/>
              <w:bottom w:w="35" w:type="dxa"/>
              <w:right w:w="45" w:type="dxa"/>
            </w:tcMar>
          </w:tcPr>
          <w:p w14:paraId="0E8C5C94" w14:textId="77777777" w:rsidR="000D53A5" w:rsidRDefault="002A77BC">
            <w:r>
              <w:rPr>
                <w:b/>
                <w:sz w:val="17"/>
              </w:rPr>
              <w:t>90 slices (Acc: 87.78%)</w:t>
            </w:r>
          </w:p>
        </w:tc>
      </w:tr>
    </w:tbl>
    <w:p w14:paraId="5550894C" w14:textId="77777777" w:rsidR="000D53A5" w:rsidRDefault="000D53A5">
      <w:pPr>
        <w:spacing w:after="40"/>
      </w:pPr>
    </w:p>
    <w:p w14:paraId="0DB0067F" w14:textId="77777777" w:rsidR="000D53A5" w:rsidRDefault="002A77BC">
      <w:pPr>
        <w:spacing w:before="60" w:after="20"/>
        <w:jc w:val="center"/>
      </w:pPr>
      <w:r>
        <w:rPr>
          <w:noProof/>
        </w:rPr>
        <w:drawing>
          <wp:inline distT="0" distB="0" distL="0" distR="0" wp14:anchorId="71D86775" wp14:editId="1605F522">
            <wp:extent cx="3108960" cy="26648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3108960" cy="2664823"/>
                    </a:xfrm>
                    <a:prstGeom prst="rect">
                      <a:avLst/>
                    </a:prstGeom>
                  </pic:spPr>
                </pic:pic>
              </a:graphicData>
            </a:graphic>
          </wp:inline>
        </w:drawing>
      </w:r>
    </w:p>
    <w:p w14:paraId="34F60077" w14:textId="77777777" w:rsidR="000D53A5" w:rsidRDefault="002A77BC">
      <w:pPr>
        <w:spacing w:after="80"/>
        <w:jc w:val="center"/>
      </w:pPr>
      <w:r>
        <w:rPr>
          <w:i/>
          <w:color w:val="464646"/>
          <w:sz w:val="18"/>
        </w:rPr>
        <w:t>Figure 4: Confusion matrix heatmap illustrating true vs. predicted classifications across target categories.</w:t>
      </w:r>
    </w:p>
    <w:p w14:paraId="5C7CB643" w14:textId="77777777" w:rsidR="000D53A5" w:rsidRDefault="002A77BC">
      <w:pPr>
        <w:spacing w:after="60" w:line="360" w:lineRule="auto"/>
        <w:jc w:val="both"/>
      </w:pPr>
      <w:r>
        <w:lastRenderedPageBreak/>
        <w:t>Crucially, the empirical results confirm our theoretical hypothesis: the network attained an F1-score of 0.9492 on Non-Informative slices (96.55% precision). This confirms that a compact CNN effectively learns the macro-structural features distinguishing non-pulmonary anatomical cuts, preventing erroneous COVID-19 predictions on non-diagnostic imagery.</w:t>
      </w:r>
    </w:p>
    <w:p w14:paraId="37690ACC" w14:textId="77777777" w:rsidR="000D53A5" w:rsidRDefault="002A77BC">
      <w:pPr>
        <w:keepNext/>
        <w:spacing w:before="160" w:after="40" w:line="360" w:lineRule="auto"/>
      </w:pPr>
      <w:r>
        <w:rPr>
          <w:b/>
          <w:color w:val="0F1E46"/>
          <w:sz w:val="28"/>
        </w:rPr>
        <w:t>6. DISCUSSION, CLINICAL LIMITATIONS &amp; FUTURE DIRECTIONS</w:t>
      </w:r>
    </w:p>
    <w:p w14:paraId="53D00182" w14:textId="77777777" w:rsidR="000D53A5" w:rsidRDefault="002A77BC">
      <w:pPr>
        <w:keepNext/>
        <w:spacing w:before="120" w:after="40" w:line="360" w:lineRule="auto"/>
      </w:pPr>
      <w:r>
        <w:rPr>
          <w:b/>
          <w:color w:val="23375F"/>
          <w:sz w:val="26"/>
        </w:rPr>
        <w:t>6.1 Clinical Deployment Hurdles</w:t>
      </w:r>
    </w:p>
    <w:p w14:paraId="6DD6CA6A" w14:textId="77777777" w:rsidR="000D53A5" w:rsidRDefault="002A77BC">
      <w:pPr>
        <w:spacing w:after="60" w:line="360" w:lineRule="auto"/>
        <w:jc w:val="both"/>
      </w:pPr>
      <w:r>
        <w:t>Prospective deployment of deep learning CAD systems in emergency triage faces practical challenges:</w:t>
      </w:r>
    </w:p>
    <w:p w14:paraId="64203DD1" w14:textId="77777777" w:rsidR="000D53A5" w:rsidRDefault="002A77BC">
      <w:pPr>
        <w:pStyle w:val="ListBullet"/>
        <w:spacing w:after="40" w:line="360" w:lineRule="auto"/>
        <w:jc w:val="both"/>
      </w:pPr>
      <w:r>
        <w:rPr>
          <w:b/>
          <w:color w:val="141414"/>
        </w:rPr>
        <w:t xml:space="preserve">Scanner Heterogeneity: </w:t>
      </w:r>
      <w:r>
        <w:t>Reconstruction kernels, tube currents, and slice thicknesses vary widely across manufacturers (GE, Siemens, Philips), causing domain shifts that degrade out-of-hospital generalization.</w:t>
      </w:r>
    </w:p>
    <w:p w14:paraId="43F057C3" w14:textId="77777777" w:rsidR="000D53A5" w:rsidRDefault="002A77BC">
      <w:pPr>
        <w:pStyle w:val="ListBullet"/>
        <w:spacing w:after="40" w:line="360" w:lineRule="auto"/>
        <w:jc w:val="both"/>
      </w:pPr>
      <w:r>
        <w:rPr>
          <w:b/>
          <w:color w:val="141414"/>
        </w:rPr>
        <w:t xml:space="preserve">Pathological Overlap: </w:t>
      </w:r>
      <w:r>
        <w:t>Ground-glass opacities overlap with Influenza, Adenovirus, and bacterial pneumonias. CNNs cannot establish microbiological causation and must remain decision-support tools.</w:t>
      </w:r>
    </w:p>
    <w:p w14:paraId="7663AFB3" w14:textId="77777777" w:rsidR="000D53A5" w:rsidRDefault="002A77BC">
      <w:pPr>
        <w:pStyle w:val="ListBullet"/>
        <w:spacing w:after="40" w:line="360" w:lineRule="auto"/>
        <w:jc w:val="both"/>
      </w:pPr>
      <w:r>
        <w:rPr>
          <w:b/>
          <w:color w:val="141414"/>
        </w:rPr>
        <w:t xml:space="preserve">Black-Box Opacity: </w:t>
      </w:r>
      <w:r>
        <w:t>Clinicians require visual confirmation that classifications are based on real parenchymal lesions rather than scanner bed markers or ECG leads.</w:t>
      </w:r>
    </w:p>
    <w:p w14:paraId="69585A64" w14:textId="77777777" w:rsidR="000D53A5" w:rsidRDefault="002A77BC">
      <w:pPr>
        <w:keepNext/>
        <w:spacing w:before="120" w:after="40" w:line="360" w:lineRule="auto"/>
      </w:pPr>
      <w:r>
        <w:rPr>
          <w:b/>
          <w:color w:val="23375F"/>
          <w:sz w:val="26"/>
        </w:rPr>
        <w:t>6.2 Future Methodological Directions</w:t>
      </w:r>
    </w:p>
    <w:p w14:paraId="7D908B9C" w14:textId="77777777" w:rsidR="000D53A5" w:rsidRDefault="002A77BC">
      <w:pPr>
        <w:spacing w:after="60" w:line="360" w:lineRule="auto"/>
        <w:jc w:val="both"/>
      </w:pPr>
      <w:r>
        <w:t>Key directions for future medical AI systems include: (1) integrating Explainable AI (Grad-CAM) directly into web interfaces; (2) transitioning from independent 2D slice analysis to 3D volumetric contextual modeling (CNN-LSTM or 3D CNNs); and (3) adopting Federated Learning to train multi-center models without centralizing patient health information.</w:t>
      </w:r>
    </w:p>
    <w:p w14:paraId="2D48E558" w14:textId="77777777" w:rsidR="000D53A5" w:rsidRDefault="002A77BC">
      <w:pPr>
        <w:keepNext/>
        <w:spacing w:before="160" w:after="40" w:line="360" w:lineRule="auto"/>
      </w:pPr>
      <w:r>
        <w:rPr>
          <w:b/>
          <w:color w:val="0F1E46"/>
          <w:sz w:val="28"/>
        </w:rPr>
        <w:t>7. CONCLUSION</w:t>
      </w:r>
    </w:p>
    <w:p w14:paraId="60933C9B" w14:textId="77777777" w:rsidR="000D53A5" w:rsidRDefault="002A77BC">
      <w:pPr>
        <w:spacing w:after="60" w:line="360" w:lineRule="auto"/>
        <w:jc w:val="both"/>
      </w:pPr>
      <w:r>
        <w:t>This survey report provided an in-depth investigation into Convolutional Neural Networks for COVID-19 CT scan classification, specifically addressing the critical challenge of non-informative slice contamination. Our literature review analyzed transfer learning, custom medical architectures, segmentation pipelines, and vision transformers, exposing diagnostic vulnerabilities in conventional binary models. Our empirical case study validated that formulating the diagnostic task as a three-class problem provid</w:t>
      </w:r>
      <w:r>
        <w:t xml:space="preserve">es a robust, practical solution. Trained on a 19,685-image benchmark, our lightweight 3-layer CNN achieved 87.78% test accuracy, an F1-score of 0.9492 on non-informative slices, and 0.8070 on COVID Positive scans using under 4.3 million parameters. Combined with a clean Streamlit interface, this </w:t>
      </w:r>
      <w:r>
        <w:lastRenderedPageBreak/>
        <w:t>demonstrates that safe, efficient, and deployable computer-aided triage can be successfully realized on standard consumer laptop hardware.</w:t>
      </w:r>
    </w:p>
    <w:p w14:paraId="0B88E5C5" w14:textId="77777777" w:rsidR="000D53A5" w:rsidRDefault="002A77BC">
      <w:pPr>
        <w:keepNext/>
        <w:spacing w:before="160" w:after="40" w:line="360" w:lineRule="auto"/>
      </w:pPr>
      <w:r>
        <w:rPr>
          <w:b/>
          <w:color w:val="0F1E46"/>
          <w:sz w:val="28"/>
        </w:rPr>
        <w:t>8. REFERENCES</w:t>
      </w:r>
    </w:p>
    <w:p w14:paraId="1DE379C8" w14:textId="77777777" w:rsidR="000D53A5" w:rsidRDefault="002A77BC">
      <w:pPr>
        <w:spacing w:after="50" w:line="300" w:lineRule="auto"/>
        <w:jc w:val="both"/>
      </w:pPr>
      <w:r>
        <w:rPr>
          <w:sz w:val="19"/>
        </w:rPr>
        <w:t>[1] N. Zhu et al., "A novel coronavirus from patients with pneumonia in China, 2019," *N. Engl. J. Med.*, vol. 382, no. 8, pp. 727–733, 2020.</w:t>
      </w:r>
    </w:p>
    <w:p w14:paraId="3AC39E83" w14:textId="77777777" w:rsidR="000D53A5" w:rsidRDefault="002A77BC">
      <w:pPr>
        <w:spacing w:after="50" w:line="300" w:lineRule="auto"/>
        <w:jc w:val="both"/>
      </w:pPr>
      <w:r>
        <w:rPr>
          <w:sz w:val="19"/>
        </w:rPr>
        <w:t>[2] V. M. Corman et al., "Detection of 2019 novel coronavirus (2019-nCoV) by real-time RT-PCR," *Eurosurveillance*, vol. 25, no. 3, p. 2000045, 2020.</w:t>
      </w:r>
    </w:p>
    <w:p w14:paraId="7DA4CB8C" w14:textId="77777777" w:rsidR="000D53A5" w:rsidRDefault="002A77BC">
      <w:pPr>
        <w:spacing w:after="50" w:line="300" w:lineRule="auto"/>
        <w:jc w:val="both"/>
      </w:pPr>
      <w:r>
        <w:rPr>
          <w:sz w:val="19"/>
        </w:rPr>
        <w:t>[3] T. Ai et al., "Correlation of chest CT and RT-PCR testing for coronavirus disease 2019 in China: A report of 1014 cases," *Radiology*, vol. 296, no. 2, pp. E32–E40, 2020.</w:t>
      </w:r>
    </w:p>
    <w:p w14:paraId="3621B066" w14:textId="77777777" w:rsidR="000D53A5" w:rsidRDefault="002A77BC">
      <w:pPr>
        <w:spacing w:after="50" w:line="300" w:lineRule="auto"/>
        <w:jc w:val="both"/>
      </w:pPr>
      <w:r>
        <w:rPr>
          <w:sz w:val="19"/>
        </w:rPr>
        <w:t>[4] M. Chung et al., "CT imaging features of 2019 novel coronavirus (2019-nCoV)," *Radiology*, vol. 295, no. 1, pp. 202–207, 2020.</w:t>
      </w:r>
    </w:p>
    <w:p w14:paraId="4578FA51" w14:textId="77777777" w:rsidR="000D53A5" w:rsidRDefault="002A77BC">
      <w:pPr>
        <w:spacing w:after="50" w:line="300" w:lineRule="auto"/>
        <w:jc w:val="both"/>
      </w:pPr>
      <w:r>
        <w:rPr>
          <w:sz w:val="19"/>
        </w:rPr>
        <w:t>[5] Y. LeCun, Y. Bengio, and G. Hinton, "Deep learning," *Nature*, vol. 521, no. 7553, pp. 436–444, 2015.</w:t>
      </w:r>
    </w:p>
    <w:p w14:paraId="4D27D748" w14:textId="77777777" w:rsidR="000D53A5" w:rsidRDefault="002A77BC">
      <w:pPr>
        <w:spacing w:after="50" w:line="300" w:lineRule="auto"/>
        <w:jc w:val="both"/>
      </w:pPr>
      <w:r>
        <w:rPr>
          <w:sz w:val="19"/>
        </w:rPr>
        <w:t>[6] S. Latif et al., "Leveraging data science to combat COVID-19: A comprehensive review," *IEEE Trans. Artif. Intell.*, vol. 1, no. 1, pp. 85–103, 2020.</w:t>
      </w:r>
    </w:p>
    <w:p w14:paraId="0C7AC78A" w14:textId="77777777" w:rsidR="000D53A5" w:rsidRDefault="002A77BC">
      <w:pPr>
        <w:spacing w:after="50" w:line="300" w:lineRule="auto"/>
        <w:jc w:val="both"/>
      </w:pPr>
      <w:r>
        <w:rPr>
          <w:sz w:val="19"/>
        </w:rPr>
        <w:t>[7] I. D. Apostolopoulos and T. A. Mpesiana, "Covid-19: Automatic detection from X-ray images utilizing transfer learning with CNNs," *Phys. Eng. Sci. Med.*, vol. 43, no. 2, pp. 635–640, 2020.</w:t>
      </w:r>
    </w:p>
    <w:p w14:paraId="5D45BF90" w14:textId="77777777" w:rsidR="000D53A5" w:rsidRDefault="002A77BC">
      <w:pPr>
        <w:spacing w:after="50" w:line="300" w:lineRule="auto"/>
        <w:jc w:val="both"/>
      </w:pPr>
      <w:r>
        <w:rPr>
          <w:sz w:val="19"/>
        </w:rPr>
        <w:t>[8] X. He et al., "Sample-efficient deep learning for COVID-19 diagnosis with chest CT," *IEEE Trans. Med. Imaging*, vol. 39, no. 8, pp. 2617–2625, 2020.</w:t>
      </w:r>
    </w:p>
    <w:p w14:paraId="57D2EDA0" w14:textId="77777777" w:rsidR="000D53A5" w:rsidRDefault="002A77BC">
      <w:pPr>
        <w:spacing w:after="50" w:line="300" w:lineRule="auto"/>
        <w:jc w:val="both"/>
      </w:pPr>
      <w:r>
        <w:rPr>
          <w:sz w:val="19"/>
        </w:rPr>
        <w:t>[9] A. A. Ardakani et al., "Application of deep learning technique to manage COVID-19 in routine clinical practice using CT images," *Comput. Biol. Med.*, vol. 121, p. 103795, 2020.</w:t>
      </w:r>
    </w:p>
    <w:p w14:paraId="51F2E5B2" w14:textId="77777777" w:rsidR="000D53A5" w:rsidRDefault="002A77BC">
      <w:pPr>
        <w:spacing w:after="50" w:line="300" w:lineRule="auto"/>
        <w:jc w:val="both"/>
      </w:pPr>
      <w:r>
        <w:rPr>
          <w:sz w:val="19"/>
        </w:rPr>
        <w:t>[10] L. Wang, Z. Q. Lin, and A. Wong, "COVID-Net: A tailored deep convolutional neural network design for detection of COVID-19 cases," *Sci. Rep.*, vol. 10, no. 1, p. 19549, 2020.</w:t>
      </w:r>
    </w:p>
    <w:p w14:paraId="6E62BDF2" w14:textId="77777777" w:rsidR="000D53A5" w:rsidRDefault="002A77BC">
      <w:pPr>
        <w:spacing w:after="50" w:line="300" w:lineRule="auto"/>
        <w:jc w:val="both"/>
      </w:pPr>
      <w:r>
        <w:rPr>
          <w:sz w:val="19"/>
        </w:rPr>
        <w:t>[11] T. Ozturk et al., "Automated detection of COVID-19 cases using deep neural networks with X-ray images," *Comput. Biol. Med.*, vol. 121, p. 103792, 2020.</w:t>
      </w:r>
    </w:p>
    <w:p w14:paraId="5D1DD669" w14:textId="77777777" w:rsidR="000D53A5" w:rsidRDefault="002A77BC">
      <w:pPr>
        <w:spacing w:after="50" w:line="300" w:lineRule="auto"/>
        <w:jc w:val="both"/>
      </w:pPr>
      <w:r>
        <w:rPr>
          <w:sz w:val="19"/>
        </w:rPr>
        <w:t>[12] F. Shan et al., "Abnormal lung imaging features in COVID-19 patients: A computer-aided CT analysis based on VB-Net," *Eur. J. Radiol.*, vol. 132, p. 109287, 2020.</w:t>
      </w:r>
    </w:p>
    <w:p w14:paraId="5CB770C1" w14:textId="77777777" w:rsidR="000D53A5" w:rsidRDefault="002A77BC">
      <w:pPr>
        <w:spacing w:after="50" w:line="300" w:lineRule="auto"/>
        <w:jc w:val="both"/>
      </w:pPr>
      <w:r>
        <w:rPr>
          <w:sz w:val="19"/>
        </w:rPr>
        <w:t>[13] W. Ning et al., "Open-resource CPU-based deep-learning solutions for rapid screening of COVID-19 pneumonia on chest CT," *IEEE Trans. Med. Imaging*, vol. 39, no. 8, pp. 2786–2796, 2020.</w:t>
      </w:r>
    </w:p>
    <w:p w14:paraId="046D8A90" w14:textId="77777777" w:rsidR="000D53A5" w:rsidRDefault="002A77BC">
      <w:pPr>
        <w:spacing w:after="50" w:line="300" w:lineRule="auto"/>
        <w:jc w:val="both"/>
      </w:pPr>
      <w:r>
        <w:rPr>
          <w:sz w:val="19"/>
        </w:rPr>
        <w:t>[14] A. Aziz, N. M. Bazhdar, and S. Al-Karawi, "UncertaintyFuseNet: Robust uncertainty-aware deep learning framework for CT-based COVID-19 detection with non-informative slice filtering," *IEEE Access*, vol. 9, pp. 142100–142115, 2021.</w:t>
      </w:r>
    </w:p>
    <w:p w14:paraId="79695FBF" w14:textId="77777777" w:rsidR="000D53A5" w:rsidRDefault="002A77BC">
      <w:pPr>
        <w:spacing w:after="50" w:line="300" w:lineRule="auto"/>
        <w:jc w:val="both"/>
      </w:pPr>
      <w:r>
        <w:rPr>
          <w:sz w:val="19"/>
        </w:rPr>
        <w:t>[15] A. Dosovitskiy et al., "An image is worth 16x16 words: Transformers for image recognition at scale," in *Proc. ICLR*, 2021.</w:t>
      </w:r>
    </w:p>
    <w:p w14:paraId="5A8B0D62" w14:textId="77777777" w:rsidR="000D53A5" w:rsidRDefault="002A77BC">
      <w:pPr>
        <w:spacing w:after="50" w:line="300" w:lineRule="auto"/>
        <w:jc w:val="both"/>
      </w:pPr>
      <w:r>
        <w:rPr>
          <w:sz w:val="19"/>
        </w:rPr>
        <w:t>[16] Y. Gao, M. Xiao, and S. Liu, "COVID-ViT: Vision transformer for COVID-19 diagnosis on chest CT scans," *Comput. Biol. Med.*, vol. 138, p. 104887, 2021.</w:t>
      </w:r>
    </w:p>
    <w:sectPr w:rsidR="000D53A5" w:rsidSect="00034616">
      <w:headerReference w:type="default" r:id="rId12"/>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8B411" w14:textId="77777777" w:rsidR="002A77BC" w:rsidRDefault="002A77BC">
      <w:pPr>
        <w:spacing w:after="0" w:line="240" w:lineRule="auto"/>
      </w:pPr>
      <w:r>
        <w:separator/>
      </w:r>
    </w:p>
  </w:endnote>
  <w:endnote w:type="continuationSeparator" w:id="0">
    <w:p w14:paraId="493AEA48" w14:textId="77777777" w:rsidR="002A77BC" w:rsidRDefault="002A77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37CB8" w14:textId="77777777" w:rsidR="002A77BC" w:rsidRDefault="002A77BC">
      <w:pPr>
        <w:spacing w:after="0" w:line="240" w:lineRule="auto"/>
      </w:pPr>
      <w:r>
        <w:separator/>
      </w:r>
    </w:p>
  </w:footnote>
  <w:footnote w:type="continuationSeparator" w:id="0">
    <w:p w14:paraId="24B78B74" w14:textId="77777777" w:rsidR="002A77BC" w:rsidRDefault="002A77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EC37E" w14:textId="77777777" w:rsidR="000D53A5" w:rsidRDefault="002A77BC">
    <w:pPr>
      <w:pStyle w:val="Header"/>
      <w:jc w:val="right"/>
    </w:pPr>
    <w:r>
      <w:rPr>
        <w:color w:val="787878"/>
        <w:sz w:val="17"/>
      </w:rPr>
      <w:t>Case Study &amp; Survey Paper: Three-Class COVID-19 Classification Using CNN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3426591">
    <w:abstractNumId w:val="8"/>
  </w:num>
  <w:num w:numId="2" w16cid:durableId="1522822410">
    <w:abstractNumId w:val="6"/>
  </w:num>
  <w:num w:numId="3" w16cid:durableId="1275871301">
    <w:abstractNumId w:val="5"/>
  </w:num>
  <w:num w:numId="4" w16cid:durableId="2126804795">
    <w:abstractNumId w:val="4"/>
  </w:num>
  <w:num w:numId="5" w16cid:durableId="1409883061">
    <w:abstractNumId w:val="7"/>
  </w:num>
  <w:num w:numId="6" w16cid:durableId="470640383">
    <w:abstractNumId w:val="3"/>
  </w:num>
  <w:num w:numId="7" w16cid:durableId="1149639432">
    <w:abstractNumId w:val="2"/>
  </w:num>
  <w:num w:numId="8" w16cid:durableId="884634412">
    <w:abstractNumId w:val="1"/>
  </w:num>
  <w:num w:numId="9" w16cid:durableId="1852601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3A5"/>
    <w:rsid w:val="0015074B"/>
    <w:rsid w:val="0029639D"/>
    <w:rsid w:val="002A77BC"/>
    <w:rsid w:val="00326F90"/>
    <w:rsid w:val="008F76CF"/>
    <w:rsid w:val="00AA1D8D"/>
    <w:rsid w:val="00B47730"/>
    <w:rsid w:val="00CB0664"/>
    <w:rsid w:val="00CE32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4B4978F5-A298-467E-8655-E5E079118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2612</Words>
  <Characters>16887</Characters>
  <Application>Microsoft Office Word</Application>
  <DocSecurity>0</DocSecurity>
  <Lines>399</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Arshad Kasim Vali</cp:lastModifiedBy>
  <cp:revision>2</cp:revision>
  <dcterms:created xsi:type="dcterms:W3CDTF">2013-12-23T23:15:00Z</dcterms:created>
  <dcterms:modified xsi:type="dcterms:W3CDTF">2026-10-29T20:08:00Z</dcterms:modified>
  <cp:category/>
</cp:coreProperties>
</file>