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Model Design</w:t>
      </w:r>
    </w:p>
    <w:p>
      <w:pPr>
        <w:pStyle w:val="Heading1"/>
      </w:pPr>
      <w:r>
        <w:t>Power BI Model Design</w:t>
      </w:r>
    </w:p>
    <w:p/>
    <w:p>
      <w:pPr>
        <w:pStyle w:val="Heading2"/>
      </w:pPr>
      <w:r>
        <w:t>Dimensional Model</w:t>
      </w:r>
    </w:p>
    <w:p>
      <w:r>
        <w:t>- Star schema with conformed dimensions (`DimDate`, `DimTickets/Work`, `DimVendors`, `DimPrice`).</w:t>
      </w:r>
    </w:p>
    <w:p>
      <w:r>
        <w:t>- Fact tables: `FactTickets`, `FactSpend`, `FactForecastAccuracy`.</w:t>
      </w:r>
    </w:p>
    <w:p/>
    <w:p>
      <w:pPr>
        <w:pStyle w:val="Heading2"/>
      </w:pPr>
      <w:r>
        <w:t>Best Practices Used</w:t>
      </w:r>
    </w:p>
    <w:p>
      <w:r>
        <w:t>- Keep numeric columns in Facts; group textual attributes into Dimensions.</w:t>
      </w:r>
    </w:p>
    <w:p>
      <w:r>
        <w:t>- Avoid bi-directional relationships unless necessary; prefer single-direction with role-playing dates.</w:t>
      </w:r>
    </w:p>
    <w:p>
      <w:r>
        <w:t>- Use surrogate keys; avoid auto-detecting relationships.</w:t>
      </w:r>
    </w:p>
    <w:p/>
    <w:p>
      <w:pPr>
        <w:pStyle w:val="Heading2"/>
      </w:pPr>
      <w:r>
        <w:t>Dataflows &amp; Refresh</w:t>
      </w:r>
    </w:p>
    <w:p>
      <w:r>
        <w:t>- Prefer Power Query transformations in Dataflows for reuse and governance.</w:t>
      </w:r>
    </w:p>
    <w:p>
      <w:r>
        <w:t>- Enable Incremental Refresh on large fact tables; ensure query folding.</w:t>
      </w:r>
    </w:p>
    <w:p>
      <w:r>
        <w:t>- Gateway configuration documented in `Data_Gateways_and_Connections.md`.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