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271E" w14:textId="77777777" w:rsidR="00AE7228" w:rsidRPr="00657D29" w:rsidRDefault="00AE7228" w:rsidP="00AE7228">
      <w:pPr>
        <w:jc w:val="center"/>
        <w:rPr>
          <w:szCs w:val="28"/>
        </w:rPr>
      </w:pPr>
      <w:r>
        <w:rPr>
          <w:szCs w:val="28"/>
        </w:rPr>
        <w:t>МИНИСТЕРСТВО ОБРАЗОВАНИЯ РЕСП</w:t>
      </w:r>
      <w:r w:rsidRPr="00657D29">
        <w:rPr>
          <w:szCs w:val="28"/>
        </w:rPr>
        <w:t>УБЛИКИ БЕЛАРУСЬ</w:t>
      </w:r>
    </w:p>
    <w:p w14:paraId="56DE7D25" w14:textId="77777777" w:rsidR="00AE7228" w:rsidRPr="00657D29" w:rsidRDefault="00AE7228" w:rsidP="00AE7228">
      <w:pPr>
        <w:jc w:val="center"/>
        <w:rPr>
          <w:szCs w:val="28"/>
        </w:rPr>
      </w:pPr>
      <w:r w:rsidRPr="00657D29">
        <w:rPr>
          <w:szCs w:val="28"/>
        </w:rPr>
        <w:t xml:space="preserve">Учреждение образования </w:t>
      </w:r>
      <w:r w:rsidRPr="00657D29">
        <w:rPr>
          <w:szCs w:val="28"/>
        </w:rPr>
        <w:br/>
        <w:t>«БЕЛОРУССКИЙ ГОСУДАРСТВЕННЫЙ ТЕХНОЛОГИЧЕСКИЙ УНИВЕРСИТЕТ»</w:t>
      </w:r>
    </w:p>
    <w:p w14:paraId="3073C6B7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649B1EE3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2DFCE473" w14:textId="77777777" w:rsidR="00AE7228" w:rsidRPr="00DE2EC2" w:rsidRDefault="00AE7228" w:rsidP="00AE7228">
      <w:pPr>
        <w:rPr>
          <w:szCs w:val="24"/>
        </w:rPr>
      </w:pPr>
      <w:r w:rsidRPr="00DE2EC2">
        <w:rPr>
          <w:szCs w:val="24"/>
        </w:rPr>
        <w:t>Факультет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  <w:t>Информационных технологий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59D4DE87" w14:textId="77777777" w:rsidR="00AE7228" w:rsidRPr="00DE2EC2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Кафедра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669B736" w14:textId="77777777" w:rsidR="00AE7228" w:rsidRPr="00D34D45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Специальность</w:t>
      </w:r>
      <w:r w:rsidRPr="00DE2EC2">
        <w:rPr>
          <w:szCs w:val="24"/>
          <w:u w:val="single"/>
        </w:rPr>
        <w:tab/>
        <w:t>1-40 05 01 Информационные системы и технологии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30A6681D" w14:textId="77777777" w:rsidR="00AE7228" w:rsidRPr="00DE2EC2" w:rsidRDefault="00AE7228" w:rsidP="00AE7228">
      <w:pPr>
        <w:ind w:left="426"/>
        <w:rPr>
          <w:sz w:val="24"/>
          <w:szCs w:val="27"/>
          <w:u w:val="single"/>
          <w:shd w:val="clear" w:color="auto" w:fill="FFFFFF"/>
        </w:rPr>
      </w:pPr>
    </w:p>
    <w:p w14:paraId="7AF4DDAC" w14:textId="77777777" w:rsidR="00AE7228" w:rsidRPr="00DE2EC2" w:rsidRDefault="00AE7228" w:rsidP="00AE7228">
      <w:pPr>
        <w:jc w:val="center"/>
        <w:rPr>
          <w:b/>
          <w:sz w:val="32"/>
          <w:szCs w:val="27"/>
          <w:shd w:val="clear" w:color="auto" w:fill="FFFFFF"/>
        </w:rPr>
      </w:pPr>
      <w:r w:rsidRPr="00DE2EC2">
        <w:rPr>
          <w:b/>
          <w:sz w:val="32"/>
          <w:szCs w:val="27"/>
          <w:shd w:val="clear" w:color="auto" w:fill="FFFFFF"/>
        </w:rPr>
        <w:t>ПОЯСНИТЕЛЬНАЯ ЗАПИСКА</w:t>
      </w:r>
    </w:p>
    <w:p w14:paraId="1EE91815" w14:textId="77777777" w:rsidR="00AE7228" w:rsidRPr="001169EA" w:rsidRDefault="00AE7228" w:rsidP="00AE7228">
      <w:pPr>
        <w:ind w:left="426"/>
        <w:rPr>
          <w:szCs w:val="28"/>
          <w:shd w:val="clear" w:color="auto" w:fill="FFFFFF"/>
        </w:rPr>
      </w:pPr>
    </w:p>
    <w:p w14:paraId="6F4D9632" w14:textId="77777777" w:rsidR="00AE7228" w:rsidRPr="007C6D89" w:rsidRDefault="00AE7228" w:rsidP="00AE7228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D34D45">
        <w:rPr>
          <w:szCs w:val="28"/>
        </w:rPr>
        <w:t xml:space="preserve"> </w:t>
      </w:r>
      <w:r w:rsidRPr="007C11AC">
        <w:rPr>
          <w:sz w:val="24"/>
          <w:szCs w:val="24"/>
          <w:u w:val="single"/>
        </w:rPr>
        <w:t>«</w:t>
      </w:r>
      <w:r w:rsidRPr="007C11AC">
        <w:rPr>
          <w:szCs w:val="24"/>
          <w:u w:val="single"/>
        </w:rPr>
        <w:t>Проектирование программного обеспечения»</w:t>
      </w:r>
    </w:p>
    <w:p w14:paraId="0E8801B1" w14:textId="6199BA72" w:rsidR="00AE7228" w:rsidRPr="000F482F" w:rsidRDefault="00AE7228" w:rsidP="000F482F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</w:rPr>
      </w:pPr>
      <w:r w:rsidRPr="00047194">
        <w:rPr>
          <w:szCs w:val="28"/>
        </w:rPr>
        <w:t>Тема</w:t>
      </w:r>
      <w:r w:rsidRPr="004C43A0">
        <w:rPr>
          <w:szCs w:val="28"/>
        </w:rPr>
        <w:t>:</w:t>
      </w:r>
      <w:r w:rsidRPr="000F482F">
        <w:rPr>
          <w:szCs w:val="28"/>
        </w:rPr>
        <w:t xml:space="preserve"> «разработка информационной системы </w:t>
      </w:r>
      <w:r w:rsidR="00C01321">
        <w:rPr>
          <w:szCs w:val="28"/>
        </w:rPr>
        <w:t>Театра</w:t>
      </w:r>
      <w:r w:rsidRPr="000F482F">
        <w:rPr>
          <w:szCs w:val="28"/>
        </w:rPr>
        <w:t>»</w:t>
      </w:r>
    </w:p>
    <w:p w14:paraId="0E91EEF5" w14:textId="03F5EBFC" w:rsidR="000F482F" w:rsidRPr="000F482F" w:rsidRDefault="000F482F" w:rsidP="00AE7228">
      <w:pPr>
        <w:pStyle w:val="a3"/>
        <w:tabs>
          <w:tab w:val="left" w:pos="2160"/>
          <w:tab w:val="left" w:pos="10035"/>
        </w:tabs>
        <w:spacing w:after="1560"/>
        <w:ind w:firstLine="0"/>
      </w:pPr>
      <w:r>
        <w:t>Цель:</w:t>
      </w:r>
      <w:r w:rsidR="00EB1897">
        <w:t xml:space="preserve"> «Изучение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системе»</w:t>
      </w:r>
    </w:p>
    <w:p w14:paraId="12B58ACB" w14:textId="77777777" w:rsidR="00AE7228" w:rsidRPr="00DE2EC2" w:rsidRDefault="00AE7228" w:rsidP="00AE7228">
      <w:pPr>
        <w:rPr>
          <w:sz w:val="24"/>
          <w:szCs w:val="27"/>
          <w:u w:val="single"/>
          <w:shd w:val="clear" w:color="auto" w:fill="FFFFFF"/>
        </w:rPr>
      </w:pPr>
    </w:p>
    <w:p w14:paraId="599A36A8" w14:textId="77777777" w:rsidR="00AE7228" w:rsidRPr="00047194" w:rsidRDefault="00AE7228" w:rsidP="00AE7228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0C2FAB9E" w14:textId="0EA1AC64" w:rsidR="00AE7228" w:rsidRPr="0038408F" w:rsidRDefault="00AE7228" w:rsidP="00AE7228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>
        <w:rPr>
          <w:szCs w:val="28"/>
        </w:rPr>
        <w:t>3 курса 1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</w:t>
      </w:r>
      <w:r w:rsidR="00C01321">
        <w:rPr>
          <w:szCs w:val="28"/>
          <w:u w:val="single"/>
        </w:rPr>
        <w:t>Палазник</w:t>
      </w:r>
      <w:r>
        <w:rPr>
          <w:szCs w:val="28"/>
          <w:u w:val="single"/>
        </w:rPr>
        <w:t xml:space="preserve"> </w:t>
      </w:r>
      <w:r w:rsidR="00C01321">
        <w:rPr>
          <w:szCs w:val="28"/>
          <w:u w:val="single"/>
        </w:rPr>
        <w:t>Арсений</w:t>
      </w:r>
      <w:r>
        <w:rPr>
          <w:szCs w:val="28"/>
          <w:u w:val="single"/>
        </w:rPr>
        <w:t xml:space="preserve"> </w:t>
      </w:r>
      <w:r w:rsidR="00C01321">
        <w:rPr>
          <w:szCs w:val="28"/>
          <w:u w:val="single"/>
        </w:rPr>
        <w:t>Викторович</w:t>
      </w:r>
    </w:p>
    <w:p w14:paraId="1BD7850C" w14:textId="77777777" w:rsidR="00AE7228" w:rsidRPr="00047194" w:rsidRDefault="00AE7228" w:rsidP="00AE7228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</w:t>
      </w:r>
      <w:r w:rsidRPr="00047194">
        <w:rPr>
          <w:szCs w:val="28"/>
        </w:rPr>
        <w:t>(Ф.И.О.)</w:t>
      </w:r>
    </w:p>
    <w:p w14:paraId="3AC00206" w14:textId="52515A83" w:rsidR="003E3D97" w:rsidRDefault="003E3D97">
      <w:pPr>
        <w:spacing w:line="259" w:lineRule="auto"/>
      </w:pPr>
      <w:r>
        <w:br w:type="page"/>
      </w:r>
    </w:p>
    <w:p w14:paraId="6E51CDF0" w14:textId="77777777" w:rsidR="00904216" w:rsidRDefault="00904216" w:rsidP="00904216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1. Описание функциональных требований</w:t>
      </w:r>
    </w:p>
    <w:p w14:paraId="1620F832" w14:textId="77777777" w:rsidR="00B20FFF" w:rsidRDefault="00B20FFF" w:rsidP="00B20FFF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Для информационной системы театра </w:t>
      </w:r>
      <w:r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"Light </w:t>
      </w:r>
      <w:proofErr w:type="spellStart"/>
      <w:r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and</w:t>
      </w:r>
      <w:proofErr w:type="spellEnd"/>
      <w:r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Shadows</w:t>
      </w:r>
      <w:proofErr w:type="spellEnd"/>
      <w:r w:rsidRPr="00EA212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"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были выделены следующие функциональные требования:</w:t>
      </w:r>
    </w:p>
    <w:p w14:paraId="09DE48AB" w14:textId="77777777" w:rsidR="00B20FFF" w:rsidRDefault="00B20FFF" w:rsidP="00B20FFF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спектаклями:</w:t>
      </w:r>
    </w:p>
    <w:p w14:paraId="14C15B1C" w14:textId="512CA07F" w:rsidR="00E77238" w:rsidRPr="003133F8" w:rsidRDefault="00E77238" w:rsidP="003133F8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календаря предстоящих спектаклей</w:t>
      </w:r>
      <w:r w:rsidRPr="003133F8">
        <w:rPr>
          <w:rFonts w:eastAsia="Times New Roman" w:cs="Times New Roman"/>
          <w:color w:val="222222"/>
          <w:szCs w:val="28"/>
          <w:lang w:eastAsia="ru-RU"/>
        </w:rPr>
        <w:t>.</w:t>
      </w:r>
    </w:p>
    <w:p w14:paraId="2EC479CB" w14:textId="7BB94CAC" w:rsidR="00B20FFF" w:rsidRDefault="00B20FFF" w:rsidP="00B20FFF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bookmarkStart w:id="0" w:name="_Hlk147142836"/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Бронирование </w:t>
      </w:r>
      <w:r w:rsidR="00E7723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мест и покупка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билетов</w:t>
      </w:r>
      <w:bookmarkEnd w:id="0"/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42812C0D" w14:textId="77777777" w:rsidR="00B20FFF" w:rsidRDefault="00B20FFF" w:rsidP="00B20FFF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1" w:name="_Hlk147142863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возможность зрителей выбирать спектакль и вид места (партер, бельэтаж, ложа и т.д.)</w:t>
      </w:r>
      <w:bookmarkEnd w:id="1"/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30638A03" w14:textId="3A4469F4" w:rsidR="00D63BC0" w:rsidRDefault="00B20FFF" w:rsidP="00D63BC0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bookmarkStart w:id="2" w:name="_Hlk147142927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заказа на билет</w:t>
      </w:r>
      <w:bookmarkEnd w:id="2"/>
      <w:r w:rsidR="00E7723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ы.</w:t>
      </w:r>
    </w:p>
    <w:p w14:paraId="69997507" w14:textId="5EAC6B63" w:rsidR="00D63BC0" w:rsidRDefault="00D63BC0" w:rsidP="00D63BC0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События непосредственно до начала спектакля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3F2B759E" w14:textId="78004A98" w:rsidR="00D63BC0" w:rsidRDefault="00D63BC0" w:rsidP="00D63BC0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напоминание пользователям с бронью о том, что сегодня будет выступление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15B55C0F" w14:textId="3859AAD1" w:rsidR="00D63BC0" w:rsidRPr="00D63BC0" w:rsidRDefault="00D63BC0" w:rsidP="00D63BC0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оповещение пользователей об отмене спектакля на случай непредвиденных обстоятельств и возврат им средств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3644B77" w14:textId="1159BBA8" w:rsidR="00904216" w:rsidRPr="00B20FFF" w:rsidRDefault="00904216" w:rsidP="00E77238">
      <w:pPr>
        <w:pStyle w:val="a5"/>
        <w:tabs>
          <w:tab w:val="left" w:pos="993"/>
        </w:tabs>
        <w:spacing w:after="0" w:line="254" w:lineRule="auto"/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20FFF">
        <w:rPr>
          <w:rFonts w:eastAsia="Times New Roman" w:cs="Times New Roman"/>
          <w:color w:val="222222"/>
          <w:szCs w:val="28"/>
          <w:lang w:eastAsia="ru-RU"/>
        </w:rPr>
        <w:br w:type="page"/>
      </w:r>
    </w:p>
    <w:p w14:paraId="076B5ACB" w14:textId="02E76D4A" w:rsidR="008E21E2" w:rsidRPr="00812A9D" w:rsidRDefault="000B5CED" w:rsidP="008E21E2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2. </w:t>
      </w:r>
      <w:r w:rsidR="008E21E2" w:rsidRPr="00812A9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>Описание программных средств</w:t>
      </w:r>
    </w:p>
    <w:p w14:paraId="3C86D1BF" w14:textId="77777777" w:rsidR="008E21E2" w:rsidRDefault="008E21E2" w:rsidP="008E21E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Проектирование функциональной модели проходилось на интернет-ресурсе draw.io от разработчика </w:t>
      </w:r>
      <w:proofErr w:type="spellStart"/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JGraph</w:t>
      </w:r>
      <w:proofErr w:type="spellEnd"/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, адрес загрузки https://www.diagrams.net/, режим использования: онлайн через веб-браузер, доступность на платформах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 в</w:t>
      </w: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 основные веб-браузеры для онлайн-версии.</w:t>
      </w:r>
    </w:p>
    <w:p w14:paraId="160A2B42" w14:textId="6F353206" w:rsidR="002B4572" w:rsidRDefault="002B4572">
      <w:pPr>
        <w:spacing w:line="259" w:lineRule="auto"/>
      </w:pPr>
      <w:r>
        <w:br w:type="page"/>
      </w:r>
    </w:p>
    <w:p w14:paraId="4E55A1A4" w14:textId="77777777" w:rsidR="00931F55" w:rsidRPr="00837CAF" w:rsidRDefault="00931F55" w:rsidP="00837CAF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837CAF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>3. Описание практического задания</w:t>
      </w:r>
    </w:p>
    <w:p w14:paraId="4B3369A6" w14:textId="7D847E1E" w:rsidR="00A139C9" w:rsidRPr="004401BB" w:rsidRDefault="00A139C9" w:rsidP="004401B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4401B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Для информационной системы </w:t>
      </w:r>
      <w:r w:rsidR="00B20FF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театра</w:t>
      </w:r>
      <w:r w:rsidRPr="004401B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 «</w:t>
      </w:r>
      <w:r w:rsidR="00B20FFF">
        <w:rPr>
          <w:rFonts w:eastAsia="Times New Roman" w:cs="Times New Roman"/>
          <w:bCs/>
          <w:color w:val="222222"/>
          <w:kern w:val="0"/>
          <w:szCs w:val="28"/>
          <w:lang w:val="en-US" w:eastAsia="ru-RU"/>
          <w14:ligatures w14:val="none"/>
        </w:rPr>
        <w:t>Lights</w:t>
      </w:r>
      <w:r w:rsidR="00B20FFF" w:rsidRPr="00B20FF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 </w:t>
      </w:r>
      <w:r w:rsidR="00B20FFF">
        <w:rPr>
          <w:rFonts w:eastAsia="Times New Roman" w:cs="Times New Roman"/>
          <w:bCs/>
          <w:color w:val="222222"/>
          <w:kern w:val="0"/>
          <w:szCs w:val="28"/>
          <w:lang w:val="en-US" w:eastAsia="ru-RU"/>
          <w14:ligatures w14:val="none"/>
        </w:rPr>
        <w:t>and</w:t>
      </w:r>
      <w:r w:rsidR="00B20FFF" w:rsidRPr="00B20FF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 </w:t>
      </w:r>
      <w:r w:rsidR="00B20FFF">
        <w:rPr>
          <w:rFonts w:eastAsia="Times New Roman" w:cs="Times New Roman"/>
          <w:bCs/>
          <w:color w:val="222222"/>
          <w:kern w:val="0"/>
          <w:szCs w:val="28"/>
          <w:lang w:val="en-US" w:eastAsia="ru-RU"/>
          <w14:ligatures w14:val="none"/>
        </w:rPr>
        <w:t>Shadows</w:t>
      </w:r>
      <w:r w:rsidRPr="004401B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» были разработаны следующие бизнес-процессы:</w:t>
      </w:r>
    </w:p>
    <w:p w14:paraId="28A1AC47" w14:textId="44DF610A" w:rsidR="00A96A96" w:rsidRPr="00A96A96" w:rsidRDefault="00A96A96" w:rsidP="005933F8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1. </w:t>
      </w:r>
      <w:r w:rsidR="00B20FF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Управление спектаклями</w:t>
      </w:r>
    </w:p>
    <w:p w14:paraId="5D5AEC5E" w14:textId="11924B14" w:rsidR="00A96A96" w:rsidRDefault="00A96A96" w:rsidP="00BF0F6E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Процесс 1.1 </w:t>
      </w:r>
      <w:r w:rsidR="00D63BC0">
        <w:rPr>
          <w:rFonts w:eastAsia="Times New Roman" w:cs="Times New Roman"/>
          <w:color w:val="222222"/>
          <w:szCs w:val="28"/>
          <w:lang w:eastAsia="ru-RU"/>
        </w:rPr>
        <w:t>С</w:t>
      </w:r>
      <w:r w:rsidR="00D63BC0">
        <w:rPr>
          <w:rFonts w:eastAsia="Times New Roman" w:cs="Times New Roman"/>
          <w:color w:val="222222"/>
          <w:szCs w:val="28"/>
          <w:lang w:eastAsia="ru-RU"/>
        </w:rPr>
        <w:t>оздание календаря предстоящих спектаклей</w:t>
      </w:r>
      <w:r w:rsidR="00D63BC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(рис.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.1)</w:t>
      </w:r>
      <w:r w:rsidR="00111FA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2AE5BD5D" w14:textId="40FA0486" w:rsidR="00B378E4" w:rsidRPr="00DD7FF2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Входные данные: </w:t>
      </w:r>
      <w:r w:rsidR="00D63BC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список спектаклей</w:t>
      </w:r>
      <w:r w:rsidR="00D17F6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7D0DF598" w14:textId="09B7D87C" w:rsidR="00B378E4" w:rsidRPr="00A96A96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042AC46B" w14:textId="35FB67B6" w:rsidR="00A96A96" w:rsidRPr="00A96A96" w:rsidRDefault="00D63BC0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распределение каждого спектакля на определенное время</w:t>
      </w:r>
      <w:r w:rsidR="00BB0062" w:rsidRPr="00A26EC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21561B9" w14:textId="0D8FFB90" w:rsidR="00A96A96" w:rsidRDefault="00D63BC0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обновление информации в базе данных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08494F72" w14:textId="0A52173C" w:rsidR="00026FB8" w:rsidRDefault="00471B66" w:rsidP="00D23BA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65E76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Выходные данные: </w:t>
      </w:r>
      <w:r w:rsidR="00D63BC0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календарь спектаклей</w:t>
      </w:r>
      <w:r w:rsidR="006C41C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03E8FBBC" w14:textId="0C3FA94B" w:rsidR="00D23BAE" w:rsidRDefault="00D63BC0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D63BC0">
        <w:rPr>
          <w:noProof/>
        </w:rPr>
        <w:drawing>
          <wp:inline distT="0" distB="0" distL="0" distR="0" wp14:anchorId="014E6A55" wp14:editId="6E7BE3E0">
            <wp:extent cx="2929323" cy="3121918"/>
            <wp:effectExtent l="0" t="0" r="4445" b="2540"/>
            <wp:docPr id="1181673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3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7979" cy="313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EC5" w:rsidRPr="00A26EC5">
        <w:rPr>
          <w:noProof/>
        </w:rPr>
        <w:t xml:space="preserve"> </w:t>
      </w:r>
    </w:p>
    <w:p w14:paraId="25122222" w14:textId="381605A6" w:rsidR="009217DD" w:rsidRPr="003133F8" w:rsidRDefault="00D9552E" w:rsidP="003133F8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.1 – диаграмма </w:t>
      </w:r>
      <w:r w:rsidR="00D63BC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создания календаря предстоящих</w:t>
      </w:r>
      <w:r w:rsidR="00A26EC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спектаклей</w:t>
      </w:r>
      <w:r w:rsidR="003C51A2" w:rsidRPr="003C51A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054988A7" w14:textId="77777777" w:rsidR="005E27DD" w:rsidRDefault="005E27DD" w:rsidP="005E27DD">
      <w:pPr>
        <w:spacing w:after="0"/>
        <w:ind w:left="106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520E2F77" w14:textId="314DD10F" w:rsidR="005E27DD" w:rsidRPr="00C01321" w:rsidRDefault="005E27DD" w:rsidP="005461A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2. </w:t>
      </w:r>
      <w:r w:rsidR="005F597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Бронирование </w:t>
      </w:r>
      <w:r w:rsidR="003133F8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мест и покупка </w:t>
      </w:r>
      <w:r w:rsidR="005F597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билетов</w:t>
      </w:r>
    </w:p>
    <w:p w14:paraId="29436C8C" w14:textId="5B342729" w:rsidR="00054827" w:rsidRPr="00C86EB5" w:rsidRDefault="006D05CC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2.1 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Возможность зрителя выбирать спектакль и вид места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AA7F9C6" w14:textId="111EB222" w:rsidR="00054827" w:rsidRPr="00C86EB5" w:rsidRDefault="00054827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Входные данные: 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календарь спектаклей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3925DC46" w14:textId="77777777" w:rsidR="00054827" w:rsidRPr="00936F80" w:rsidRDefault="00054827" w:rsidP="00936F80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36F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7C803DDF" w14:textId="4CAD31E4" w:rsidR="00054827" w:rsidRPr="00135BDF" w:rsidRDefault="003133F8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выбор спектакля</w:t>
      </w:r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ED2890C" w14:textId="283BB19C" w:rsidR="00054827" w:rsidRDefault="005F597F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</w:t>
      </w:r>
      <w:r w:rsidRPr="005F597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ыбор </w:t>
      </w:r>
      <w:r w:rsidR="003133F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даты и времени из календаря расписаний</w:t>
      </w:r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FF1B360" w14:textId="751B8BAA" w:rsidR="003133F8" w:rsidRPr="00135BDF" w:rsidRDefault="003133F8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нажатие на кнопку «Подтвердить»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>;</w:t>
      </w:r>
    </w:p>
    <w:p w14:paraId="4DE08712" w14:textId="322590B7" w:rsidR="00054827" w:rsidRDefault="003133F8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внесение брони в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бд</w:t>
      </w:r>
      <w:proofErr w:type="spellEnd"/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C3CCBC4" w14:textId="38CA6AEE" w:rsidR="00077DDD" w:rsidRPr="00783184" w:rsidRDefault="003133F8" w:rsidP="0078318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уведомление пользователя об успешном бронировании</w:t>
      </w:r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39AAA517" w14:textId="32875804" w:rsidR="0005482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Выходные данные: 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успешное бронирование</w:t>
      </w:r>
      <w:r w:rsidR="006C609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4CC3F529" w14:textId="70DE407E" w:rsidR="001D4C21" w:rsidRDefault="003133F8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195D1D7C" wp14:editId="6FE277DC">
            <wp:extent cx="5939790" cy="2513330"/>
            <wp:effectExtent l="0" t="0" r="3810" b="1270"/>
            <wp:docPr id="44346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12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953" w14:textId="027B0284" w:rsidR="00224310" w:rsidRDefault="00224310" w:rsidP="00224310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C83BC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.1 – 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озможность зрителя выбирать спектакль и вид места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62840504" w14:textId="77777777" w:rsidR="00224310" w:rsidRDefault="00224310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1B5A244B" w14:textId="25A5C41F" w:rsidR="00054827" w:rsidRPr="000E40F7" w:rsidRDefault="0076205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2.2 </w:t>
      </w:r>
      <w:r w:rsidR="00054827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Оформление </w:t>
      </w:r>
      <w:r w:rsidR="00FF262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заказа на билеты</w:t>
      </w:r>
      <w:r w:rsidR="00054827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:</w:t>
      </w:r>
    </w:p>
    <w:p w14:paraId="6C2F156E" w14:textId="3A72F061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Входные данные: </w:t>
      </w:r>
      <w:r w:rsidR="003133F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успешное бронирование</w:t>
      </w:r>
      <w:r w:rsidR="00F27CD4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56020A" w14:textId="77777777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2F9914D2" w14:textId="1D096DC6" w:rsidR="00054827" w:rsidRPr="000875F1" w:rsidRDefault="003133F8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перейти в профиль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EC0984E" w14:textId="6993F9AB" w:rsidR="00054827" w:rsidRPr="000875F1" w:rsidRDefault="003133F8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нажать на кнопку «Купить билет» возле забронированного спектакля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D9F9DE8" w14:textId="76264C4C" w:rsidR="00054827" w:rsidRDefault="003133F8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создание заказа и списание средств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7F0EF9C" w14:textId="36065106" w:rsidR="003657DB" w:rsidRPr="000E40F7" w:rsidRDefault="003133F8" w:rsidP="000E40F7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уведомление пользователя об успешной покупке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4F79C89D" w14:textId="256E1E13" w:rsidR="00054827" w:rsidRDefault="00054827" w:rsidP="000E40F7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61D2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Выходные данные: </w:t>
      </w:r>
      <w:r w:rsidR="003133F8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электронный билет</w:t>
      </w:r>
      <w:r w:rsidR="00B63C5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74835FA9" w14:textId="67229F73" w:rsidR="00C8713F" w:rsidRDefault="003133F8" w:rsidP="003133F8">
      <w:pPr>
        <w:tabs>
          <w:tab w:val="left" w:pos="993"/>
        </w:tabs>
        <w:spacing w:after="0"/>
        <w:jc w:val="center"/>
        <w:rPr>
          <w:rFonts w:eastAsia="Times New Roman" w:cs="Times New Roman"/>
          <w:bCs/>
          <w:color w:val="222222"/>
          <w:szCs w:val="28"/>
          <w:lang w:eastAsia="ru-RU"/>
        </w:rPr>
      </w:pPr>
      <w:r w:rsidRPr="003133F8">
        <w:rPr>
          <w:rFonts w:eastAsia="Times New Roman" w:cs="Times New Roman"/>
          <w:bCs/>
          <w:color w:val="222222"/>
          <w:szCs w:val="28"/>
          <w:lang w:eastAsia="ru-RU"/>
        </w:rPr>
        <w:drawing>
          <wp:inline distT="0" distB="0" distL="0" distR="0" wp14:anchorId="364BEE59" wp14:editId="7987714A">
            <wp:extent cx="4625340" cy="2811103"/>
            <wp:effectExtent l="0" t="0" r="3810" b="8890"/>
            <wp:docPr id="250275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7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698" cy="2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E760" w14:textId="151965CC" w:rsidR="00FF2628" w:rsidRPr="003A48EC" w:rsidRDefault="00804BA3" w:rsidP="003A48EC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5063E0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</w:t>
      </w:r>
      <w:r w:rsidR="005063E0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формление </w:t>
      </w:r>
      <w:r w:rsidR="00FF2628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заказа на билеты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7D976C5" w14:textId="77777777" w:rsidR="000C5D8C" w:rsidRPr="000C5D8C" w:rsidRDefault="000C5D8C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</w:p>
    <w:p w14:paraId="48E1D721" w14:textId="2182DF65" w:rsidR="00964DB3" w:rsidRPr="003A48EC" w:rsidRDefault="00964DB3" w:rsidP="00964DB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82B9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3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 </w:t>
      </w:r>
      <w:r w:rsidR="003A48EC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События непосредственно до начала спектакля</w:t>
      </w:r>
    </w:p>
    <w:p w14:paraId="24C6A27F" w14:textId="6C530135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.1 </w:t>
      </w:r>
      <w:r w:rsidR="003A48EC">
        <w:rPr>
          <w:rFonts w:eastAsia="Times New Roman" w:cs="Times New Roman"/>
          <w:color w:val="222222"/>
          <w:szCs w:val="28"/>
          <w:lang w:eastAsia="ru-RU"/>
        </w:rPr>
        <w:t>Н</w:t>
      </w:r>
      <w:r w:rsidR="003A48EC">
        <w:rPr>
          <w:rFonts w:eastAsia="Times New Roman" w:cs="Times New Roman"/>
          <w:color w:val="222222"/>
          <w:szCs w:val="28"/>
          <w:lang w:eastAsia="ru-RU"/>
        </w:rPr>
        <w:t>апоминание пользователям с бронью о том, что сегодня будет выступление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:</w:t>
      </w:r>
    </w:p>
    <w:p w14:paraId="7354B395" w14:textId="758954A6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Входные данные: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электронный билет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37A45FB" w14:textId="77777777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54DB628F" w14:textId="66A07D5A" w:rsidR="00C8713F" w:rsidRPr="00C8713F" w:rsidRDefault="003A48EC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lastRenderedPageBreak/>
        <w:t xml:space="preserve">выбор 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спектакля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до начала которого осталось 6 часов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7F60E083" w14:textId="03EB2F8D" w:rsidR="00C8713F" w:rsidRPr="00C8713F" w:rsidRDefault="003A48EC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получение аккаунтов пользователей с бронью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20F22A0" w14:textId="1F4E4A93" w:rsidR="00067E8A" w:rsidRPr="00C8713F" w:rsidRDefault="003A48EC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отправка уведомления пользователям о том, что у них сегодня спектакль</w:t>
      </w:r>
      <w:r w:rsidR="00166D0A" w:rsidRPr="00166D0A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74A0EE68" w14:textId="33238336" w:rsid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Выходные данные: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спектакль закончился</w:t>
      </w:r>
    </w:p>
    <w:p w14:paraId="5980620A" w14:textId="3B578C2E" w:rsidR="00865319" w:rsidRDefault="003A48EC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drawing>
          <wp:inline distT="0" distB="0" distL="0" distR="0" wp14:anchorId="28A981FA" wp14:editId="620645C7">
            <wp:extent cx="5939790" cy="1123950"/>
            <wp:effectExtent l="0" t="0" r="3810" b="0"/>
            <wp:docPr id="1004589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9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7EA" w14:textId="5E218248" w:rsidR="00A2343C" w:rsidRPr="004231C3" w:rsidRDefault="00A2343C" w:rsidP="004231C3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3.1 – </w:t>
      </w:r>
      <w:r w:rsidR="003A48EC">
        <w:rPr>
          <w:rFonts w:eastAsia="Times New Roman" w:cs="Times New Roman"/>
          <w:color w:val="222222"/>
          <w:szCs w:val="28"/>
          <w:lang w:eastAsia="ru-RU"/>
        </w:rPr>
        <w:t>н</w:t>
      </w:r>
      <w:r w:rsidR="003A48EC">
        <w:rPr>
          <w:rFonts w:eastAsia="Times New Roman" w:cs="Times New Roman"/>
          <w:color w:val="222222"/>
          <w:szCs w:val="28"/>
          <w:lang w:eastAsia="ru-RU"/>
        </w:rPr>
        <w:t>апоминание пользователям с бронью о том, что сегодня будет выступление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58B8E5B" w14:textId="52494525" w:rsidR="00865319" w:rsidRPr="00C8713F" w:rsidRDefault="00865319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5CE700F8" w14:textId="4163C076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.2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</w:t>
      </w:r>
      <w:r w:rsidR="003A48EC">
        <w:rPr>
          <w:rFonts w:eastAsia="Times New Roman" w:cs="Times New Roman"/>
          <w:color w:val="222222"/>
          <w:szCs w:val="28"/>
          <w:lang w:eastAsia="ru-RU"/>
        </w:rPr>
        <w:t>повещение пользователей об отмене спектакля на случай непредвиденных обстоятельств и возврат им средств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:</w:t>
      </w:r>
    </w:p>
    <w:p w14:paraId="251D073B" w14:textId="5EEEBCBD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Входные данные: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электронный билет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AB33CE" w14:textId="77777777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73EF49B6" w14:textId="63115546" w:rsidR="00C8713F" w:rsidRPr="00C8713F" w:rsidRDefault="003A48EC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проверка наличия брони на данный спектакль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DEBD031" w14:textId="594C0156" w:rsidR="00C8713F" w:rsidRPr="00C8713F" w:rsidRDefault="003A48EC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возврат денег пользователям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A9EB20F" w14:textId="2465B1E1" w:rsidR="00C8713F" w:rsidRPr="00C8713F" w:rsidRDefault="003A48EC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уведомление пользователей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5219D26" w14:textId="4F2C67AE" w:rsidR="00C8713F" w:rsidRPr="00C8713F" w:rsidRDefault="003A48EC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обновление информации в системе</w:t>
      </w:r>
      <w:r w:rsid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0596A163" w14:textId="790026EC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Выходные данные: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спектакль закончился</w:t>
      </w:r>
    </w:p>
    <w:p w14:paraId="7F68B765" w14:textId="6960BAA0" w:rsidR="00C8713F" w:rsidRPr="001576AA" w:rsidRDefault="003A48EC" w:rsidP="001576AA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  <w:r w:rsidRPr="003A48EC">
        <w:rPr>
          <w:rFonts w:eastAsia="Times New Roman" w:cs="Times New Roman"/>
          <w:bCs/>
          <w:color w:val="222222"/>
          <w:szCs w:val="28"/>
          <w:lang w:eastAsia="ru-RU"/>
        </w:rPr>
        <w:drawing>
          <wp:inline distT="0" distB="0" distL="0" distR="0" wp14:anchorId="3EE48702" wp14:editId="2B44F014">
            <wp:extent cx="5939790" cy="1173480"/>
            <wp:effectExtent l="0" t="0" r="3810" b="7620"/>
            <wp:docPr id="1960999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99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6FC" w14:textId="1836E5DB" w:rsidR="00054827" w:rsidRDefault="00C26CCF" w:rsidP="00C26CCF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 3.</w:t>
      </w:r>
      <w:r w:rsidR="00756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3A48EC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</w:t>
      </w:r>
      <w:r w:rsidR="003A48EC">
        <w:rPr>
          <w:rFonts w:eastAsia="Times New Roman" w:cs="Times New Roman"/>
          <w:color w:val="222222"/>
          <w:szCs w:val="28"/>
          <w:lang w:eastAsia="ru-RU"/>
        </w:rPr>
        <w:t>повещение пользователей об отмене спектакля на случай непредвиденных обстоятельств и возврат им средств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7C56877C" w14:textId="77777777" w:rsidR="00730BF8" w:rsidRPr="00A96A96" w:rsidRDefault="00730BF8" w:rsidP="003A48EC">
      <w:p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30BD8EF9" w14:textId="77777777" w:rsidR="00A96A96" w:rsidRPr="00A96A96" w:rsidRDefault="00A96A96" w:rsidP="00471DE4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Критерии соответствия:</w:t>
      </w:r>
    </w:p>
    <w:p w14:paraId="7322C35E" w14:textId="5221D742" w:rsidR="00A96A96" w:rsidRPr="00811A1E" w:rsidRDefault="00A96A96" w:rsidP="00811A1E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Все заявленные к системе требования отражены в модели: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у</w:t>
      </w: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казанные выше процессы покрывают требования, предъявляемые к системе</w:t>
      </w:r>
      <w:r w:rsidR="00206024"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17ADCFFB" w14:textId="378ECFE5" w:rsidR="00A96A96" w:rsidRP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д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екомпозиция не менее двух функциональных блоков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02109A24" w14:textId="7542C6CB" w:rsidR="00A96A96" w:rsidRP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аждая диаграмма содержит не менее четырех работ: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ак видно из приведенных примеров, каждый процесс содержит не менее четырех шагов (работ)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51F61545" w14:textId="041589C9" w:rsid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о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сновные бизнес-процессы системы четко отражены: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п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редставленные выше процессы четко отражают основные бизнес-процессы, а также потоки данных и правила их выполнения.</w:t>
      </w:r>
    </w:p>
    <w:p w14:paraId="6D9F0B59" w14:textId="723680D4" w:rsidR="00585BA3" w:rsidRDefault="004C3EF0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Общая схема модели </w:t>
      </w:r>
      <w:r w:rsidR="001D0697" w:rsidRPr="00E459FA">
        <w:rPr>
          <w:rFonts w:ascii="Times New Roman" w:hAnsi="Times New Roman" w:cs="Times New Roman"/>
          <w:sz w:val="28"/>
          <w:szCs w:val="28"/>
        </w:rPr>
        <w:t>IDEF3</w:t>
      </w:r>
      <w:r w:rsidR="00E459FA" w:rsidRPr="00E459FA">
        <w:rPr>
          <w:rFonts w:ascii="Times New Roman" w:hAnsi="Times New Roman" w:cs="Times New Roman"/>
          <w:sz w:val="28"/>
          <w:szCs w:val="28"/>
        </w:rPr>
        <w:t xml:space="preserve"> </w:t>
      </w:r>
      <w:r w:rsidR="00E459FA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 w:rsidR="003A48EC">
        <w:rPr>
          <w:rFonts w:ascii="Times New Roman" w:hAnsi="Times New Roman" w:cs="Times New Roman"/>
          <w:sz w:val="28"/>
          <w:szCs w:val="28"/>
        </w:rPr>
        <w:t>4</w:t>
      </w:r>
      <w:r w:rsidR="00E459FA">
        <w:rPr>
          <w:rFonts w:ascii="Times New Roman" w:hAnsi="Times New Roman" w:cs="Times New Roman"/>
          <w:sz w:val="28"/>
          <w:szCs w:val="28"/>
        </w:rPr>
        <w:t>.1</w:t>
      </w:r>
      <w:r w:rsidR="007471E3">
        <w:rPr>
          <w:rFonts w:ascii="Times New Roman" w:hAnsi="Times New Roman" w:cs="Times New Roman"/>
          <w:sz w:val="28"/>
          <w:szCs w:val="28"/>
        </w:rPr>
        <w:t>.</w:t>
      </w:r>
    </w:p>
    <w:p w14:paraId="0D13BC71" w14:textId="77777777" w:rsidR="00FF14BE" w:rsidRPr="00C01321" w:rsidRDefault="00FF14BE" w:rsidP="00585BA3">
      <w:pPr>
        <w:pStyle w:val="a5"/>
        <w:tabs>
          <w:tab w:val="left" w:pos="993"/>
        </w:tabs>
        <w:spacing w:after="0"/>
        <w:ind w:left="709"/>
        <w:jc w:val="both"/>
        <w:rPr>
          <w:noProof/>
          <w:color w:val="1E1F2A"/>
          <w:sz w:val="28"/>
          <w:szCs w:val="28"/>
          <w:shd w:val="clear" w:color="auto" w:fill="F9F9FB"/>
        </w:rPr>
      </w:pPr>
    </w:p>
    <w:p w14:paraId="11F8BBCC" w14:textId="3D6A49D1" w:rsidR="007471E3" w:rsidRDefault="00D63BC0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  <w:lang w:val="en-US"/>
        </w:rPr>
      </w:pPr>
      <w:r w:rsidRPr="00D63BC0">
        <w:rPr>
          <w:rFonts w:cs="Times New Roman"/>
          <w:noProof/>
          <w:color w:val="1E1F2A"/>
          <w:szCs w:val="28"/>
          <w:shd w:val="clear" w:color="auto" w:fill="F9F9FB"/>
          <w:lang w:val="en-US"/>
        </w:rPr>
        <w:drawing>
          <wp:inline distT="0" distB="0" distL="0" distR="0" wp14:anchorId="573FABA5" wp14:editId="5CC645A2">
            <wp:extent cx="5939790" cy="2402840"/>
            <wp:effectExtent l="0" t="0" r="3810" b="0"/>
            <wp:docPr id="432605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05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A8C7" w14:textId="4E105A6E" w:rsidR="00640DD4" w:rsidRDefault="00640DD4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  <w:lang w:val="en-US"/>
        </w:rPr>
      </w:pPr>
    </w:p>
    <w:p w14:paraId="2E977905" w14:textId="62FAE42C" w:rsidR="00640DD4" w:rsidRDefault="00640DD4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  <w:lang w:val="en-US"/>
        </w:rPr>
      </w:pPr>
    </w:p>
    <w:p w14:paraId="61744F6E" w14:textId="08CD4D78" w:rsidR="00FA0B8F" w:rsidRPr="00FA0B8F" w:rsidRDefault="00FA0B8F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</w:rPr>
      </w:pPr>
      <w:r>
        <w:rPr>
          <w:rFonts w:cs="Times New Roman"/>
          <w:color w:val="1E1F2A"/>
          <w:szCs w:val="28"/>
          <w:shd w:val="clear" w:color="auto" w:fill="F9F9FB"/>
        </w:rPr>
        <w:t xml:space="preserve">рис. </w:t>
      </w:r>
      <w:r w:rsidR="003A48EC">
        <w:rPr>
          <w:rFonts w:cs="Times New Roman"/>
          <w:color w:val="1E1F2A"/>
          <w:szCs w:val="28"/>
          <w:shd w:val="clear" w:color="auto" w:fill="F9F9FB"/>
        </w:rPr>
        <w:t>4</w:t>
      </w:r>
      <w:r>
        <w:rPr>
          <w:rFonts w:cs="Times New Roman"/>
          <w:color w:val="1E1F2A"/>
          <w:szCs w:val="28"/>
          <w:shd w:val="clear" w:color="auto" w:fill="F9F9FB"/>
        </w:rPr>
        <w:t xml:space="preserve">.1 – общая схема модели </w:t>
      </w:r>
      <w:r w:rsidRPr="00E459FA">
        <w:rPr>
          <w:rFonts w:cs="Times New Roman"/>
          <w:szCs w:val="28"/>
        </w:rPr>
        <w:t>IDEF3</w:t>
      </w:r>
    </w:p>
    <w:p w14:paraId="171B210C" w14:textId="77777777" w:rsidR="001D0697" w:rsidRPr="00A96A96" w:rsidRDefault="001D0697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</w:p>
    <w:p w14:paraId="66CCFED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00D"/>
    <w:multiLevelType w:val="hybridMultilevel"/>
    <w:tmpl w:val="B7607A22"/>
    <w:lvl w:ilvl="0" w:tplc="59163C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94F40"/>
    <w:multiLevelType w:val="multilevel"/>
    <w:tmpl w:val="23EC5F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DC8771D"/>
    <w:multiLevelType w:val="multilevel"/>
    <w:tmpl w:val="B97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35C30"/>
    <w:multiLevelType w:val="multilevel"/>
    <w:tmpl w:val="5D46A4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05CAD"/>
    <w:multiLevelType w:val="hybridMultilevel"/>
    <w:tmpl w:val="1F846B6A"/>
    <w:lvl w:ilvl="0" w:tplc="A1629CA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F369D"/>
    <w:multiLevelType w:val="multilevel"/>
    <w:tmpl w:val="BE9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72F1B"/>
    <w:multiLevelType w:val="multilevel"/>
    <w:tmpl w:val="A3E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C5648"/>
    <w:multiLevelType w:val="hybridMultilevel"/>
    <w:tmpl w:val="8ADA4B24"/>
    <w:lvl w:ilvl="0" w:tplc="59163C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45272B96"/>
    <w:multiLevelType w:val="hybridMultilevel"/>
    <w:tmpl w:val="B59E09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FC637CB"/>
    <w:multiLevelType w:val="multilevel"/>
    <w:tmpl w:val="28E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3B3760"/>
    <w:multiLevelType w:val="multilevel"/>
    <w:tmpl w:val="131A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E5930"/>
    <w:multiLevelType w:val="multilevel"/>
    <w:tmpl w:val="878C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C2C6A"/>
    <w:multiLevelType w:val="multilevel"/>
    <w:tmpl w:val="55F0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D4A40"/>
    <w:multiLevelType w:val="multilevel"/>
    <w:tmpl w:val="8EF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D6FDC"/>
    <w:multiLevelType w:val="multilevel"/>
    <w:tmpl w:val="367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D813AE"/>
    <w:multiLevelType w:val="multilevel"/>
    <w:tmpl w:val="52C0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84DA9"/>
    <w:multiLevelType w:val="multilevel"/>
    <w:tmpl w:val="0D6C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B6EE5"/>
    <w:multiLevelType w:val="multilevel"/>
    <w:tmpl w:val="50B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613DB3"/>
    <w:multiLevelType w:val="multilevel"/>
    <w:tmpl w:val="9CB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93068"/>
    <w:multiLevelType w:val="multilevel"/>
    <w:tmpl w:val="7E2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2988">
    <w:abstractNumId w:val="11"/>
  </w:num>
  <w:num w:numId="2" w16cid:durableId="90434139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319357543">
    <w:abstractNumId w:val="16"/>
  </w:num>
  <w:num w:numId="4" w16cid:durableId="1166433488">
    <w:abstractNumId w:val="15"/>
  </w:num>
  <w:num w:numId="5" w16cid:durableId="1946763701">
    <w:abstractNumId w:val="18"/>
  </w:num>
  <w:num w:numId="6" w16cid:durableId="1814980582">
    <w:abstractNumId w:val="13"/>
  </w:num>
  <w:num w:numId="7" w16cid:durableId="819267138">
    <w:abstractNumId w:val="14"/>
  </w:num>
  <w:num w:numId="8" w16cid:durableId="1968848066">
    <w:abstractNumId w:val="3"/>
  </w:num>
  <w:num w:numId="9" w16cid:durableId="528613751">
    <w:abstractNumId w:val="9"/>
  </w:num>
  <w:num w:numId="10" w16cid:durableId="1329214418">
    <w:abstractNumId w:val="8"/>
  </w:num>
  <w:num w:numId="11" w16cid:durableId="1590892988">
    <w:abstractNumId w:val="0"/>
  </w:num>
  <w:num w:numId="12" w16cid:durableId="470947848">
    <w:abstractNumId w:val="1"/>
  </w:num>
  <w:num w:numId="13" w16cid:durableId="45489844">
    <w:abstractNumId w:val="19"/>
  </w:num>
  <w:num w:numId="14" w16cid:durableId="1921451864">
    <w:abstractNumId w:val="22"/>
  </w:num>
  <w:num w:numId="15" w16cid:durableId="58292123">
    <w:abstractNumId w:val="17"/>
  </w:num>
  <w:num w:numId="16" w16cid:durableId="2068142090">
    <w:abstractNumId w:val="20"/>
  </w:num>
  <w:num w:numId="17" w16cid:durableId="913512195">
    <w:abstractNumId w:val="21"/>
  </w:num>
  <w:num w:numId="18" w16cid:durableId="1447919375">
    <w:abstractNumId w:val="2"/>
  </w:num>
  <w:num w:numId="19" w16cid:durableId="395057355">
    <w:abstractNumId w:val="6"/>
  </w:num>
  <w:num w:numId="20" w16cid:durableId="198978553">
    <w:abstractNumId w:val="12"/>
  </w:num>
  <w:num w:numId="21" w16cid:durableId="704477435">
    <w:abstractNumId w:val="7"/>
  </w:num>
  <w:num w:numId="22" w16cid:durableId="326054139">
    <w:abstractNumId w:val="4"/>
  </w:num>
  <w:num w:numId="23" w16cid:durableId="698629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A"/>
    <w:rsid w:val="00026FB8"/>
    <w:rsid w:val="00033B94"/>
    <w:rsid w:val="00054827"/>
    <w:rsid w:val="00067E8A"/>
    <w:rsid w:val="00067ED6"/>
    <w:rsid w:val="00077DDD"/>
    <w:rsid w:val="000875F1"/>
    <w:rsid w:val="000B5CED"/>
    <w:rsid w:val="000C5D8C"/>
    <w:rsid w:val="000E40F7"/>
    <w:rsid w:val="000F482F"/>
    <w:rsid w:val="00104A0B"/>
    <w:rsid w:val="00111FA1"/>
    <w:rsid w:val="001168D1"/>
    <w:rsid w:val="0012004D"/>
    <w:rsid w:val="00135BDF"/>
    <w:rsid w:val="00140745"/>
    <w:rsid w:val="00153FCA"/>
    <w:rsid w:val="001576AA"/>
    <w:rsid w:val="00166D0A"/>
    <w:rsid w:val="00182B08"/>
    <w:rsid w:val="001959AA"/>
    <w:rsid w:val="001D0697"/>
    <w:rsid w:val="001D4C21"/>
    <w:rsid w:val="00206024"/>
    <w:rsid w:val="00223890"/>
    <w:rsid w:val="00224310"/>
    <w:rsid w:val="00231054"/>
    <w:rsid w:val="00243576"/>
    <w:rsid w:val="00260A3B"/>
    <w:rsid w:val="00262E6A"/>
    <w:rsid w:val="00271B3C"/>
    <w:rsid w:val="002A7786"/>
    <w:rsid w:val="002B4572"/>
    <w:rsid w:val="002B4C3F"/>
    <w:rsid w:val="002B79BD"/>
    <w:rsid w:val="002D5C7C"/>
    <w:rsid w:val="002E4811"/>
    <w:rsid w:val="0031179C"/>
    <w:rsid w:val="003133F8"/>
    <w:rsid w:val="003175D5"/>
    <w:rsid w:val="00361D2F"/>
    <w:rsid w:val="003657DB"/>
    <w:rsid w:val="00390A45"/>
    <w:rsid w:val="00391B75"/>
    <w:rsid w:val="003A38BF"/>
    <w:rsid w:val="003A48EC"/>
    <w:rsid w:val="003A5846"/>
    <w:rsid w:val="003A59AD"/>
    <w:rsid w:val="003C51A2"/>
    <w:rsid w:val="003E3D97"/>
    <w:rsid w:val="003E5789"/>
    <w:rsid w:val="0041207E"/>
    <w:rsid w:val="004231C3"/>
    <w:rsid w:val="004401BB"/>
    <w:rsid w:val="0045086C"/>
    <w:rsid w:val="00455D0C"/>
    <w:rsid w:val="00460667"/>
    <w:rsid w:val="00471B66"/>
    <w:rsid w:val="00471DE4"/>
    <w:rsid w:val="004C3EF0"/>
    <w:rsid w:val="005063E0"/>
    <w:rsid w:val="00533E8E"/>
    <w:rsid w:val="005461A3"/>
    <w:rsid w:val="00554246"/>
    <w:rsid w:val="00554C5F"/>
    <w:rsid w:val="00566DBF"/>
    <w:rsid w:val="005732DB"/>
    <w:rsid w:val="00585BA3"/>
    <w:rsid w:val="005933F8"/>
    <w:rsid w:val="005C6F8E"/>
    <w:rsid w:val="005D7153"/>
    <w:rsid w:val="005E27DD"/>
    <w:rsid w:val="005F597F"/>
    <w:rsid w:val="005F6674"/>
    <w:rsid w:val="00606B21"/>
    <w:rsid w:val="00614BFF"/>
    <w:rsid w:val="00640DD4"/>
    <w:rsid w:val="00652B61"/>
    <w:rsid w:val="0066245A"/>
    <w:rsid w:val="00680F89"/>
    <w:rsid w:val="00686BB6"/>
    <w:rsid w:val="006A3280"/>
    <w:rsid w:val="006B7B74"/>
    <w:rsid w:val="006C0B77"/>
    <w:rsid w:val="006C41CB"/>
    <w:rsid w:val="006C6095"/>
    <w:rsid w:val="006D05CC"/>
    <w:rsid w:val="006D0D88"/>
    <w:rsid w:val="006F2AB3"/>
    <w:rsid w:val="00730BF8"/>
    <w:rsid w:val="007356EE"/>
    <w:rsid w:val="007471E3"/>
    <w:rsid w:val="00756EC2"/>
    <w:rsid w:val="00762057"/>
    <w:rsid w:val="00762D8C"/>
    <w:rsid w:val="00766431"/>
    <w:rsid w:val="00767317"/>
    <w:rsid w:val="00782B9A"/>
    <w:rsid w:val="00783184"/>
    <w:rsid w:val="007A55BC"/>
    <w:rsid w:val="00804BA3"/>
    <w:rsid w:val="00811A1E"/>
    <w:rsid w:val="0081325A"/>
    <w:rsid w:val="008242FF"/>
    <w:rsid w:val="008332EE"/>
    <w:rsid w:val="00834926"/>
    <w:rsid w:val="00837CAF"/>
    <w:rsid w:val="0084185F"/>
    <w:rsid w:val="00843570"/>
    <w:rsid w:val="00865319"/>
    <w:rsid w:val="00870751"/>
    <w:rsid w:val="0087639A"/>
    <w:rsid w:val="008B5039"/>
    <w:rsid w:val="008C5C4E"/>
    <w:rsid w:val="008C6BBB"/>
    <w:rsid w:val="008E21E2"/>
    <w:rsid w:val="008F4C46"/>
    <w:rsid w:val="00904216"/>
    <w:rsid w:val="00911FAA"/>
    <w:rsid w:val="009141A5"/>
    <w:rsid w:val="009217DD"/>
    <w:rsid w:val="00922C48"/>
    <w:rsid w:val="00931F55"/>
    <w:rsid w:val="00936F80"/>
    <w:rsid w:val="00964DB3"/>
    <w:rsid w:val="00975039"/>
    <w:rsid w:val="00995687"/>
    <w:rsid w:val="009A37B3"/>
    <w:rsid w:val="009B61F6"/>
    <w:rsid w:val="009E6F4C"/>
    <w:rsid w:val="009F5776"/>
    <w:rsid w:val="009F61E5"/>
    <w:rsid w:val="00A139C9"/>
    <w:rsid w:val="00A16581"/>
    <w:rsid w:val="00A2343C"/>
    <w:rsid w:val="00A26EC5"/>
    <w:rsid w:val="00A46E2D"/>
    <w:rsid w:val="00A66179"/>
    <w:rsid w:val="00A96A96"/>
    <w:rsid w:val="00AA19D2"/>
    <w:rsid w:val="00AB0780"/>
    <w:rsid w:val="00AE7228"/>
    <w:rsid w:val="00B20FFF"/>
    <w:rsid w:val="00B378E4"/>
    <w:rsid w:val="00B476E2"/>
    <w:rsid w:val="00B63C5C"/>
    <w:rsid w:val="00B64FA3"/>
    <w:rsid w:val="00B915B7"/>
    <w:rsid w:val="00B95AE8"/>
    <w:rsid w:val="00BA1173"/>
    <w:rsid w:val="00BB0062"/>
    <w:rsid w:val="00BB0775"/>
    <w:rsid w:val="00BF0F6E"/>
    <w:rsid w:val="00BF65C8"/>
    <w:rsid w:val="00BF7814"/>
    <w:rsid w:val="00C01321"/>
    <w:rsid w:val="00C26CCF"/>
    <w:rsid w:val="00C555B4"/>
    <w:rsid w:val="00C65E76"/>
    <w:rsid w:val="00C75809"/>
    <w:rsid w:val="00C83BC1"/>
    <w:rsid w:val="00C86EB5"/>
    <w:rsid w:val="00C8713F"/>
    <w:rsid w:val="00CC7BB1"/>
    <w:rsid w:val="00D062C8"/>
    <w:rsid w:val="00D17F6F"/>
    <w:rsid w:val="00D224E3"/>
    <w:rsid w:val="00D23BAE"/>
    <w:rsid w:val="00D30EAC"/>
    <w:rsid w:val="00D31069"/>
    <w:rsid w:val="00D532BA"/>
    <w:rsid w:val="00D63BC0"/>
    <w:rsid w:val="00D70A37"/>
    <w:rsid w:val="00D94D18"/>
    <w:rsid w:val="00D9552E"/>
    <w:rsid w:val="00DD7FF2"/>
    <w:rsid w:val="00E33F17"/>
    <w:rsid w:val="00E40BB9"/>
    <w:rsid w:val="00E459FA"/>
    <w:rsid w:val="00E77238"/>
    <w:rsid w:val="00EA59DF"/>
    <w:rsid w:val="00EB1897"/>
    <w:rsid w:val="00EE4070"/>
    <w:rsid w:val="00F12C76"/>
    <w:rsid w:val="00F27CD4"/>
    <w:rsid w:val="00F37D18"/>
    <w:rsid w:val="00F64D3C"/>
    <w:rsid w:val="00F661AD"/>
    <w:rsid w:val="00F92295"/>
    <w:rsid w:val="00F971D3"/>
    <w:rsid w:val="00FA0B8F"/>
    <w:rsid w:val="00FA4138"/>
    <w:rsid w:val="00FB2EC9"/>
    <w:rsid w:val="00FD6CC4"/>
    <w:rsid w:val="00FE4DA5"/>
    <w:rsid w:val="00FF14BE"/>
    <w:rsid w:val="00FF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158D"/>
  <w15:chartTrackingRefBased/>
  <w15:docId w15:val="{E21EB58E-BB89-4F1A-BFC9-346AD2CD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10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A96A9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E7228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AE722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04216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6A9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96A9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A96A96"/>
    <w:rPr>
      <w:b/>
      <w:bCs/>
    </w:rPr>
  </w:style>
  <w:style w:type="paragraph" w:customStyle="1" w:styleId="antialiased">
    <w:name w:val="antialiased"/>
    <w:basedOn w:val="a"/>
    <w:rsid w:val="0005482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375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483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713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851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62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097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0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084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7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Арсений Палазник</cp:lastModifiedBy>
  <cp:revision>173</cp:revision>
  <dcterms:created xsi:type="dcterms:W3CDTF">2023-09-25T14:20:00Z</dcterms:created>
  <dcterms:modified xsi:type="dcterms:W3CDTF">2023-10-04T09:03:00Z</dcterms:modified>
</cp:coreProperties>
</file>