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36"/>
        </w:rPr>
        <w:t>MASTER SERVICES AGREEMENT &amp; ENTERPRISE PILOT CONTRACT</w:t>
      </w:r>
    </w:p>
    <w:p>
      <w:pPr>
        <w:jc w:val="center"/>
      </w:pPr>
      <w:r>
        <w:rPr>
          <w:rFonts w:ascii="Arial" w:hAnsi="Arial"/>
          <w:i/>
          <w:color w:val="595959"/>
          <w:sz w:val="24"/>
        </w:rPr>
        <w:t>Contract Reference: AF-ACM-2026-09-ENT-004 | Confidential &amp; Proprietary</w:t>
      </w:r>
    </w:p>
    <w:p>
      <w:pPr>
        <w:spacing w:after="120" w:line="276" w:lineRule="auto"/>
      </w:pPr>
      <w:r>
        <w:rPr>
          <w:rFonts w:ascii="Arial" w:hAnsi="Arial"/>
          <w:sz w:val="20"/>
        </w:rPr>
        <w:t>This Master Services Agreement ('Agreement') is entered into as of September 22, 2026 ('Effective Date'), by and between:</w:t>
      </w:r>
    </w:p>
    <w:p>
      <w:pPr>
        <w:spacing w:after="120" w:line="276" w:lineRule="auto"/>
      </w:pPr>
      <w:r>
        <w:rPr>
          <w:rFonts w:ascii="Arial" w:hAnsi="Arial"/>
          <w:b/>
          <w:sz w:val="20"/>
        </w:rPr>
        <w:t xml:space="preserve">PARTY A: </w:t>
      </w:r>
      <w:r>
        <w:rPr>
          <w:rFonts w:ascii="Arial" w:hAnsi="Arial"/>
          <w:sz w:val="20"/>
        </w:rPr>
        <w:t>AetherFlow Technologies, Inc., a Delaware corporation with its principal place of business at 548 Market Street, Suite 39201, San Francisco, CA 94104 ('Provider' or 'AetherFlow AI'), and</w:t>
      </w:r>
    </w:p>
    <w:p>
      <w:pPr>
        <w:spacing w:after="120" w:line="276" w:lineRule="auto"/>
      </w:pPr>
      <w:r>
        <w:rPr>
          <w:rFonts w:ascii="Arial" w:hAnsi="Arial"/>
          <w:b/>
          <w:sz w:val="20"/>
        </w:rPr>
        <w:t xml:space="preserve">PARTY B: </w:t>
      </w:r>
      <w:r>
        <w:rPr>
          <w:rFonts w:ascii="Arial" w:hAnsi="Arial"/>
          <w:sz w:val="20"/>
        </w:rPr>
        <w:t>Acme Corporation, a Delaware corporation with its corporate headquarters at 1000 Acme Way, Detroit, MI 48201 ('Customer' or 'Acme Corp').</w:t>
      </w:r>
    </w:p>
    <w:p>
      <w:pPr>
        <w:spacing w:before="280" w:after="80"/>
      </w:pPr>
      <w:r>
        <w:rPr>
          <w:rFonts w:ascii="Arial" w:hAnsi="Arial"/>
          <w:b/>
          <w:color w:val="1F497D"/>
          <w:sz w:val="26"/>
        </w:rPr>
        <w:t>RECITALS</w:t>
      </w:r>
    </w:p>
    <w:p>
      <w:pPr>
        <w:spacing w:after="120" w:line="276" w:lineRule="auto"/>
      </w:pPr>
      <w:r>
        <w:rPr>
          <w:rFonts w:ascii="Arial" w:hAnsi="Arial"/>
          <w:sz w:val="20"/>
        </w:rPr>
        <w:t>WHEREAS, Provider has developed a proprietary, privacy-preserving workflow intelligence and institutional memory operating platform known as 'AetherFlow Sovereign Engine'; and</w:t>
      </w:r>
    </w:p>
    <w:p>
      <w:pPr>
        <w:spacing w:after="120" w:line="276" w:lineRule="auto"/>
      </w:pPr>
      <w:r>
        <w:rPr>
          <w:rFonts w:ascii="Arial" w:hAnsi="Arial"/>
          <w:sz w:val="20"/>
        </w:rPr>
        <w:t>WHEREAS, Customer desires to license the Software for enterprise-wide deployment across Customer's internal manufacturing, engineering, and supply-chain operations under strict on-premise air-gapped security conditions;</w:t>
      </w:r>
    </w:p>
    <w:p>
      <w:pPr>
        <w:spacing w:after="120" w:line="276" w:lineRule="auto"/>
      </w:pPr>
      <w:r>
        <w:rPr>
          <w:rFonts w:ascii="Arial" w:hAnsi="Arial"/>
          <w:sz w:val="20"/>
        </w:rPr>
        <w:t>NOW, THEREFORE, in consideration of the mutual covenants contained herein, the parties agree as follows:</w:t>
      </w:r>
    </w:p>
    <w:p>
      <w:pPr>
        <w:spacing w:before="280" w:after="80"/>
      </w:pPr>
      <w:r>
        <w:rPr>
          <w:rFonts w:ascii="Arial" w:hAnsi="Arial"/>
          <w:b/>
          <w:color w:val="1F497D"/>
          <w:sz w:val="26"/>
        </w:rPr>
        <w:t>SECTION 1: LICENSE GRANT &amp; AUTHORIZED USE</w:t>
      </w:r>
    </w:p>
    <w:p>
      <w:pPr>
        <w:spacing w:after="120" w:line="276" w:lineRule="auto"/>
      </w:pPr>
      <w:r>
        <w:rPr>
          <w:rFonts w:ascii="Arial" w:hAnsi="Arial"/>
          <w:b/>
          <w:sz w:val="20"/>
        </w:rPr>
        <w:t xml:space="preserve">1.1 Enterprise License Grant. </w:t>
      </w:r>
      <w:r>
        <w:rPr>
          <w:rFonts w:ascii="Arial" w:hAnsi="Arial"/>
          <w:sz w:val="20"/>
        </w:rPr>
        <w:t>Provider hereby grants to Customer a non-exclusive, non-transferable, revocable license to deploy, execute, and utilize the Software across up to two hundred and fifty (250) named engineering seats across Customer's designated private cloud environments.</w:t>
      </w:r>
    </w:p>
    <w:p>
      <w:pPr>
        <w:spacing w:after="120" w:line="276" w:lineRule="auto"/>
      </w:pPr>
      <w:r>
        <w:rPr>
          <w:rFonts w:ascii="Arial" w:hAnsi="Arial"/>
          <w:b/>
          <w:sz w:val="20"/>
        </w:rPr>
        <w:t xml:space="preserve">1.2 Permitted Scope &amp; Restrictions. </w:t>
      </w:r>
      <w:r>
        <w:rPr>
          <w:rFonts w:ascii="Arial" w:hAnsi="Arial"/>
          <w:sz w:val="20"/>
        </w:rPr>
        <w:t>Customer shall not: (a) reverse-engineer, decompile, or disassemble the binary core components; (b) distribute or sublicense the Software to third parties; or (c) bypass any embedded cryptographic licensing locks.</w:t>
      </w:r>
    </w:p>
    <w:p>
      <w:pPr>
        <w:spacing w:before="280" w:after="80"/>
      </w:pPr>
      <w:r>
        <w:rPr>
          <w:rFonts w:ascii="Arial" w:hAnsi="Arial"/>
          <w:b/>
          <w:color w:val="1F497D"/>
          <w:sz w:val="26"/>
        </w:rPr>
        <w:t>SECTION 2: SUBSCRIPTION FEES &amp; PAYMENT SCHEDULE</w:t>
      </w:r>
    </w:p>
    <w:p>
      <w:pPr>
        <w:spacing w:after="120" w:line="276" w:lineRule="auto"/>
      </w:pPr>
      <w:r>
        <w:rPr>
          <w:rFonts w:ascii="Arial" w:hAnsi="Arial"/>
          <w:b/>
          <w:sz w:val="20"/>
        </w:rPr>
        <w:t xml:space="preserve">2.1 Fee Structure. </w:t>
      </w:r>
      <w:r>
        <w:rPr>
          <w:rFonts w:ascii="Arial" w:hAnsi="Arial"/>
          <w:sz w:val="20"/>
        </w:rPr>
        <w:t>Customer shall pay Provider an annualized pilot subscription fee of Eighty Thousand United States Dollars ($80,000.00 USD) ('Annual Subscription Fee').</w:t>
      </w:r>
    </w:p>
    <w:p>
      <w:pPr>
        <w:spacing w:after="120" w:line="276" w:lineRule="auto"/>
      </w:pPr>
      <w:r>
        <w:rPr>
          <w:rFonts w:ascii="Arial" w:hAnsi="Arial"/>
          <w:b/>
          <w:sz w:val="20"/>
        </w:rPr>
        <w:t xml:space="preserve">2.2 Invoicing and Payment Terms. </w:t>
      </w:r>
      <w:r>
        <w:rPr>
          <w:rFonts w:ascii="Arial" w:hAnsi="Arial"/>
          <w:sz w:val="20"/>
        </w:rPr>
        <w:t>The Annual Subscription Fee shall be invoiced upon execution of this Agreement and payable within thirty (30) days of receipt ('Net 30'). Renewal periods shall be subject to a maximum five percent (5.0%) annual price escalation.</w:t>
      </w:r>
    </w:p>
    <w:p>
      <w:pPr>
        <w:spacing w:before="280" w:after="80"/>
      </w:pPr>
      <w:r>
        <w:rPr>
          <w:rFonts w:ascii="Arial" w:hAnsi="Arial"/>
          <w:b/>
          <w:color w:val="1F497D"/>
          <w:sz w:val="26"/>
        </w:rPr>
        <w:t>SECTION 3: AIR-GAPPED ON-PREMISE DEPLOYMENT &amp; HARDWARE SPECIFICATIONS</w:t>
      </w:r>
    </w:p>
    <w:p>
      <w:pPr>
        <w:spacing w:after="120" w:line="276" w:lineRule="auto"/>
      </w:pPr>
      <w:r>
        <w:rPr>
          <w:rFonts w:ascii="Arial" w:hAnsi="Arial"/>
          <w:b/>
          <w:sz w:val="20"/>
        </w:rPr>
        <w:t xml:space="preserve">3.1 Sovereign Guarantee. </w:t>
      </w:r>
      <w:r>
        <w:rPr>
          <w:rFonts w:ascii="Arial" w:hAnsi="Arial"/>
          <w:sz w:val="20"/>
        </w:rPr>
        <w:t>Provider warrants that the Software is engineered to operate in a 100% sovereign, air-gapped environment with zero external telemetry, zero phoning home, and zero outbound network transmission (E_net = 0.00 KB). All inference and vector similarity calculations shall execute entirely upon local customer-managed hardware.</w:t>
      </w:r>
    </w:p>
    <w:p>
      <w:pPr>
        <w:spacing w:after="120" w:line="276" w:lineRule="auto"/>
      </w:pPr>
      <w:r>
        <w:rPr>
          <w:rFonts w:ascii="Arial" w:hAnsi="Arial"/>
          <w:b/>
          <w:sz w:val="20"/>
        </w:rPr>
        <w:t xml:space="preserve">3.2 Customer Infrastructure Prerequisites. </w:t>
      </w:r>
      <w:r>
        <w:rPr>
          <w:rFonts w:ascii="Arial" w:hAnsi="Arial"/>
          <w:sz w:val="20"/>
        </w:rPr>
        <w:t>Customer agrees to provision local physical hardware meeting the minimum cluster baseline: dual x86-64 server nodes, each equipped with at least 32 GB host RAM, PCIe Gen 4 NVMe storage, and NVIDIA RTX 4090 / Ada Lovelace architecture GPU acceleration.</w:t>
      </w:r>
    </w:p>
    <w:p>
      <w:pPr>
        <w:spacing w:before="280" w:after="80"/>
      </w:pPr>
      <w:r>
        <w:rPr>
          <w:rFonts w:ascii="Arial" w:hAnsi="Arial"/>
          <w:b/>
          <w:color w:val="1F497D"/>
          <w:sz w:val="26"/>
        </w:rPr>
        <w:t>SECTION 4: SERVICE LEVEL AGREEMENT (SLA) &amp; UPTIME GUARANTEE</w:t>
      </w:r>
    </w:p>
    <w:p>
      <w:pPr>
        <w:spacing w:after="120" w:line="276" w:lineRule="auto"/>
      </w:pPr>
      <w:r>
        <w:rPr>
          <w:rFonts w:ascii="Arial" w:hAnsi="Arial"/>
          <w:b/>
          <w:sz w:val="20"/>
        </w:rPr>
        <w:t xml:space="preserve">4.1 99.9% Uptime Standard. </w:t>
      </w:r>
      <w:r>
        <w:rPr>
          <w:rFonts w:ascii="Arial" w:hAnsi="Arial"/>
          <w:sz w:val="20"/>
        </w:rPr>
        <w:t>Provider warrants a Monthly Uptime Percentage of at least ninety-nine point nine percent (99.9%) for all production core workflow ingestion and semantic query endpoints during each calendar month.</w:t>
      </w:r>
    </w:p>
    <w:p>
      <w:pPr>
        <w:spacing w:after="120" w:line="276" w:lineRule="auto"/>
      </w:pPr>
      <w:r>
        <w:rPr>
          <w:rFonts w:ascii="Arial" w:hAnsi="Arial"/>
          <w:b/>
          <w:sz w:val="20"/>
        </w:rPr>
        <w:t xml:space="preserve">4.2 Service Credits. </w:t>
      </w:r>
      <w:r>
        <w:rPr>
          <w:rFonts w:ascii="Arial" w:hAnsi="Arial"/>
          <w:sz w:val="20"/>
        </w:rPr>
        <w:t>In the event of verified service degradation below 99.9% caused by Provider's code, Customer shall be entitled to Service Credits calculated as follows: (a) 99.0% to 99.89%: 10% monthly fee credit; (b) 95.0% to 98.99%: 25% monthly fee credit; (c) Less than 95.0%: 50% monthly fee credit plus immediate termination rights.</w:t>
      </w:r>
    </w:p>
    <w:p>
      <w:pPr>
        <w:spacing w:before="280" w:after="80"/>
      </w:pPr>
      <w:r>
        <w:rPr>
          <w:rFonts w:ascii="Arial" w:hAnsi="Arial"/>
          <w:b/>
          <w:color w:val="1F497D"/>
          <w:sz w:val="26"/>
        </w:rPr>
        <w:t>SECTION 5: CUSTOM INTEGRATION DELIVERY CLAUSE &amp; SAML/SCIM CONTINGENCY</w:t>
      </w:r>
    </w:p>
    <w:p>
      <w:pPr>
        <w:spacing w:after="120" w:line="276" w:lineRule="auto"/>
      </w:pPr>
      <w:r>
        <w:rPr>
          <w:rFonts w:ascii="Arial" w:hAnsi="Arial"/>
          <w:b/>
          <w:sz w:val="20"/>
        </w:rPr>
        <w:t xml:space="preserve">5.1 Enterprise Identity Requirement. </w:t>
      </w:r>
      <w:r>
        <w:rPr>
          <w:rFonts w:ascii="Arial" w:hAnsi="Arial"/>
          <w:sz w:val="20"/>
        </w:rPr>
        <w:t>Provider acknowledges that Customer's enterprise security compliance policy mandates seamless corporate single sign-on authentication and automated role-based directory synchronization through Okta and Microsoft Entra ID (Azure AD).</w:t>
      </w:r>
    </w:p>
    <w:p>
      <w:pPr>
        <w:spacing w:after="120" w:line="276" w:lineRule="auto"/>
      </w:pPr>
      <w:r>
        <w:rPr>
          <w:rFonts w:ascii="Arial" w:hAnsi="Arial"/>
          <w:b/>
          <w:sz w:val="20"/>
        </w:rPr>
        <w:t xml:space="preserve">5.2 Scope of Custom Integration. </w:t>
      </w:r>
      <w:r>
        <w:rPr>
          <w:rFonts w:ascii="Arial" w:hAnsi="Arial"/>
          <w:sz w:val="20"/>
        </w:rPr>
        <w:t>Provider explicitly covenants and agrees that it shall design, implement, test, and deploy a fully functioning, production-grade SAML 2.0 (Security Assertion Markup Language) and SCIM 2.0 (System for Cross-domain Identity Management) custom authentication integration to Customer's on-premise deployment environment on or before May 1, 2027 ('SSO Milestone Date').</w:t>
      </w:r>
    </w:p>
    <w:p>
      <w:pPr>
        <w:spacing w:after="120" w:line="276" w:lineRule="auto"/>
      </w:pPr>
      <w:r>
        <w:rPr>
          <w:rFonts w:ascii="Arial" w:hAnsi="Arial"/>
          <w:b/>
          <w:sz w:val="20"/>
        </w:rPr>
        <w:t xml:space="preserve">5.3 Critical Delivery Contingency &amp; Unilateral Termination Right. </w:t>
      </w:r>
      <w:r>
        <w:rPr>
          <w:rFonts w:ascii="Arial" w:hAnsi="Arial"/>
          <w:sz w:val="20"/>
        </w:rPr>
        <w:t>TIME IS STRICTLY OF THE ESSENCE WITH RESPECT TO THE SSO MILESTONE DATE. If Provider fails to deliver the completed, fully validated SAML/SCIM integration on or before May 1, 2027, Customer shall possess the absolute, unilateral, and unencumbered right to terminate this Agreement immediately upon written notice to Provider. Upon such termination, Provider shall, within ten (10) business days, remit to Customer a full one hundred percent (100%) refund of all prepaid fees ($80,000 USD), and Customer shall have zero further legal or financial obligations under this Agreement.</w:t>
      </w:r>
    </w:p>
    <w:p>
      <w:pPr>
        <w:spacing w:before="280" w:after="80"/>
      </w:pPr>
      <w:r>
        <w:rPr>
          <w:rFonts w:ascii="Arial" w:hAnsi="Arial"/>
          <w:b/>
          <w:color w:val="1F497D"/>
          <w:sz w:val="26"/>
        </w:rPr>
        <w:t>SECTION 6: DATA PRIVACY, SOVEREIGNTY &amp; CONFIDENTIALITY</w:t>
      </w:r>
    </w:p>
    <w:p>
      <w:pPr>
        <w:spacing w:after="120" w:line="276" w:lineRule="auto"/>
      </w:pPr>
      <w:r>
        <w:rPr>
          <w:rFonts w:ascii="Arial" w:hAnsi="Arial"/>
          <w:b/>
          <w:sz w:val="20"/>
        </w:rPr>
        <w:t xml:space="preserve">6.1 Definition and Ownership. </w:t>
      </w:r>
      <w:r>
        <w:rPr>
          <w:rFonts w:ascii="Arial" w:hAnsi="Arial"/>
          <w:sz w:val="20"/>
        </w:rPr>
        <w:t>Each party acknowledges that during the performance of this Agreement, it may have access to confidential business and technical information ('Confidential Information'). Customer Data—including CAD drawings, trade secrets, meeting transcripts, and manufacturing metrics—shall remain the sole and exclusive property of Customer.</w:t>
      </w:r>
    </w:p>
    <w:p>
      <w:pPr>
        <w:spacing w:after="120" w:line="276" w:lineRule="auto"/>
      </w:pPr>
      <w:r>
        <w:rPr>
          <w:rFonts w:ascii="Arial" w:hAnsi="Arial"/>
          <w:b/>
          <w:sz w:val="20"/>
        </w:rPr>
        <w:t xml:space="preserve">6.2 Model Training Ban. </w:t>
      </w:r>
      <w:r>
        <w:rPr>
          <w:rFonts w:ascii="Arial" w:hAnsi="Arial"/>
          <w:sz w:val="20"/>
        </w:rPr>
        <w:t>Provider shall not ingest, train public foundation models on, or expose Customer Data to third-party APIs. Provider's local agents shall respect all tenant-isolation boundaries (INV-021) and cryptographic access permissions at all times.</w:t>
      </w:r>
    </w:p>
    <w:p>
      <w:pPr>
        <w:spacing w:before="280" w:after="80"/>
      </w:pPr>
      <w:r>
        <w:rPr>
          <w:rFonts w:ascii="Arial" w:hAnsi="Arial"/>
          <w:b/>
          <w:color w:val="1F497D"/>
          <w:sz w:val="26"/>
        </w:rPr>
        <w:t>SECTION 7: INDEMNIFICATION &amp; LIMITATION OF LIABILITY</w:t>
      </w:r>
    </w:p>
    <w:p>
      <w:pPr>
        <w:spacing w:after="120" w:line="276" w:lineRule="auto"/>
      </w:pPr>
      <w:r>
        <w:rPr>
          <w:rFonts w:ascii="Arial" w:hAnsi="Arial"/>
          <w:b/>
          <w:sz w:val="20"/>
        </w:rPr>
        <w:t xml:space="preserve">7.1 IP Indemnification. </w:t>
      </w:r>
      <w:r>
        <w:rPr>
          <w:rFonts w:ascii="Arial" w:hAnsi="Arial"/>
          <w:sz w:val="20"/>
        </w:rPr>
        <w:t>Provider shall defend, indemnify, and hold harmless Customer against any third-party claims alleging that the Software infringes any patent, copyright, or trademark.</w:t>
      </w:r>
    </w:p>
    <w:p>
      <w:pPr>
        <w:spacing w:after="120" w:line="276" w:lineRule="auto"/>
      </w:pPr>
      <w:r>
        <w:rPr>
          <w:rFonts w:ascii="Arial" w:hAnsi="Arial"/>
          <w:b/>
          <w:sz w:val="20"/>
        </w:rPr>
        <w:t xml:space="preserve">7.2 Liability Cap. </w:t>
      </w:r>
      <w:r>
        <w:rPr>
          <w:rFonts w:ascii="Arial" w:hAnsi="Arial"/>
          <w:sz w:val="20"/>
        </w:rPr>
        <w:t>EXCEPT FOR BREACHES OF SECTION 5 (SSO DELIVERY CONTINGENCY) OR SECTION 6 (CONFIDENTIALITY), NEITHER PARTY'S TOTAL AGGREGATE LIABILITY ARISING OUT OF OR RELATED TO THIS AGREEMENT SHALL EXCEED TWO HUNDRED AND FIFTY THOUSAND DOLLARS ($250,000.00 USD).</w:t>
      </w:r>
    </w:p>
    <w:p>
      <w:pPr>
        <w:spacing w:before="280" w:after="80"/>
      </w:pPr>
      <w:r>
        <w:rPr>
          <w:rFonts w:ascii="Arial" w:hAnsi="Arial"/>
          <w:b/>
          <w:color w:val="1F497D"/>
          <w:sz w:val="26"/>
        </w:rPr>
        <w:t>SECTION 8: SIGNATURES &amp; EXECUTION</w:t>
      </w:r>
    </w:p>
    <w:p>
      <w:pPr>
        <w:spacing w:after="120" w:line="276" w:lineRule="auto"/>
      </w:pPr>
      <w:r>
        <w:rPr>
          <w:rFonts w:ascii="Arial" w:hAnsi="Arial"/>
          <w:sz w:val="20"/>
        </w:rPr>
        <w:t>IN WITNESS WHEREOF, the authorized representatives of the parties have executed this Master Services Agreement as of the Effective Date.</w:t>
      </w:r>
    </w:p>
    <w:tbl>
      <w:tblPr>
        <w:tblW w:type="auto" w:w="0"/>
        <w:jc w:val="center"/>
        <w:tblLook w:firstColumn="1" w:firstRow="1" w:lastColumn="0" w:lastRow="0" w:noHBand="0" w:noVBand="1" w:val="04A0"/>
      </w:tblPr>
      <w:tblGrid>
        <w:gridCol w:w="4680"/>
        <w:gridCol w:w="4680"/>
      </w:tblGrid>
      <w:tr>
        <w:tc>
          <w:tcPr>
            <w:tcW w:type="dxa" w:w="4680"/>
          </w:tcPr>
          <w:p>
            <w:r>
              <w:rPr>
                <w:b/>
                <w:sz w:val="19"/>
              </w:rPr>
              <w:t>FOR: AETHERFLOW TECHNOLOGIES, INC.</w:t>
            </w:r>
          </w:p>
        </w:tc>
        <w:tc>
          <w:tcPr>
            <w:tcW w:type="dxa" w:w="4680"/>
          </w:tcPr>
          <w:p>
            <w:r>
              <w:rPr>
                <w:b/>
                <w:sz w:val="19"/>
              </w:rPr>
              <w:t>FOR: ACME CORPORATION</w:t>
            </w:r>
          </w:p>
        </w:tc>
      </w:tr>
      <w:tr>
        <w:tc>
          <w:tcPr>
            <w:tcW w:type="dxa" w:w="4680"/>
          </w:tcPr>
          <w:p>
            <w:r>
              <w:rPr>
                <w:sz w:val="19"/>
              </w:rPr>
              <w:t>By: /s/ Sarah Jenkins</w:t>
              <w:br/>
              <w:t>Name: Sarah Jenkins</w:t>
              <w:br/>
              <w:t>Title: Enterprise Sales Lead</w:t>
            </w:r>
          </w:p>
        </w:tc>
        <w:tc>
          <w:tcPr>
            <w:tcW w:type="dxa" w:w="4680"/>
          </w:tcPr>
          <w:p>
            <w:r>
              <w:rPr>
                <w:sz w:val="19"/>
              </w:rPr>
              <w:t>By: /s/ David Sterling</w:t>
              <w:br/>
              <w:t>Name: David Sterling</w:t>
              <w:br/>
              <w:t>Title: VP, Global Technology Infrastructure</w:t>
            </w:r>
          </w:p>
        </w:tc>
      </w:tr>
      <w:tr>
        <w:tc>
          <w:tcPr>
            <w:tcW w:type="dxa" w:w="4680"/>
          </w:tcPr>
          <w:p>
            <w:r>
              <w:rPr>
                <w:sz w:val="19"/>
              </w:rPr>
              <w:t>Date: September 22, 2026</w:t>
            </w:r>
          </w:p>
        </w:tc>
        <w:tc>
          <w:tcPr>
            <w:tcW w:type="dxa" w:w="4680"/>
          </w:tcPr>
          <w:p>
            <w:r>
              <w:rPr>
                <w:sz w:val="19"/>
              </w:rPr>
              <w:t>Date: September 24, 2026</w:t>
            </w:r>
          </w:p>
        </w:tc>
      </w:tr>
      <w:tr>
        <w:tc>
          <w:tcPr>
            <w:tcW w:type="dxa" w:w="4680"/>
          </w:tcPr>
          <w:p>
            <w:r>
              <w:rPr>
                <w:sz w:val="19"/>
              </w:rPr>
              <w:t>Countersigned: /s/ Alex Vance</w:t>
              <w:br/>
              <w:t>Alex Vance, Chief Executive Officer</w:t>
            </w:r>
          </w:p>
        </w:tc>
        <w:tc>
          <w:tcPr>
            <w:tcW w:type="dxa" w:w="4680"/>
          </w:tcPr>
          <w:p>
            <w:r>
              <w:rPr>
                <w:sz w:val="19"/>
              </w:rPr>
              <w:t>Approved as to Form: Legal Dept, Acme Corp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