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Standard Operating Procedure</w:t>
      </w:r>
    </w:p>
    <w:p>
      <w:pPr>
        <w:pStyle w:val="Heading1"/>
        <w:spacing w:after="60"/>
      </w:pPr>
      <w:r>
        <w:t xml:space="preserve">VoxMed_AI Development Process</w:t>
      </w:r>
    </w:p>
    <w:p>
      <w:pPr>
        <w:spacing w:after="160"/>
      </w:pPr>
      <w:r>
        <w:t xml:space="preserve">Version 1.0  |  Prepared by: Arsala  |  Date: July 2026</w:t>
      </w:r>
    </w:p>
    <w:p>
      <w:pPr>
        <w:spacing w:after="200"/>
      </w:pPr>
    </w:p>
    <w:p>
      <w:pPr>
        <w:pStyle w:val="Heading1"/>
        <w:spacing w:after="150" w:before="300"/>
      </w:pPr>
      <w:r>
        <w:t xml:space="preserve">1. Purpose</w:t>
      </w:r>
    </w:p>
    <w:p>
      <w:pPr>
        <w:spacing w:after="160"/>
      </w:pPr>
      <w:r>
        <w:t xml:space="preserve">This SOP defines the standard working process for building VoxMed_AI end-to-end: phases, activities, tools, quality checks, and review checkpoints. It exists to keep a long, deep, multi-week build disciplined and consistent, so that each phase is properly finished and verified before the next begins, rather than rushing to a demo.</w:t>
      </w:r>
    </w:p>
    <w:p>
      <w:pPr>
        <w:pStyle w:val="Heading1"/>
        <w:spacing w:after="150" w:before="300"/>
      </w:pPr>
      <w:r>
        <w:t xml:space="preserve">2. Scope</w:t>
      </w:r>
    </w:p>
    <w:p>
      <w:pPr>
        <w:spacing w:after="160"/>
      </w:pPr>
      <w:r>
        <w:t xml:space="preserve">Covers all development activity from planning through to deployment and post-launch monitoring for the VoxMed_AI project, as a solo-developer effort following an SRS-driven, agentic RAG architecture.</w:t>
      </w:r>
    </w:p>
    <w:p>
      <w:pPr>
        <w:pStyle w:val="Heading1"/>
        <w:spacing w:after="150" w:before="300"/>
      </w:pPr>
      <w:r>
        <w:t xml:space="preserve">3. Working Principles</w:t>
      </w:r>
    </w:p>
    <w:p>
      <w:pPr>
        <w:pStyle w:val="ListParagraph"/>
        <w:numPr>
          <w:ilvl w:val="0"/>
          <w:numId w:val="1"/>
        </w:numPr>
        <w:spacing w:after="80"/>
      </w:pPr>
      <w:r>
        <w:t xml:space="preserve">Depth over speed: each phase must have a working, tested output before moving to the next.</w:t>
      </w:r>
    </w:p>
    <w:p>
      <w:pPr>
        <w:pStyle w:val="ListParagraph"/>
        <w:numPr>
          <w:ilvl w:val="0"/>
          <w:numId w:val="1"/>
        </w:numPr>
        <w:spacing w:after="80"/>
      </w:pPr>
      <w:r>
        <w:t xml:space="preserve">Everything grounded: no feature ships that lets the LLM answer outside retrieved context without a clear disclaimer.</w:t>
      </w:r>
    </w:p>
    <w:p>
      <w:pPr>
        <w:pStyle w:val="ListParagraph"/>
        <w:numPr>
          <w:ilvl w:val="0"/>
          <w:numId w:val="1"/>
        </w:numPr>
        <w:spacing w:after="80"/>
      </w:pPr>
      <w:r>
        <w:t xml:space="preserve">Document as you go: every module gets a short README section explaining what it does and why.</w:t>
      </w:r>
    </w:p>
    <w:p>
      <w:pPr>
        <w:pStyle w:val="ListParagraph"/>
        <w:numPr>
          <w:ilvl w:val="0"/>
          <w:numId w:val="1"/>
        </w:numPr>
        <w:spacing w:after="80"/>
      </w:pPr>
      <w:r>
        <w:t xml:space="preserve">Version control from day one: every phase is a separate git branch, merged only after self-review.</w:t>
      </w:r>
    </w:p>
    <w:p>
      <w:pPr>
        <w:pStyle w:val="ListParagraph"/>
        <w:numPr>
          <w:ilvl w:val="0"/>
          <w:numId w:val="1"/>
        </w:numPr>
        <w:spacing w:after="80"/>
      </w:pPr>
      <w:r>
        <w:t xml:space="preserve">Test before trust: no phase is marked complete without a manual test pass against its acceptance criteria.</w:t>
      </w:r>
    </w:p>
    <w:p>
      <w:pPr>
        <w:pStyle w:val="Heading1"/>
        <w:spacing w:after="150" w:before="300"/>
      </w:pPr>
      <w:r>
        <w:t xml:space="preserve">4. Development Phases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200"/>
        <w:gridCol w:w="1700"/>
        <w:gridCol w:w="900"/>
      </w:tblGrid>
      <w:tr>
        <w:tc>
          <w:tcPr>
            <w:tcW w:type="dxa" w:w="700"/>
            <w:shd w:fill="E1F5EE" w:val="clear"/>
          </w:tcPr>
          <w:p>
            <w:r>
              <w:rPr>
                <w:b/>
                <w:bCs/>
                <w:sz w:val="20"/>
                <w:szCs w:val="20"/>
              </w:rPr>
              <w:t xml:space="preserve">Phase</w:t>
            </w:r>
          </w:p>
        </w:tc>
        <w:tc>
          <w:tcPr>
            <w:tcW w:type="dxa" w:w="2600"/>
            <w:shd w:fill="E1F5EE" w:val="clear"/>
          </w:tcPr>
          <w:p>
            <w:r>
              <w:rPr>
                <w:b/>
                <w:bCs/>
                <w:sz w:val="20"/>
                <w:szCs w:val="20"/>
              </w:rPr>
              <w:t xml:space="preserve">Focus</w:t>
            </w:r>
          </w:p>
        </w:tc>
        <w:tc>
          <w:tcPr>
            <w:tcW w:type="dxa" w:w="4200"/>
            <w:shd w:fill="E1F5EE" w:val="clear"/>
          </w:tcPr>
          <w:p>
            <w:r>
              <w:rPr>
                <w:b/>
                <w:bCs/>
                <w:sz w:val="20"/>
                <w:szCs w:val="20"/>
              </w:rPr>
              <w:t xml:space="preserve">Key activities</w:t>
            </w:r>
          </w:p>
        </w:tc>
        <w:tc>
          <w:tcPr>
            <w:tcW w:type="dxa" w:w="1700"/>
            <w:shd w:fill="E1F5EE" w:val="clear"/>
          </w:tcPr>
          <w:p>
            <w:r>
              <w:rPr>
                <w:b/>
                <w:bCs/>
                <w:sz w:val="20"/>
                <w:szCs w:val="20"/>
              </w:rPr>
              <w:t xml:space="preserve">Deliverable</w:t>
            </w:r>
          </w:p>
        </w:tc>
        <w:tc>
          <w:tcPr>
            <w:tcW w:type="dxa" w:w="900"/>
            <w:shd w:fill="E1F5EE" w:val="clear"/>
          </w:tcPr>
          <w:p>
            <w:r>
              <w:rPr>
                <w:b/>
                <w:bCs/>
                <w:sz w:val="20"/>
                <w:szCs w:val="20"/>
              </w:rPr>
              <w:t xml:space="preserve">Duration</w:t>
            </w:r>
          </w:p>
        </w:tc>
      </w:tr>
      <w:tr>
        <w:tc>
          <w:tcPr>
            <w:tcW w:type="dxa" w:w="700"/>
          </w:tcPr>
          <w:p>
            <w:r>
              <w:rPr>
                <w:b w:val="false"/>
                <w:bCs w:val="false"/>
                <w:sz w:val="20"/>
                <w:szCs w:val="20"/>
              </w:rPr>
              <w:t xml:space="preserve">1</w:t>
            </w:r>
          </w:p>
        </w:tc>
        <w:tc>
          <w:tcPr>
            <w:tcW w:type="dxa" w:w="2600"/>
          </w:tcPr>
          <w:p>
            <w:r>
              <w:rPr>
                <w:b w:val="false"/>
                <w:bCs w:val="false"/>
                <w:sz w:val="20"/>
                <w:szCs w:val="20"/>
              </w:rPr>
              <w:t xml:space="preserve">Foundation &amp; planning</w:t>
            </w:r>
          </w:p>
        </w:tc>
        <w:tc>
          <w:tcPr>
            <w:tcW w:type="dxa" w:w="4200"/>
          </w:tcPr>
          <w:p>
            <w:r>
              <w:rPr>
                <w:b w:val="false"/>
                <w:bCs w:val="false"/>
                <w:sz w:val="20"/>
                <w:szCs w:val="20"/>
              </w:rPr>
              <w:t xml:space="preserve">Finalise SRS, architecture diagram, tech stack, repo setup, project structure, README skeleton</w:t>
            </w:r>
          </w:p>
        </w:tc>
        <w:tc>
          <w:tcPr>
            <w:tcW w:type="dxa" w:w="1700"/>
          </w:tcPr>
          <w:p>
            <w:r>
              <w:rPr>
                <w:b w:val="false"/>
                <w:bCs w:val="false"/>
                <w:sz w:val="20"/>
                <w:szCs w:val="20"/>
              </w:rPr>
              <w:t xml:space="preserve">Approved SRS + repo scaffold</w:t>
            </w:r>
          </w:p>
        </w:tc>
        <w:tc>
          <w:tcPr>
            <w:tcW w:type="dxa" w:w="900"/>
          </w:tcPr>
          <w:p>
            <w:r>
              <w:rPr>
                <w:b w:val="false"/>
                <w:bCs w:val="false"/>
                <w:sz w:val="20"/>
                <w:szCs w:val="20"/>
              </w:rPr>
              <w:t xml:space="preserve">Week 1</w:t>
            </w:r>
          </w:p>
        </w:tc>
      </w:tr>
      <w:tr>
        <w:tc>
          <w:tcPr>
            <w:tcW w:type="dxa" w:w="700"/>
          </w:tcPr>
          <w:p>
            <w:r>
              <w:rPr>
                <w:b w:val="false"/>
                <w:bCs w:val="false"/>
                <w:sz w:val="20"/>
                <w:szCs w:val="20"/>
              </w:rPr>
              <w:t xml:space="preserve">2</w:t>
            </w:r>
          </w:p>
        </w:tc>
        <w:tc>
          <w:tcPr>
            <w:tcW w:type="dxa" w:w="2600"/>
          </w:tcPr>
          <w:p>
            <w:r>
              <w:rPr>
                <w:b w:val="false"/>
                <w:bCs w:val="false"/>
                <w:sz w:val="20"/>
                <w:szCs w:val="20"/>
              </w:rPr>
              <w:t xml:space="preserve">Knowledge base &amp; RAG core</w:t>
            </w:r>
          </w:p>
        </w:tc>
        <w:tc>
          <w:tcPr>
            <w:tcW w:type="dxa" w:w="4200"/>
          </w:tcPr>
          <w:p>
            <w:r>
              <w:rPr>
                <w:b w:val="false"/>
                <w:bCs w:val="false"/>
                <w:sz w:val="20"/>
                <w:szCs w:val="20"/>
              </w:rPr>
              <w:t xml:space="preserve">Source medical documents, build ingestion/chunking pipeline, set up vector DB, validate retrieval quality on test queries</w:t>
            </w:r>
          </w:p>
        </w:tc>
        <w:tc>
          <w:tcPr>
            <w:tcW w:type="dxa" w:w="1700"/>
          </w:tcPr>
          <w:p>
            <w:r>
              <w:rPr>
                <w:b w:val="false"/>
                <w:bCs w:val="false"/>
                <w:sz w:val="20"/>
                <w:szCs w:val="20"/>
              </w:rPr>
              <w:t xml:space="preserve">Working ingest.py + retrieval accuracy notes</w:t>
            </w:r>
          </w:p>
        </w:tc>
        <w:tc>
          <w:tcPr>
            <w:tcW w:type="dxa" w:w="900"/>
          </w:tcPr>
          <w:p>
            <w:r>
              <w:rPr>
                <w:b w:val="false"/>
                <w:bCs w:val="false"/>
                <w:sz w:val="20"/>
                <w:szCs w:val="20"/>
              </w:rPr>
              <w:t xml:space="preserve">Week 2-3</w:t>
            </w:r>
          </w:p>
        </w:tc>
      </w:tr>
      <w:tr>
        <w:tc>
          <w:tcPr>
            <w:tcW w:type="dxa" w:w="700"/>
          </w:tcPr>
          <w:p>
            <w:r>
              <w:rPr>
                <w:b w:val="false"/>
                <w:bCs w:val="false"/>
                <w:sz w:val="20"/>
                <w:szCs w:val="20"/>
              </w:rPr>
              <w:t xml:space="preserve">3</w:t>
            </w:r>
          </w:p>
        </w:tc>
        <w:tc>
          <w:tcPr>
            <w:tcW w:type="dxa" w:w="2600"/>
          </w:tcPr>
          <w:p>
            <w:r>
              <w:rPr>
                <w:b w:val="false"/>
                <w:bCs w:val="false"/>
                <w:sz w:val="20"/>
                <w:szCs w:val="20"/>
              </w:rPr>
              <w:t xml:space="preserve">Agent orchestration</w:t>
            </w:r>
          </w:p>
        </w:tc>
        <w:tc>
          <w:tcPr>
            <w:tcW w:type="dxa" w:w="4200"/>
          </w:tcPr>
          <w:p>
            <w:r>
              <w:rPr>
                <w:b w:val="false"/>
                <w:bCs w:val="false"/>
                <w:sz w:val="20"/>
                <w:szCs w:val="20"/>
              </w:rPr>
              <w:t xml:space="preserve">Design and implement Intake, Retrieval, Reasoning, and Safety agents using an agent framework (e.g. LangGraph); define hand-off logic between agents</w:t>
            </w:r>
          </w:p>
        </w:tc>
        <w:tc>
          <w:tcPr>
            <w:tcW w:type="dxa" w:w="1700"/>
          </w:tcPr>
          <w:p>
            <w:r>
              <w:rPr>
                <w:b w:val="false"/>
                <w:bCs w:val="false"/>
                <w:sz w:val="20"/>
                <w:szCs w:val="20"/>
              </w:rPr>
              <w:t xml:space="preserve">Working multi-agent pipeline (text in, text out)</w:t>
            </w:r>
          </w:p>
        </w:tc>
        <w:tc>
          <w:tcPr>
            <w:tcW w:type="dxa" w:w="900"/>
          </w:tcPr>
          <w:p>
            <w:r>
              <w:rPr>
                <w:b w:val="false"/>
                <w:bCs w:val="false"/>
                <w:sz w:val="20"/>
                <w:szCs w:val="20"/>
              </w:rPr>
              <w:t xml:space="preserve">Week 4-5</w:t>
            </w:r>
          </w:p>
        </w:tc>
      </w:tr>
      <w:tr>
        <w:tc>
          <w:tcPr>
            <w:tcW w:type="dxa" w:w="700"/>
          </w:tcPr>
          <w:p>
            <w:r>
              <w:rPr>
                <w:b w:val="false"/>
                <w:bCs w:val="false"/>
                <w:sz w:val="20"/>
                <w:szCs w:val="20"/>
              </w:rPr>
              <w:t xml:space="preserve">4</w:t>
            </w:r>
          </w:p>
        </w:tc>
        <w:tc>
          <w:tcPr>
            <w:tcW w:type="dxa" w:w="2600"/>
          </w:tcPr>
          <w:p>
            <w:r>
              <w:rPr>
                <w:b w:val="false"/>
                <w:bCs w:val="false"/>
                <w:sz w:val="20"/>
                <w:szCs w:val="20"/>
              </w:rPr>
              <w:t xml:space="preserve">Voice layer integration</w:t>
            </w:r>
          </w:p>
        </w:tc>
        <w:tc>
          <w:tcPr>
            <w:tcW w:type="dxa" w:w="4200"/>
          </w:tcPr>
          <w:p>
            <w:r>
              <w:rPr>
                <w:b w:val="false"/>
                <w:bCs w:val="false"/>
                <w:sz w:val="20"/>
                <w:szCs w:val="20"/>
              </w:rPr>
              <w:t xml:space="preserve">Integrate Whisper STT and TTS; connect voice I/O to the agent pipeline; build Streamlit interface</w:t>
            </w:r>
          </w:p>
        </w:tc>
        <w:tc>
          <w:tcPr>
            <w:tcW w:type="dxa" w:w="1700"/>
          </w:tcPr>
          <w:p>
            <w:r>
              <w:rPr>
                <w:b w:val="false"/>
                <w:bCs w:val="false"/>
                <w:sz w:val="20"/>
                <w:szCs w:val="20"/>
              </w:rPr>
              <w:t xml:space="preserve">End-to-end voice demo (MVP)</w:t>
            </w:r>
          </w:p>
        </w:tc>
        <w:tc>
          <w:tcPr>
            <w:tcW w:type="dxa" w:w="900"/>
          </w:tcPr>
          <w:p>
            <w:r>
              <w:rPr>
                <w:b w:val="false"/>
                <w:bCs w:val="false"/>
                <w:sz w:val="20"/>
                <w:szCs w:val="20"/>
              </w:rPr>
              <w:t xml:space="preserve">Week 6</w:t>
            </w:r>
          </w:p>
        </w:tc>
      </w:tr>
      <w:tr>
        <w:tc>
          <w:tcPr>
            <w:tcW w:type="dxa" w:w="700"/>
          </w:tcPr>
          <w:p>
            <w:r>
              <w:rPr>
                <w:b w:val="false"/>
                <w:bCs w:val="false"/>
                <w:sz w:val="20"/>
                <w:szCs w:val="20"/>
              </w:rPr>
              <w:t xml:space="preserve">5</w:t>
            </w:r>
          </w:p>
        </w:tc>
        <w:tc>
          <w:tcPr>
            <w:tcW w:type="dxa" w:w="2600"/>
          </w:tcPr>
          <w:p>
            <w:r>
              <w:rPr>
                <w:b w:val="false"/>
                <w:bCs w:val="false"/>
                <w:sz w:val="20"/>
                <w:szCs w:val="20"/>
              </w:rPr>
              <w:t xml:space="preserve">Safety &amp; evaluation</w:t>
            </w:r>
          </w:p>
        </w:tc>
        <w:tc>
          <w:tcPr>
            <w:tcW w:type="dxa" w:w="4200"/>
          </w:tcPr>
          <w:p>
            <w:r>
              <w:rPr>
                <w:b w:val="false"/>
                <w:bCs w:val="false"/>
                <w:sz w:val="20"/>
                <w:szCs w:val="20"/>
              </w:rPr>
              <w:t xml:space="preserve">Build a test question set with expected sources; measure groundedness and escalation accuracy; tune prompts and retrieval parameters</w:t>
            </w:r>
          </w:p>
        </w:tc>
        <w:tc>
          <w:tcPr>
            <w:tcW w:type="dxa" w:w="1700"/>
          </w:tcPr>
          <w:p>
            <w:r>
              <w:rPr>
                <w:b w:val="false"/>
                <w:bCs w:val="false"/>
                <w:sz w:val="20"/>
                <w:szCs w:val="20"/>
              </w:rPr>
              <w:t xml:space="preserve">Evaluation report with metrics</w:t>
            </w:r>
          </w:p>
        </w:tc>
        <w:tc>
          <w:tcPr>
            <w:tcW w:type="dxa" w:w="900"/>
          </w:tcPr>
          <w:p>
            <w:r>
              <w:rPr>
                <w:b w:val="false"/>
                <w:bCs w:val="false"/>
                <w:sz w:val="20"/>
                <w:szCs w:val="20"/>
              </w:rPr>
              <w:t xml:space="preserve">Week 7</w:t>
            </w:r>
          </w:p>
        </w:tc>
      </w:tr>
      <w:tr>
        <w:tc>
          <w:tcPr>
            <w:tcW w:type="dxa" w:w="700"/>
          </w:tcPr>
          <w:p>
            <w:r>
              <w:rPr>
                <w:b w:val="false"/>
                <w:bCs w:val="false"/>
                <w:sz w:val="20"/>
                <w:szCs w:val="20"/>
              </w:rPr>
              <w:t xml:space="preserve">6</w:t>
            </w:r>
          </w:p>
        </w:tc>
        <w:tc>
          <w:tcPr>
            <w:tcW w:type="dxa" w:w="2600"/>
          </w:tcPr>
          <w:p>
            <w:r>
              <w:rPr>
                <w:b w:val="false"/>
                <w:bCs w:val="false"/>
                <w:sz w:val="20"/>
                <w:szCs w:val="20"/>
              </w:rPr>
              <w:t xml:space="preserve">Polish &amp; documentation</w:t>
            </w:r>
          </w:p>
        </w:tc>
        <w:tc>
          <w:tcPr>
            <w:tcW w:type="dxa" w:w="4200"/>
          </w:tcPr>
          <w:p>
            <w:r>
              <w:rPr>
                <w:b w:val="false"/>
                <w:bCs w:val="false"/>
                <w:sz w:val="20"/>
                <w:szCs w:val="20"/>
              </w:rPr>
              <w:t xml:space="preserve">UI polish, source citation display, error handling, full README, architecture write-up, demo video/GIF</w:t>
            </w:r>
          </w:p>
        </w:tc>
        <w:tc>
          <w:tcPr>
            <w:tcW w:type="dxa" w:w="1700"/>
          </w:tcPr>
          <w:p>
            <w:r>
              <w:rPr>
                <w:b w:val="false"/>
                <w:bCs w:val="false"/>
                <w:sz w:val="20"/>
                <w:szCs w:val="20"/>
              </w:rPr>
              <w:t xml:space="preserve">Portfolio-ready repo + demo</w:t>
            </w:r>
          </w:p>
        </w:tc>
        <w:tc>
          <w:tcPr>
            <w:tcW w:type="dxa" w:w="900"/>
          </w:tcPr>
          <w:p>
            <w:r>
              <w:rPr>
                <w:b w:val="false"/>
                <w:bCs w:val="false"/>
                <w:sz w:val="20"/>
                <w:szCs w:val="20"/>
              </w:rPr>
              <w:t xml:space="preserve">Week 8</w:t>
            </w:r>
          </w:p>
        </w:tc>
      </w:tr>
      <w:tr>
        <w:tc>
          <w:tcPr>
            <w:tcW w:type="dxa" w:w="700"/>
          </w:tcPr>
          <w:p>
            <w:r>
              <w:rPr>
                <w:b w:val="false"/>
                <w:bCs w:val="false"/>
                <w:sz w:val="20"/>
                <w:szCs w:val="20"/>
              </w:rPr>
              <w:t xml:space="preserve">7</w:t>
            </w:r>
          </w:p>
        </w:tc>
        <w:tc>
          <w:tcPr>
            <w:tcW w:type="dxa" w:w="2600"/>
          </w:tcPr>
          <w:p>
            <w:r>
              <w:rPr>
                <w:b w:val="false"/>
                <w:bCs w:val="false"/>
                <w:sz w:val="20"/>
                <w:szCs w:val="20"/>
              </w:rPr>
              <w:t xml:space="preserve">Deployment</w:t>
            </w:r>
          </w:p>
        </w:tc>
        <w:tc>
          <w:tcPr>
            <w:tcW w:type="dxa" w:w="4200"/>
          </w:tcPr>
          <w:p>
            <w:r>
              <w:rPr>
                <w:b w:val="false"/>
                <w:bCs w:val="false"/>
                <w:sz w:val="20"/>
                <w:szCs w:val="20"/>
              </w:rPr>
              <w:t xml:space="preserve">Deploy to Streamlit Community Cloud (or equivalent); set up environment secrets; final smoke test in production</w:t>
            </w:r>
          </w:p>
        </w:tc>
        <w:tc>
          <w:tcPr>
            <w:tcW w:type="dxa" w:w="1700"/>
          </w:tcPr>
          <w:p>
            <w:r>
              <w:rPr>
                <w:b w:val="false"/>
                <w:bCs w:val="false"/>
                <w:sz w:val="20"/>
                <w:szCs w:val="20"/>
              </w:rPr>
              <w:t xml:space="preserve">Live demo link</w:t>
            </w:r>
          </w:p>
        </w:tc>
        <w:tc>
          <w:tcPr>
            <w:tcW w:type="dxa" w:w="900"/>
          </w:tcPr>
          <w:p>
            <w:r>
              <w:rPr>
                <w:b w:val="false"/>
                <w:bCs w:val="false"/>
                <w:sz w:val="20"/>
                <w:szCs w:val="20"/>
              </w:rPr>
              <w:t xml:space="preserve">Week 9</w:t>
            </w:r>
          </w:p>
        </w:tc>
      </w:tr>
      <w:tr>
        <w:tc>
          <w:tcPr>
            <w:tcW w:type="dxa" w:w="700"/>
          </w:tcPr>
          <w:p>
            <w:r>
              <w:rPr>
                <w:b w:val="false"/>
                <w:bCs w:val="false"/>
                <w:sz w:val="20"/>
                <w:szCs w:val="20"/>
              </w:rPr>
              <w:t xml:space="preserve">8</w:t>
            </w:r>
          </w:p>
        </w:tc>
        <w:tc>
          <w:tcPr>
            <w:tcW w:type="dxa" w:w="2600"/>
          </w:tcPr>
          <w:p>
            <w:r>
              <w:rPr>
                <w:b w:val="false"/>
                <w:bCs w:val="false"/>
                <w:sz w:val="20"/>
                <w:szCs w:val="20"/>
              </w:rPr>
              <w:t xml:space="preserve">Monitoring &amp; iteration</w:t>
            </w:r>
          </w:p>
        </w:tc>
        <w:tc>
          <w:tcPr>
            <w:tcW w:type="dxa" w:w="4200"/>
          </w:tcPr>
          <w:p>
            <w:r>
              <w:rPr>
                <w:b w:val="false"/>
                <w:bCs w:val="false"/>
                <w:sz w:val="20"/>
                <w:szCs w:val="20"/>
              </w:rPr>
              <w:t xml:space="preserve">Review logs, collect feedback, prioritise next features (multi-turn memory, multilingual support)</w:t>
            </w:r>
          </w:p>
        </w:tc>
        <w:tc>
          <w:tcPr>
            <w:tcW w:type="dxa" w:w="1700"/>
          </w:tcPr>
          <w:p>
            <w:r>
              <w:rPr>
                <w:b w:val="false"/>
                <w:bCs w:val="false"/>
                <w:sz w:val="20"/>
                <w:szCs w:val="20"/>
              </w:rPr>
              <w:t xml:space="preserve">Iteration backlog</w:t>
            </w:r>
          </w:p>
        </w:tc>
        <w:tc>
          <w:tcPr>
            <w:tcW w:type="dxa" w:w="900"/>
          </w:tcPr>
          <w:p>
            <w:r>
              <w:rPr>
                <w:b w:val="false"/>
                <w:bCs w:val="false"/>
                <w:sz w:val="20"/>
                <w:szCs w:val="20"/>
              </w:rPr>
              <w:t xml:space="preserve">Ongoing</w:t>
            </w:r>
          </w:p>
        </w:tc>
      </w:tr>
    </w:tbl>
    <w:p>
      <w:pPr>
        <w:pStyle w:val="Heading1"/>
        <w:spacing w:after="150" w:before="300"/>
      </w:pPr>
      <w:r>
        <w:t xml:space="preserve">5. Roles and Responsibilities</w:t>
      </w:r>
    </w:p>
    <w:p>
      <w:pPr>
        <w:spacing w:after="160"/>
      </w:pPr>
      <w:r>
        <w:t xml:space="preserve">As a solo project, all roles are held by the developer (Arsala), but are kept conceptually separate to maintain discipline:</w:t>
      </w:r>
    </w:p>
    <w:p>
      <w:pPr>
        <w:pStyle w:val="ListParagraph"/>
        <w:numPr>
          <w:ilvl w:val="0"/>
          <w:numId w:val="1"/>
        </w:numPr>
        <w:spacing w:after="80"/>
      </w:pPr>
      <w:r>
        <w:t xml:space="preserve">Product owner - maintains the SRS, decides scope and priority</w:t>
      </w:r>
    </w:p>
    <w:p>
      <w:pPr>
        <w:pStyle w:val="ListParagraph"/>
        <w:numPr>
          <w:ilvl w:val="0"/>
          <w:numId w:val="1"/>
        </w:numPr>
        <w:spacing w:after="80"/>
      </w:pPr>
      <w:r>
        <w:t xml:space="preserve">Developer - implements each module per phase</w:t>
      </w:r>
    </w:p>
    <w:p>
      <w:pPr>
        <w:pStyle w:val="ListParagraph"/>
        <w:numPr>
          <w:ilvl w:val="0"/>
          <w:numId w:val="1"/>
        </w:numPr>
        <w:spacing w:after="80"/>
      </w:pPr>
      <w:r>
        <w:t xml:space="preserve">QA / reviewer - tests each phase against acceptance criteria before merging</w:t>
      </w:r>
    </w:p>
    <w:p>
      <w:pPr>
        <w:pStyle w:val="ListParagraph"/>
        <w:numPr>
          <w:ilvl w:val="0"/>
          <w:numId w:val="1"/>
        </w:numPr>
        <w:spacing w:after="80"/>
      </w:pPr>
      <w:r>
        <w:t xml:space="preserve">Safety reviewer - checks that medical-safety requirements (FR-6, NFR-2, NFR-7 in the SRS) are met before any phase is marked done</w:t>
      </w:r>
    </w:p>
    <w:p>
      <w:pPr>
        <w:pStyle w:val="Heading1"/>
        <w:spacing w:after="150" w:before="300"/>
      </w:pPr>
      <w:r>
        <w:t xml:space="preserve">6. Tools and Tech Stack</w:t>
      </w:r>
    </w:p>
    <w:p>
      <w:pPr>
        <w:pStyle w:val="ListParagraph"/>
        <w:numPr>
          <w:ilvl w:val="0"/>
          <w:numId w:val="1"/>
        </w:numPr>
        <w:spacing w:after="80"/>
      </w:pPr>
      <w:r>
        <w:t xml:space="preserve">Language / framework: Python, FastAPI (backend), Streamlit (MVP UI)</w:t>
      </w:r>
    </w:p>
    <w:p>
      <w:pPr>
        <w:pStyle w:val="ListParagraph"/>
        <w:numPr>
          <w:ilvl w:val="0"/>
          <w:numId w:val="1"/>
        </w:numPr>
        <w:spacing w:after="80"/>
      </w:pPr>
      <w:r>
        <w:t xml:space="preserve">LLM: Claude API (Anthropic)</w:t>
      </w:r>
    </w:p>
    <w:p>
      <w:pPr>
        <w:pStyle w:val="ListParagraph"/>
        <w:numPr>
          <w:ilvl w:val="0"/>
          <w:numId w:val="1"/>
        </w:numPr>
        <w:spacing w:after="80"/>
      </w:pPr>
      <w:r>
        <w:t xml:space="preserve">Speech: OpenAI Whisper (STT), gTTS or ElevenLabs (TTS)</w:t>
      </w:r>
    </w:p>
    <w:p>
      <w:pPr>
        <w:pStyle w:val="ListParagraph"/>
        <w:numPr>
          <w:ilvl w:val="0"/>
          <w:numId w:val="1"/>
        </w:numPr>
        <w:spacing w:after="80"/>
      </w:pPr>
      <w:r>
        <w:t xml:space="preserve">RAG: ChromaDB (local/MVP) or Pinecone (production), sentence-transformers for embeddings</w:t>
      </w:r>
    </w:p>
    <w:p>
      <w:pPr>
        <w:pStyle w:val="ListParagraph"/>
        <w:numPr>
          <w:ilvl w:val="0"/>
          <w:numId w:val="1"/>
        </w:numPr>
        <w:spacing w:after="80"/>
      </w:pPr>
      <w:r>
        <w:t xml:space="preserve">Agent orchestration: LangGraph or a custom lightweight agent router</w:t>
      </w:r>
    </w:p>
    <w:p>
      <w:pPr>
        <w:pStyle w:val="ListParagraph"/>
        <w:numPr>
          <w:ilvl w:val="0"/>
          <w:numId w:val="1"/>
        </w:numPr>
        <w:spacing w:after="80"/>
      </w:pPr>
      <w:r>
        <w:t xml:space="preserve">Storage: PostgreSQL for session/logging</w:t>
      </w:r>
    </w:p>
    <w:p>
      <w:pPr>
        <w:pStyle w:val="ListParagraph"/>
        <w:numPr>
          <w:ilvl w:val="0"/>
          <w:numId w:val="1"/>
        </w:numPr>
        <w:spacing w:after="80"/>
      </w:pPr>
      <w:r>
        <w:t xml:space="preserve">Version control: Git + GitHub, one feature branch per phase</w:t>
      </w:r>
    </w:p>
    <w:p>
      <w:pPr>
        <w:pStyle w:val="Heading1"/>
        <w:spacing w:after="150" w:before="300"/>
      </w:pPr>
      <w:r>
        <w:t xml:space="preserve">7. Quality &amp; Testing Procedure</w:t>
      </w:r>
    </w:p>
    <w:p>
      <w:pPr>
        <w:pStyle w:val="ListParagraph"/>
        <w:numPr>
          <w:ilvl w:val="0"/>
          <w:numId w:val="1"/>
        </w:numPr>
        <w:spacing w:after="80"/>
      </w:pPr>
      <w:r>
        <w:t xml:space="preserve">Unit-level: test ingestion/chunking output on sample documents before wiring into the full pipeline</w:t>
      </w:r>
    </w:p>
    <w:p>
      <w:pPr>
        <w:pStyle w:val="ListParagraph"/>
        <w:numPr>
          <w:ilvl w:val="0"/>
          <w:numId w:val="1"/>
        </w:numPr>
        <w:spacing w:after="80"/>
      </w:pPr>
      <w:r>
        <w:t xml:space="preserve">Retrieval testing: maintain a fixed set of test questions with known correct source documents; measure retrieval hit rate each time the knowledge base or embedding model changes</w:t>
      </w:r>
    </w:p>
    <w:p>
      <w:pPr>
        <w:pStyle w:val="ListParagraph"/>
        <w:numPr>
          <w:ilvl w:val="0"/>
          <w:numId w:val="1"/>
        </w:numPr>
        <w:spacing w:after="80"/>
      </w:pPr>
      <w:r>
        <w:t xml:space="preserve">Groundedness testing: manually review a sample of generated answers each phase to confirm no fabricated claims</w:t>
      </w:r>
    </w:p>
    <w:p>
      <w:pPr>
        <w:pStyle w:val="ListParagraph"/>
        <w:numPr>
          <w:ilvl w:val="0"/>
          <w:numId w:val="1"/>
        </w:numPr>
        <w:spacing w:after="80"/>
      </w:pPr>
      <w:r>
        <w:t xml:space="preserve">Safety testing: run a set of emergency-pattern queries to confirm the Safety Agent escalates correctly, every phase after Phase 3</w:t>
      </w:r>
    </w:p>
    <w:p>
      <w:pPr>
        <w:pStyle w:val="ListParagraph"/>
        <w:numPr>
          <w:ilvl w:val="0"/>
          <w:numId w:val="1"/>
        </w:numPr>
        <w:spacing w:after="80"/>
      </w:pPr>
      <w:r>
        <w:t xml:space="preserve">End-to-end testing: full voice-in to voice-out test before each deployment</w:t>
      </w:r>
    </w:p>
    <w:p>
      <w:pPr>
        <w:pStyle w:val="Heading1"/>
        <w:spacing w:after="150" w:before="300"/>
      </w:pPr>
      <w:r>
        <w:t xml:space="preserve">8. Change Management</w:t>
      </w:r>
    </w:p>
    <w:p>
      <w:pPr>
        <w:spacing w:after="160"/>
      </w:pPr>
      <w:r>
        <w:t xml:space="preserve">Any change to scope (new feature, changed requirement) must be reflected back into the SRS document before implementation begins, so the SRS remains the single source of truth for what the system does.</w:t>
      </w:r>
    </w:p>
    <w:p>
      <w:pPr>
        <w:pStyle w:val="Heading1"/>
        <w:spacing w:after="150" w:before="300"/>
      </w:pPr>
      <w:r>
        <w:t xml:space="preserve">9. Definition of Done</w:t>
      </w:r>
    </w:p>
    <w:p>
      <w:pPr>
        <w:spacing w:after="160"/>
      </w:pPr>
      <w:r>
        <w:t xml:space="preserve">A phase is considered complete only when: (1) the deliverable listed in the phase table exists and runs without errors, (2) it has been manually tested against its acceptance criteria, (3) the relevant README section is written, and (4) the code is committed to its own reviewed branch.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2026-07-15T03:52:48.824Z</dcterms:created>
  <dcterms:modified xsi:type="dcterms:W3CDTF">2026-07-15T03:52:48.824Z</dcterms:modified>
</cp:coreProperties>
</file>

<file path=docProps/custom.xml><?xml version="1.0" encoding="utf-8"?>
<Properties xmlns="http://schemas.openxmlformats.org/officeDocument/2006/custom-properties" xmlns:vt="http://schemas.openxmlformats.org/officeDocument/2006/docPropsVTypes"/>
</file>