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PEAS Specifications: Delivery Robot and Student-Support Agent</w:t>
      </w:r>
    </w:p>
    <w:p>
      <w:r>
        <w:t>PEAS stands for Performance measure, Environment, Actuators, and Sensors. These specifications describe two agents and the assumptions under which they operate.</w:t>
      </w:r>
    </w:p>
    <w:p>
      <w:pPr>
        <w:pStyle w:val="Heading2"/>
      </w:pPr>
      <w:r>
        <w:t>1. Delivery Robot</w:t>
      </w:r>
    </w:p>
    <w:tbl>
      <w:tblPr>
        <w:tblStyle w:val="TableGrid"/>
        <w:tblW w:type="auto" w:w="0"/>
        <w:tblLook w:firstColumn="1" w:firstRow="1" w:lastColumn="0" w:lastRow="0" w:noHBand="0" w:noVBand="1" w:val="04A0"/>
      </w:tblPr>
      <w:tblGrid>
        <w:gridCol w:w="4320"/>
        <w:gridCol w:w="4320"/>
      </w:tblGrid>
      <w:tr>
        <w:tc>
          <w:tcPr>
            <w:tcW w:type="dxa" w:w="4320"/>
          </w:tcPr>
          <w:p>
            <w:r>
              <w:rPr>
                <w:b/>
              </w:rPr>
              <w:t>PEAS component</w:t>
            </w:r>
          </w:p>
        </w:tc>
        <w:tc>
          <w:tcPr>
            <w:tcW w:type="dxa" w:w="4320"/>
          </w:tcPr>
          <w:p>
            <w:r>
              <w:rPr>
                <w:b/>
              </w:rPr>
              <w:t>Specification</w:t>
            </w:r>
          </w:p>
        </w:tc>
      </w:tr>
      <w:tr>
        <w:tc>
          <w:tcPr>
            <w:tcW w:type="dxa" w:w="4320"/>
          </w:tcPr>
          <w:p>
            <w:r>
              <w:t>Performance measure</w:t>
            </w:r>
          </w:p>
        </w:tc>
        <w:tc>
          <w:tcPr>
            <w:tcW w:type="dxa" w:w="4320"/>
          </w:tcPr>
          <w:p>
            <w:r>
              <w:t>1. Deliver the correct parcel to the correct destination.</w:t>
              <w:br/>
              <w:t>2. Avoid collisions and protect people.</w:t>
              <w:br/>
              <w:t>3. Meet delivery time targets while conserving battery.</w:t>
            </w:r>
          </w:p>
        </w:tc>
      </w:tr>
      <w:tr>
        <w:tc>
          <w:tcPr>
            <w:tcW w:type="dxa" w:w="4320"/>
          </w:tcPr>
          <w:p>
            <w:r>
              <w:t>Environment</w:t>
            </w:r>
          </w:p>
        </w:tc>
        <w:tc>
          <w:tcPr>
            <w:tcW w:type="dxa" w:w="4320"/>
          </w:tcPr>
          <w:p>
            <w:r>
              <w:t>1. Campus or office paths, corridors, ramps, and elevators.</w:t>
              <w:br/>
              <w:t>2. Pedestrians, doors, other robots, obstacles, and changing weather on outdoor routes.</w:t>
              <w:br/>
              <w:t>3. Parcel pickup and drop-off points.</w:t>
            </w:r>
          </w:p>
        </w:tc>
      </w:tr>
      <w:tr>
        <w:tc>
          <w:tcPr>
            <w:tcW w:type="dxa" w:w="4320"/>
          </w:tcPr>
          <w:p>
            <w:r>
              <w:t>Actuators</w:t>
            </w:r>
          </w:p>
        </w:tc>
        <w:tc>
          <w:tcPr>
            <w:tcW w:type="dxa" w:w="4320"/>
          </w:tcPr>
          <w:p>
            <w:r>
              <w:t>1. Drive motors and steering controls.</w:t>
              <w:br/>
              <w:t>2. Brakes and speed control.</w:t>
              <w:br/>
              <w:t>3. Parcel compartment lock or delivery mechanism.</w:t>
            </w:r>
          </w:p>
        </w:tc>
      </w:tr>
      <w:tr>
        <w:tc>
          <w:tcPr>
            <w:tcW w:type="dxa" w:w="4320"/>
          </w:tcPr>
          <w:p>
            <w:r>
              <w:t>Sensors</w:t>
            </w:r>
          </w:p>
        </w:tc>
        <w:tc>
          <w:tcPr>
            <w:tcW w:type="dxa" w:w="4320"/>
          </w:tcPr>
          <w:p>
            <w:r>
              <w:t>1. Cameras or depth sensors to detect people and obstacles.</w:t>
              <w:br/>
              <w:t>2. LiDAR or ultrasonic sensors to estimate distance.</w:t>
              <w:br/>
              <w:t>3. GPS outdoors and wheel encoders/IMU for position and movement.</w:t>
            </w:r>
          </w:p>
        </w:tc>
      </w:tr>
    </w:tbl>
    <w:p>
      <w:r>
        <w:t>Constraint / trade-off: Moving faster may improve delivery time, but increases collision risk and can reduce the time available to detect hazards. The robot should prioritize safe movement over speed.</w:t>
      </w:r>
    </w:p>
    <w:p>
      <w:pPr>
        <w:pStyle w:val="Heading2"/>
      </w:pPr>
      <w:r>
        <w:t>2. LLM-Based Student-Support Agent</w:t>
      </w:r>
    </w:p>
    <w:tbl>
      <w:tblPr>
        <w:tblStyle w:val="TableGrid"/>
        <w:tblW w:type="auto" w:w="0"/>
        <w:tblLook w:firstColumn="1" w:firstRow="1" w:lastColumn="0" w:lastRow="0" w:noHBand="0" w:noVBand="1" w:val="04A0"/>
      </w:tblPr>
      <w:tblGrid>
        <w:gridCol w:w="4320"/>
        <w:gridCol w:w="4320"/>
      </w:tblGrid>
      <w:tr>
        <w:tc>
          <w:tcPr>
            <w:tcW w:type="dxa" w:w="4320"/>
          </w:tcPr>
          <w:p>
            <w:r>
              <w:rPr>
                <w:b/>
              </w:rPr>
              <w:t>PEAS component</w:t>
            </w:r>
          </w:p>
        </w:tc>
        <w:tc>
          <w:tcPr>
            <w:tcW w:type="dxa" w:w="4320"/>
          </w:tcPr>
          <w:p>
            <w:r>
              <w:rPr>
                <w:b/>
              </w:rPr>
              <w:t>Specification</w:t>
            </w:r>
          </w:p>
        </w:tc>
      </w:tr>
      <w:tr>
        <w:tc>
          <w:tcPr>
            <w:tcW w:type="dxa" w:w="4320"/>
          </w:tcPr>
          <w:p>
            <w:r>
              <w:t>Performance measure</w:t>
            </w:r>
          </w:p>
        </w:tc>
        <w:tc>
          <w:tcPr>
            <w:tcW w:type="dxa" w:w="4320"/>
          </w:tcPr>
          <w:p>
            <w:r>
              <w:t>1. Give accurate, understandable answers about course content and study strategies.</w:t>
              <w:br/>
              <w:t>2. Provide timely, relevant guidance and clearly admit uncertainty.</w:t>
              <w:br/>
              <w:t>3. Protect student privacy and avoid inventing deadlines or policies.</w:t>
            </w:r>
          </w:p>
        </w:tc>
      </w:tr>
      <w:tr>
        <w:tc>
          <w:tcPr>
            <w:tcW w:type="dxa" w:w="4320"/>
          </w:tcPr>
          <w:p>
            <w:r>
              <w:t>Environment</w:t>
            </w:r>
          </w:p>
        </w:tc>
        <w:tc>
          <w:tcPr>
            <w:tcW w:type="dxa" w:w="4320"/>
          </w:tcPr>
          <w:p>
            <w:r>
              <w:t>1. A university student-support chat interface.</w:t>
              <w:br/>
              <w:t>2. Students asking about lectures, assignments, exam preparation, and general study planning.</w:t>
              <w:br/>
              <w:t>3. A defined course knowledge base and university guidance documents supplied to the agent.</w:t>
            </w:r>
          </w:p>
        </w:tc>
      </w:tr>
      <w:tr>
        <w:tc>
          <w:tcPr>
            <w:tcW w:type="dxa" w:w="4320"/>
          </w:tcPr>
          <w:p>
            <w:r>
              <w:t>Actuators</w:t>
            </w:r>
          </w:p>
        </w:tc>
        <w:tc>
          <w:tcPr>
            <w:tcW w:type="dxa" w:w="4320"/>
          </w:tcPr>
          <w:p>
            <w:r>
              <w:t>1. Text replies explaining concepts and suggesting next steps.</w:t>
              <w:br/>
              <w:t>2. Links or references to approved course materials.</w:t>
              <w:br/>
              <w:t>3. A request for clarification or referral to a teacher/support staff when the question needs an official decision.</w:t>
            </w:r>
          </w:p>
        </w:tc>
      </w:tr>
      <w:tr>
        <w:tc>
          <w:tcPr>
            <w:tcW w:type="dxa" w:w="4320"/>
          </w:tcPr>
          <w:p>
            <w:r>
              <w:t>Sensors</w:t>
            </w:r>
          </w:p>
        </w:tc>
        <w:tc>
          <w:tcPr>
            <w:tcW w:type="dxa" w:w="4320"/>
          </w:tcPr>
          <w:p>
            <w:r>
              <w:t>1. Student's typed messages and uploaded course files.</w:t>
              <w:br/>
              <w:t>2. Retrieved text from the approved course knowledge base.</w:t>
              <w:br/>
              <w:t>3. Tool responses showing permitted information, such as course pages or assignment instructions.</w:t>
            </w:r>
          </w:p>
        </w:tc>
      </w:tr>
    </w:tbl>
    <w:p>
      <w:r>
        <w:t>Operational assumptions: The agent can read the student's current message and files the student uploads. It can search a read-only, approved course knowledge base and open links to official university/course pages. It cannot access private student records, grades, email, learning-management accounts, or make changes to enrollment unless an explicitly authorized tool is added. It does not independently issue official academic decisions.</w:t>
      </w:r>
    </w:p>
    <w:p>
      <w:r>
        <w:t>Constraint / trade-off: Giving a fast, confident answer may feel helpful, but course rules can be specific or change over time. The agent should prioritize verified information and privacy, ask clarifying questions when needed, and refer uncertain policy questions to staff.</w:t>
      </w:r>
    </w:p>
    <w:p>
      <w:pPr>
        <w:pStyle w:val="Heading2"/>
      </w:pPr>
      <w:r>
        <w:t>Comparison</w:t>
      </w:r>
    </w:p>
    <w:p>
      <w:r>
        <w:t>The delivery robot senses and changes the physical world, so collision avoidance and hardware limits are central. The student-support agent mainly processes language and approved information, so factual accuracy, privacy, and clear limits on tool access are central.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