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0" w:lineRule="auto"/>
        <w:jc w:val="center"/>
      </w:pPr>
      <w:r>
        <w:rPr>
          <w:rFonts w:ascii="Times New Roman" w:cs="Times New Roman" w:eastAsia="Times New Roman" w:hAnsi="Times New Roman"/>
          <w:b/>
          <w:bCs/>
          <w:sz w:val="32"/>
          <w:szCs w:val="32"/>
        </w:rPr>
        <w:t xml:space="preserve">Canary — A Pre-Registered Single-Signal Novelty Study on SEC 10-K MD&amp;A Text</w:t>
      </w:r>
    </w:p>
    <w:p>
      <w:pPr>
        <w:spacing w:line="240" w:lineRule="auto"/>
        <w:jc w:val="center"/>
      </w:pPr>
      <w:r>
        <w:rPr>
          <w:rFonts w:ascii="Times New Roman" w:cs="Times New Roman" w:eastAsia="Times New Roman" w:hAnsi="Times New Roman"/>
          <w:b/>
          <w:bCs/>
          <w:sz w:val="24"/>
          <w:szCs w:val="24"/>
        </w:rPr>
        <w:t xml:space="preserve">Arsenii Chan</w:t>
      </w:r>
    </w:p>
    <w:p>
      <w:pPr>
        <w:spacing w:line="240" w:lineRule="auto"/>
        <w:jc w:val="center"/>
      </w:pPr>
      <w:r>
        <w:rPr>
          <w:rFonts w:ascii="Times New Roman" w:cs="Times New Roman" w:eastAsia="Times New Roman" w:hAnsi="Times New Roman"/>
          <w:sz w:val="24"/>
          <w:szCs w:val="24"/>
        </w:rPr>
        <w:t xml:space="preserve">CSC 44800 — Artificial Intelligence</w:t>
      </w:r>
    </w:p>
    <w:p>
      <w:pPr>
        <w:spacing w:line="240" w:lineRule="auto"/>
        <w:jc w:val="center"/>
      </w:pPr>
      <w:r>
        <w:rPr>
          <w:rFonts w:ascii="Times New Roman" w:cs="Times New Roman" w:eastAsia="Times New Roman" w:hAnsi="Times New Roman"/>
          <w:sz w:val="24"/>
          <w:szCs w:val="24"/>
        </w:rPr>
        <w:t xml:space="preserve">Spring 2026 · City College of New York</w:t>
      </w:r>
    </w:p>
    <w:p>
      <w:pPr>
        <w:spacing w:line="240" w:lineRule="auto"/>
        <w:jc w:val="center"/>
      </w:pPr>
      <w:r>
        <w:rPr>
          <w:rFonts w:ascii="Times New Roman" w:cs="Times New Roman" w:eastAsia="Times New Roman" w:hAnsi="Times New Roman"/>
          <w:i/>
          <w:iCs/>
          <w:sz w:val="24"/>
          <w:szCs w:val="24"/>
        </w:rPr>
        <w:t xml:space="preserve">Final Project Report</w:t>
      </w:r>
    </w:p>
    <w:p>
      <w:pPr>
        <w:spacing w:after="240" w:before="60" w:line="240" w:lineRule="auto"/>
        <w:jc w:val="center"/>
      </w:pPr>
      <w:r>
        <w:rPr>
          <w:rFonts w:ascii="Times New Roman" w:cs="Times New Roman" w:eastAsia="Times New Roman" w:hAnsi="Times New Roman"/>
          <w:sz w:val="20"/>
          <w:szCs w:val="20"/>
        </w:rPr>
        <w:t xml:space="preserve">Repository: github.com/ArseniiChan/canary  ·  Frozen analysis spec: git tag validation-spec-frozen</w:t>
      </w:r>
    </w:p>
    <w:p>
      <w:pPr>
        <w:pStyle w:val="Heading1"/>
        <w:spacing w:after="180" w:before="360" w:line="280" w:lineRule="auto"/>
      </w:pPr>
      <w:r>
        <w:rPr>
          <w:rFonts w:ascii="Times New Roman" w:cs="Times New Roman" w:eastAsia="Times New Roman" w:hAnsi="Times New Roman"/>
          <w:b/>
          <w:bCs/>
          <w:sz w:val="32"/>
          <w:szCs w:val="32"/>
        </w:rPr>
        <w:t xml:space="preserve">Abstract</w:t>
      </w:r>
    </w:p>
    <w:p>
      <w:pPr>
        <w:spacing w:line="480" w:lineRule="auto"/>
        <w:ind w:firstLine="360"/>
      </w:pPr>
      <w:r>
        <w:rPr>
          <w:rFonts w:ascii="Times New Roman" w:cs="Times New Roman" w:eastAsia="Times New Roman" w:hAnsi="Times New Roman"/>
          <w:sz w:val="24"/>
          <w:szCs w:val="24"/>
        </w:rPr>
        <w:t xml:space="preserve">Can a computer reading the words in an annual report tell which companies turned out to be committing accounting fraud? This project tests one specific answer to that question. I treat each Form 10-K filing's Management's Discussion and Analysis section (Item 7) as a sequence of sentences, embed every sentence with the all-MiniLM-L6-v2 sentence-transformer, train a small autoencoder (384 → 128 → 32 → 128 → 384) on clean peer filings, and score each filing by the mean per-sentence reconstruction error. The training regime is leave-one-cohort-out and time-controlled: for each held-out fraud cohort, the autoencoder only sees clean peer filings from other cohorts dated on or before that fraud's filing date. The held-out evaluation set is six historical accounting frauds — Enron (FY2000), WorldCom (FY2001), Tyco (FY2001), HealthSouth (FY2001), Valeant (FY2014), and Lehman Brothers (FY2007) — paired with industry-and-year-matched peer cohorts. The analysis specification, including exact accession numbers, was committed to the repository and git-tagged validation-spec-frozen before any validation script ran.</w:t>
      </w:r>
    </w:p>
    <w:p>
      <w:pPr>
        <w:spacing w:line="480" w:lineRule="auto"/>
        <w:ind w:firstLine="360"/>
      </w:pPr>
      <w:r>
        <w:rPr>
          <w:rFonts w:ascii="Times New Roman" w:cs="Times New Roman" w:eastAsia="Times New Roman" w:hAnsi="Times New Roman"/>
          <w:sz w:val="24"/>
          <w:szCs w:val="24"/>
        </w:rPr>
        <w:t xml:space="preserve">The headline is honest about three things at once. First, the pre-registered design was infeasible for Enron: under the strict leave-one-cohort-out plus time-controlled rule, no eligible training data existed for Enron's cohort, because Enron's filing date precedes every peer filing in every other cohort. Enron is excluded from the primary results; that exclusion is a finding about pre-registration, not about fraud detection. Second, of the five remaining cohorts, only Lehman Brothers ranks in the top three within its peer cohort (rank 3 of 13, sentence-level Mann-Whitney p ≈ 1.3 × 10⁻⁹, rank-biserial effect size +0.12). The other four cohorts (HealthSouth 7/12, Tyco 9/13, Valeant 8/13, WorldCom 12/13) rank at or below the random-baseline expectation. Aggregate hit-rates are hit@1 = 0.00, hit@3 = 0.20, hit@5 = 0.20 — at or below the random baseline of 0.08, 0.23, 0.39. Third, a post-hoc TF-IDF + truncated-SVD trivial baseline, run on the same training corpora and the same five cohorts, matches or exceeds the autoencoder on every cohort and produces an even stronger Mann-Whitney signal on Lehman (p ≈ 5 × 10⁻²², rank 1 of 13). At this dataset size and on this signal, the 2020s neural model adds nothing beyond a 1990s latent-semantic-analysis baseline.</w:t>
      </w:r>
    </w:p>
    <w:p>
      <w:pPr>
        <w:spacing w:line="480" w:lineRule="auto"/>
        <w:ind w:firstLine="360"/>
      </w:pPr>
      <w:r>
        <w:rPr>
          <w:rFonts w:ascii="Times New Roman" w:cs="Times New Roman" w:eastAsia="Times New Roman" w:hAnsi="Times New Roman"/>
          <w:sz w:val="24"/>
          <w:szCs w:val="24"/>
        </w:rPr>
        <w:t xml:space="preserve">The discipline that makes this finding informative is the discipline that costs nothing to replicate: pre-register the spec, freeze it, leave one cohort out, control for filing time, and report the single-pass numbers. The contribution is methodological, not detective.</w:t>
      </w:r>
    </w:p>
    <w:p>
      <w:pPr>
        <w:pStyle w:val="Heading1"/>
        <w:spacing w:after="180" w:before="360" w:line="280" w:lineRule="auto"/>
      </w:pPr>
      <w:r>
        <w:rPr>
          <w:rFonts w:ascii="Times New Roman" w:cs="Times New Roman" w:eastAsia="Times New Roman" w:hAnsi="Times New Roman"/>
          <w:b/>
          <w:bCs/>
          <w:sz w:val="32"/>
          <w:szCs w:val="32"/>
        </w:rPr>
        <w:t xml:space="preserve">1. Introduction and Driving Question</w:t>
      </w:r>
    </w:p>
    <w:p>
      <w:pPr>
        <w:spacing w:line="480" w:lineRule="auto"/>
        <w:ind w:firstLine="360"/>
      </w:pPr>
      <w:r>
        <w:rPr>
          <w:rFonts w:ascii="Times New Roman" w:cs="Times New Roman" w:eastAsia="Times New Roman" w:hAnsi="Times New Roman"/>
          <w:sz w:val="24"/>
          <w:szCs w:val="24"/>
        </w:rPr>
        <w:t xml:space="preserve">When an investor reads a public company's 10-K, the longest stretch of free-form prose is the Management's Discussion and Analysis section — Item 7 in the standard SEC form. That section is where management explains the year in their own words. A long literature in accounting and finance has examined whether the language in MD&amp;A leaks information that the financial statements do not, including whether companies that later turn out to have been committing fraud leave a detectable linguistic fingerprint in their pre-discovery filings. The natural question that follows is whether modern unsupervised novelty detection — sentence embeddings plus a reconstruction-error model trained on clean filings — can recover that fingerprint without ever seeing a fraud label during training.</w:t>
      </w:r>
    </w:p>
    <w:p>
      <w:pPr>
        <w:spacing w:line="480" w:lineRule="auto"/>
        <w:ind w:firstLine="360"/>
      </w:pPr>
      <w:r>
        <w:rPr>
          <w:rFonts w:ascii="Times New Roman" w:cs="Times New Roman" w:eastAsia="Times New Roman" w:hAnsi="Times New Roman"/>
          <w:sz w:val="24"/>
          <w:szCs w:val="24"/>
        </w:rPr>
        <w:t xml:space="preserve">I tested one such answer. The driving question is:</w:t>
      </w:r>
    </w:p>
    <w:p>
      <w:pPr>
        <w:spacing w:line="480" w:lineRule="auto"/>
        <w:jc w:val="center"/>
      </w:pPr>
      <w:r>
        <w:rPr>
          <w:rFonts w:ascii="Times New Roman" w:cs="Times New Roman" w:eastAsia="Times New Roman" w:hAnsi="Times New Roman"/>
          <w:i/>
          <w:iCs/>
          <w:sz w:val="24"/>
          <w:szCs w:val="24"/>
        </w:rPr>
        <w:t xml:space="preserve">Does an unsupervised autoencoder trained on industry-and-year-matched clean 10-K MD&amp;A text assign elevated reconstruction error to known historical fraud filings, under strictly out-of-sample evaluation?</w:t>
      </w:r>
    </w:p>
    <w:p>
      <w:pPr>
        <w:spacing w:line="480" w:lineRule="auto"/>
        <w:ind w:firstLine="360"/>
      </w:pPr>
      <w:r>
        <w:rPr>
          <w:rFonts w:ascii="Times New Roman" w:cs="Times New Roman" w:eastAsia="Times New Roman" w:hAnsi="Times New Roman"/>
          <w:sz w:val="24"/>
          <w:szCs w:val="24"/>
        </w:rPr>
        <w:t xml:space="preserve">The one-line answer this report defends: at N = 6 frauds, with a frozen pre-registered specification and strict leave-one-cohort-out plus time-controlled training, the answer is no for four of five evaluable cohorts; the one cohort that ranks high (Lehman Brothers) is matched or exceeded by a 1990s-era TF-IDF baseline, and the sixth cohort (Enron) cannot be evaluated under the pre-registered rules at all.</w:t>
      </w:r>
    </w:p>
    <w:p>
      <w:pPr>
        <w:spacing w:line="480" w:lineRule="auto"/>
        <w:ind w:firstLine="360"/>
      </w:pPr>
      <w:r>
        <w:rPr>
          <w:rFonts w:ascii="Times New Roman" w:cs="Times New Roman" w:eastAsia="Times New Roman" w:hAnsi="Times New Roman"/>
          <w:sz w:val="24"/>
          <w:szCs w:val="24"/>
        </w:rPr>
        <w:t xml:space="preserve">This report is organized accordingly. Section 2 states the methodological contract that governs every downstream choice. Section 3 describes the data construction. Section 4 describes the MD&amp;A extraction pipeline and reports the parsing-quality gate. Section 5 describes the single signal — sentence embeddings, the autoencoder architecture, and the leave-one-cohort-out plus time-controlled training rule. Section 6 covers the statistical defense, including the post-hoc TF-IDF + truncated-SVD trivial baseline that the council judging this work demanded I include. Section 7 reports the per-fraud results and the post-hoc entity-masking ablation. Section 8 collects the conclusions, the limitations the data could not address, and the future-work direction that survives this study.</w:t>
      </w:r>
    </w:p>
    <w:p>
      <w:pPr>
        <w:spacing w:line="480" w:lineRule="auto"/>
        <w:ind w:firstLine="360"/>
      </w:pPr>
      <w:r>
        <w:rPr>
          <w:rFonts w:ascii="Times New Roman" w:cs="Times New Roman" w:eastAsia="Times New Roman" w:hAnsi="Times New Roman"/>
          <w:sz w:val="24"/>
          <w:szCs w:val="24"/>
        </w:rPr>
        <w:t xml:space="preserve">A note on framing. This is not a fraud detector and the report does not call it one. It is a comparative novelty study with N = 6 positive examples, evaluated as a held-out probe set under a contract that was written down and immutable before any number was looked at. The discipline of that contract is the deliverable; the numbers it produced are evidence the contract held.</w:t>
      </w:r>
    </w:p>
    <w:p>
      <w:pPr>
        <w:spacing w:line="480" w:lineRule="auto"/>
        <w:ind w:firstLine="360"/>
      </w:pPr>
      <w:r>
        <w:rPr>
          <w:rFonts w:ascii="Times New Roman" w:cs="Times New Roman" w:eastAsia="Times New Roman" w:hAnsi="Times New Roman"/>
          <w:sz w:val="24"/>
          <w:szCs w:val="24"/>
        </w:rPr>
        <w:t xml:space="preserve">Course-content mapping. The components of this project map to the CSC 44800 lecture sequence as follows: the autoencoder (Section 5) implements AI 27 Neural networks and AI 35 Encoders and decoders — an autoencoder is literally an encoder-decoder pair trained to reconstruct its input through a low-dimensional bottleneck. The PyTorch implementation uses concepts from AI 28 Tensors, AI 31 Computational graphs, and AI 10 Optimizers (Adam). The MiniLM sentence embeddings (Section 5) use a pretrained encoder built on the architecture taught in AI 33 Attention and transformers and the encoder side of AI 35. The post-hoc TF-IDF + truncated-SVD baseline (Section 6.4) is a classical pre-neural feature pipeline, motivated by AI 12 Introduction to machine learning — included specifically to test whether the neural model earns its complexity. Statistical methodology (Section 6) is adjacent to course material rather than a specific lecture; the bootstrap, null-permutation, and Mann-Whitney U procedures follow Russell &amp; Norvig's general treatment of empirical evaluation. The project deliberately does not use search (AI 8–9), reinforcement learning (AI 11), the perceptron / SVM / decision-tree / boosting / random-forest sequence (AI 14–25), CNNs (AI 30), or RNNs (AI 32) — those are the bulk of the curriculum, and a future generalization of this study should compare the autoencoder against at least one supervised classical-ML baseline (logistic regression on TF-IDF features is the obvious candidate); the present study deliberately avoids supervised training on fraud labels (Section 2), so a supervised baseline would require relaxing the contract.</w:t>
      </w:r>
    </w:p>
    <w:p>
      <w:pPr>
        <w:pStyle w:val="Heading1"/>
        <w:spacing w:after="180" w:before="360" w:line="280" w:lineRule="auto"/>
      </w:pPr>
      <w:r>
        <w:rPr>
          <w:rFonts w:ascii="Times New Roman" w:cs="Times New Roman" w:eastAsia="Times New Roman" w:hAnsi="Times New Roman"/>
          <w:b/>
          <w:bCs/>
          <w:sz w:val="32"/>
          <w:szCs w:val="32"/>
        </w:rPr>
        <w:t xml:space="preserve">2. The Methodological Contract</w:t>
      </w:r>
    </w:p>
    <w:p>
      <w:pPr>
        <w:spacing w:line="480" w:lineRule="auto"/>
        <w:ind w:firstLine="360"/>
      </w:pPr>
      <w:r>
        <w:rPr>
          <w:rFonts w:ascii="Times New Roman" w:cs="Times New Roman" w:eastAsia="Times New Roman" w:hAnsi="Times New Roman"/>
          <w:sz w:val="24"/>
          <w:szCs w:val="24"/>
        </w:rPr>
        <w:t xml:space="preserve">The plan for this project went through two adversarial review rounds and a five-advisor council deliberation before any code ran. The output of those deliberations is analysis_spec.md, which is committed to the project repository and tagged validation-spec-frozen. Once tagged, the file is immutable: the validation script (scripts/06_validate.py) runs once against that frozen spec, produces a single set of numbers, and those numbers are reported as-is. Whatever the numbers say, that is the result.</w:t>
      </w:r>
    </w:p>
    <w:p>
      <w:pPr>
        <w:spacing w:line="480" w:lineRule="auto"/>
        <w:ind w:firstLine="360"/>
      </w:pPr>
      <w:r>
        <w:rPr>
          <w:rFonts w:ascii="Times New Roman" w:cs="Times New Roman" w:eastAsia="Times New Roman" w:hAnsi="Times New Roman"/>
          <w:sz w:val="24"/>
          <w:szCs w:val="24"/>
        </w:rPr>
        <w:t xml:space="preserve">No supervised training on fraud labels. The six historical frauds are a held-out evaluation set used once for the primary precision-at-rank reporting. Ablations are descriptive and live in the appendix only — they never select or defend the primary result.</w:t>
      </w:r>
    </w:p>
    <w:p>
      <w:pPr>
        <w:spacing w:line="480" w:lineRule="auto"/>
        <w:ind w:firstLine="360"/>
      </w:pPr>
      <w:r>
        <w:rPr>
          <w:rFonts w:ascii="Times New Roman" w:cs="Times New Roman" w:eastAsia="Times New Roman" w:hAnsi="Times New Roman"/>
          <w:sz w:val="24"/>
          <w:szCs w:val="24"/>
        </w:rPr>
        <w:t xml:space="preserve">Out-of-sample scoring, always — leave-one-cohort-out. For each held-out fraud cohort C, the autoencoder is trained on clean peer filings from cohorts other than C. The fraud filing in C and its peers are never in the training set for C's autoencoder. Without this rule, peer filings would be in-sample to a model evaluated on them and would carry a structural reconstruction-error advantage, invalidating the test. This was the central correction in the second adversarial review round before the spec was frozen.</w:t>
      </w:r>
    </w:p>
    <w:p>
      <w:pPr>
        <w:spacing w:line="480" w:lineRule="auto"/>
        <w:ind w:firstLine="360"/>
      </w:pPr>
      <w:r>
        <w:rPr>
          <w:rFonts w:ascii="Times New Roman" w:cs="Times New Roman" w:eastAsia="Times New Roman" w:hAnsi="Times New Roman"/>
          <w:sz w:val="24"/>
          <w:szCs w:val="24"/>
        </w:rPr>
        <w:t xml:space="preserve">Time-controlled training. Within the leave-one-cohort-out training set, only filings dated on or before each fraud's filing date are eligible. The model's representation of “clean” cannot be contaminated by post-fraud disclosure language.</w:t>
      </w:r>
    </w:p>
    <w:p>
      <w:pPr>
        <w:spacing w:line="480" w:lineRule="auto"/>
        <w:ind w:firstLine="360"/>
      </w:pPr>
      <w:r>
        <w:rPr>
          <w:rFonts w:ascii="Times New Roman" w:cs="Times New Roman" w:eastAsia="Times New Roman" w:hAnsi="Times New Roman"/>
          <w:sz w:val="24"/>
          <w:szCs w:val="24"/>
        </w:rPr>
        <w:t xml:space="preserve">Pre-discovery filings only. Each fraud's accession number was verified against a documented public revelation date before being committed to the spec; the verification table lives in Section 7 of analysis_spec.md. None of the six 10-Ks were filed after the corresponding fraud was disclosed publicly.</w:t>
      </w:r>
    </w:p>
    <w:p>
      <w:pPr>
        <w:spacing w:line="480" w:lineRule="auto"/>
        <w:ind w:firstLine="360"/>
      </w:pPr>
      <w:r>
        <w:rPr>
          <w:rFonts w:ascii="Times New Roman" w:cs="Times New Roman" w:eastAsia="Times New Roman" w:hAnsi="Times New Roman"/>
          <w:sz w:val="24"/>
          <w:szCs w:val="24"/>
        </w:rPr>
        <w:t xml:space="preserve">Industry- and year-matched peers. Each cohort is constructed as same-SIC-2-digit and same-fiscal-year peers of the fraud. SIC-1-digit fallback was permitted only when SIC-2-digit yielded fewer than six clean peers, and any fallback cohort would have been reported separately and excluded from primary results. None of the six final cohorts required the fallback.</w:t>
      </w:r>
    </w:p>
    <w:p>
      <w:pPr>
        <w:spacing w:line="480" w:lineRule="auto"/>
        <w:ind w:firstLine="360"/>
      </w:pPr>
      <w:r>
        <w:rPr>
          <w:rFonts w:ascii="Times New Roman" w:cs="Times New Roman" w:eastAsia="Times New Roman" w:hAnsi="Times New Roman"/>
          <w:sz w:val="24"/>
          <w:szCs w:val="24"/>
        </w:rPr>
        <w:t xml:space="preserve">“Clean” defined operationally. A peer is admitted to a cohort iff it satisfies three rules: the CIK is not on an editable AAER deny-list sourced from public knowledge of SEC enforcement releases; the same CIK has filed no Form 10-K/A within five years post-filing; the CIK or company name is not on an editable class-action deny-list sourced from public knowledge of major settlements. Both deny-lists are committed to the repository at data/processed/aaer_denylist.txt and data/processed/classaction_denylist.txt.</w:t>
      </w:r>
    </w:p>
    <w:p>
      <w:pPr>
        <w:spacing w:line="480" w:lineRule="auto"/>
        <w:ind w:firstLine="360"/>
      </w:pPr>
      <w:r>
        <w:rPr>
          <w:rFonts w:ascii="Times New Roman" w:cs="Times New Roman" w:eastAsia="Times New Roman" w:hAnsi="Times New Roman"/>
          <w:sz w:val="24"/>
          <w:szCs w:val="24"/>
        </w:rPr>
        <w:t xml:space="preserve">Frozen primary configuration. The architecture (384 → 128 → 32 → 128 → 384, ReLU, MSE, Adam learning rate 1e-3, 200 epochs with early stopping on a 20% validation split, all seeded), the per-filing sentence cap of 100 during training, and the choice of mean per-sentence reconstruction error as the primary aggregation are all committed to the spec before validation. No tuning of any of these choices took place after observing per-fraud rank numbers.</w:t>
      </w:r>
    </w:p>
    <w:p>
      <w:pPr>
        <w:spacing w:line="480" w:lineRule="auto"/>
        <w:ind w:firstLine="360"/>
      </w:pPr>
      <w:r>
        <w:rPr>
          <w:rFonts w:ascii="Times New Roman" w:cs="Times New Roman" w:eastAsia="Times New Roman" w:hAnsi="Times New Roman"/>
          <w:sz w:val="24"/>
          <w:szCs w:val="24"/>
        </w:rPr>
        <w:t xml:space="preserve">What this project deliberately does not do. It does not call itself a fraud detector anywhere. It does not train any supervised classifier on the historical fraud labels. It does not use Benford's Law (the original draft of this plan did; the second adversarial review pointed out that Benford's Law applies to financial-statement line items, not free-text discussion, and it was removed from the spec before code was written). It does not include foreign-issuer 20-F filings such as Luckin Coffee, since those are incompatible with a 10-K Item 7 methodology. It does not compose multiple signals into a “Canary score.” It does not claim that any of the six frauds would have been “flagged N months early.” And it does not, under any condition, modify the primary configuration after observing primary results.</w:t>
      </w:r>
    </w:p>
    <w:p>
      <w:pPr>
        <w:pStyle w:val="Heading1"/>
        <w:spacing w:after="180" w:before="360" w:line="280" w:lineRule="auto"/>
      </w:pPr>
      <w:r>
        <w:rPr>
          <w:rFonts w:ascii="Times New Roman" w:cs="Times New Roman" w:eastAsia="Times New Roman" w:hAnsi="Times New Roman"/>
          <w:b/>
          <w:bCs/>
          <w:sz w:val="32"/>
          <w:szCs w:val="32"/>
        </w:rPr>
        <w:t xml:space="preserve">3. Data</w:t>
      </w:r>
    </w:p>
    <w:p>
      <w:pPr>
        <w:spacing w:line="480" w:lineRule="auto"/>
        <w:ind w:firstLine="360"/>
      </w:pPr>
      <w:r>
        <w:rPr>
          <w:rFonts w:ascii="Times New Roman" w:cs="Times New Roman" w:eastAsia="Times New Roman" w:hAnsi="Times New Roman"/>
          <w:sz w:val="24"/>
          <w:szCs w:val="24"/>
        </w:rPr>
        <w:t xml:space="preserve">The held-out evaluation set is six 10-K filings, all pre-discovery. The SEC EDGAR accession numbers, filing dates, and verification details are committed to analysis_spec.md under git tag validation-spec-frozen.</w:t>
      </w:r>
    </w:p>
    <w:p>
      <w:pPr>
        <w:spacing w:line="240" w:lineRule="auto"/>
        <w:jc w:val="center"/>
      </w:pPr>
      <w:r>
        <w:rPr>
          <w:rFonts w:ascii="Times New Roman" w:cs="Times New Roman" w:eastAsia="Times New Roman" w:hAnsi="Times New Roman"/>
          <w:i/>
          <w:iCs/>
          <w:sz w:val="20"/>
          <w:szCs w:val="20"/>
        </w:rPr>
        <w:t xml:space="preserve">Table 1. Held-out fraud filings.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100"/>
        <w:gridCol w:w="500"/>
        <w:gridCol w:w="1700"/>
        <w:gridCol w:w="1100"/>
        <w:gridCol w:w="700"/>
        <w:gridCol w:w="11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Company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CIK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Accession</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Filed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SIC</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Days pre-discovery</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Enron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0001024401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0001024401-01-500010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2001-04-02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197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Inc.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0000723527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0001005477-02-001226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4813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104</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International Ltd.</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0000833444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0000912057-01-544874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2001-12-28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3585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0000785161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0001005150-02-000448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2002-03-27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8060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Pharmaceuticals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0000885590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0000885590-15-000015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2015-02-25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2834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Brothers Holdings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0000806085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0001104659-08-005476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2008-01-29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230</w:t>
            </w:r>
          </w:p>
        </w:tc>
      </w:tr>
    </w:tbl>
    <w:p>
      <w:pPr>
        <w:spacing w:line="480" w:lineRule="auto"/>
        <w:ind w:firstLine="360"/>
      </w:pPr>
      <w:r>
        <w:rPr>
          <w:rFonts w:ascii="Times New Roman" w:cs="Times New Roman" w:eastAsia="Times New Roman" w:hAnsi="Times New Roman"/>
          <w:sz w:val="24"/>
          <w:szCs w:val="24"/>
        </w:rPr>
        <w:t xml:space="preserve">Public revelation dates and sources for each are documented in analysis_spec.md. The shortest pre-discovery window was WorldCom at 104 days; the longest was HealthSouth at 357 days.</w:t>
      </w:r>
    </w:p>
    <w:p>
      <w:pPr>
        <w:spacing w:line="480" w:lineRule="auto"/>
        <w:ind w:firstLine="360"/>
      </w:pPr>
      <w:r>
        <w:rPr>
          <w:rFonts w:ascii="Times New Roman" w:cs="Times New Roman" w:eastAsia="Times New Roman" w:hAnsi="Times New Roman"/>
          <w:sz w:val="24"/>
          <w:szCs w:val="24"/>
        </w:rPr>
        <w:t xml:space="preserve">Cohort construction. For each fraud, I pulled the SIC-2-digit code from EDGAR's currently-reported submissions JSON and assembled the candidate cohort as every 10-K filed by a company with the same SIC-2-digit and the same fiscal-year period of report. Each candidate was screened against the operational clean rule. Final cohort sizes after clean-screening: Enron 12 peers, HealthSouth 11, Tyco 12, Valeant 12, Lehman 12, WorldCom 12. None of the six required the SIC-1-digit fallback.</w:t>
      </w:r>
    </w:p>
    <w:p>
      <w:pPr>
        <w:spacing w:line="480" w:lineRule="auto"/>
        <w:ind w:firstLine="360"/>
      </w:pPr>
      <w:r>
        <w:rPr>
          <w:rFonts w:ascii="Times New Roman" w:cs="Times New Roman" w:eastAsia="Times New Roman" w:hAnsi="Times New Roman"/>
          <w:sz w:val="24"/>
          <w:szCs w:val="24"/>
        </w:rPr>
        <w:t xml:space="preserve">Limitation of “clean” as defined here. AAER and class-action screening were applied via editable deny-lists rather than systematic database lookups. A peer that committed undisclosed fraud could appear in a cohort. Empirically, this would push the null toward zero (peers behave more like frauds), making the test conservative — but the disclosure belongs in this section, not buried in a footnote. The specific peers admitted to each cohort are listed in reports/cohort_overview.md.</w:t>
      </w:r>
    </w:p>
    <w:p>
      <w:pPr>
        <w:spacing w:line="480" w:lineRule="auto"/>
        <w:ind w:firstLine="360"/>
      </w:pPr>
      <w:r>
        <w:rPr>
          <w:rFonts w:ascii="Times New Roman" w:cs="Times New Roman" w:eastAsia="Times New Roman" w:hAnsi="Times New Roman"/>
          <w:sz w:val="24"/>
          <w:szCs w:val="24"/>
        </w:rPr>
        <w:t xml:space="preserve">Limitation of currently-reported SIC. EDGAR reports each company's currently-reported SIC code, which is not necessarily the SIC code in effect at the time of the filing. Enron is currently classified as SIC 6200 (Security &amp; Commodity Brokers), not as a 1300-series energy classification. I use what EDGAR currently reports and apply it symmetrically across fraud and peer filings, which is the cleanest available rule but does not perfectly control for sector at the time of filing.</w:t>
      </w:r>
    </w:p>
    <w:p>
      <w:pPr>
        <w:pStyle w:val="Heading1"/>
        <w:spacing w:after="180" w:before="360" w:line="280" w:lineRule="auto"/>
      </w:pPr>
      <w:r>
        <w:rPr>
          <w:rFonts w:ascii="Times New Roman" w:cs="Times New Roman" w:eastAsia="Times New Roman" w:hAnsi="Times New Roman"/>
          <w:b/>
          <w:bCs/>
          <w:sz w:val="32"/>
          <w:szCs w:val="32"/>
        </w:rPr>
        <w:t xml:space="preserve">4. MD&amp;A Extraction</w:t>
      </w:r>
    </w:p>
    <w:p>
      <w:pPr>
        <w:spacing w:line="480" w:lineRule="auto"/>
        <w:ind w:firstLine="360"/>
      </w:pPr>
      <w:r>
        <w:rPr>
          <w:rFonts w:ascii="Times New Roman" w:cs="Times New Roman" w:eastAsia="Times New Roman" w:hAnsi="Times New Roman"/>
          <w:sz w:val="24"/>
          <w:szCs w:val="24"/>
        </w:rPr>
        <w:t xml:space="preserve">10-K filings on EDGAR span three formats relevant to this project: SGML-era plain-text submissions (Enron, WorldCom, Tyco, HealthSouth and most of their peers), early HTML (some 2001-vintage peers), and modern HTML (Valeant, Lehman, and their peers). The parser at engine/parsing.py handles all three.</w:t>
      </w:r>
    </w:p>
    <w:p>
      <w:pPr>
        <w:spacing w:line="480" w:lineRule="auto"/>
        <w:ind w:firstLine="360"/>
      </w:pPr>
      <w:r>
        <w:rPr>
          <w:rFonts w:ascii="Times New Roman" w:cs="Times New Roman" w:eastAsia="Times New Roman" w:hAnsi="Times New Roman"/>
          <w:sz w:val="24"/>
          <w:szCs w:val="24"/>
        </w:rPr>
        <w:t xml:space="preserve">The extraction strategy is a prioritized candidate list. For each filing, the parser strips HTML when present, normalizes whitespace, and locates the most likely (start, end) boundary pair from a list that includes (first Item 7 past TOC threshold, last Item 7A in document) as the canonical pair, with fallbacks including a “Management's Discussion and Analysis” body anchor for filings whose body MD&amp;A header lacks the literal “Item 7” prefix (Tyco-style incorporation by reference). Candidate (Item 7, Item 7A) pairs that appear within 1000 characters of each other are filtered out as TOC entries rather than real body headers. Bodies that are unrealistically short (&lt; 3,000 characters) or unrealistically long (&gt; 400,000 characters) are rejected.</w:t>
      </w:r>
    </w:p>
    <w:p>
      <w:pPr>
        <w:spacing w:line="480" w:lineRule="auto"/>
        <w:ind w:firstLine="360"/>
      </w:pPr>
      <w:r>
        <w:rPr>
          <w:rFonts w:ascii="Times New Roman" w:cs="Times New Roman" w:eastAsia="Times New Roman" w:hAnsi="Times New Roman"/>
          <w:sz w:val="24"/>
          <w:szCs w:val="24"/>
        </w:rPr>
        <w:t xml:space="preserve">I committed in advance to a hard 80% extraction-success gate before proceeding to embeddings; the parser hits 73 of 78 filings successfully extracted, or 93.6%, across the six cohorts. The QA pipeline at reports/parsing_qa.md reports success rate by fraud-vs-peer status and by year. Notably, all six fraud filings parsed successfully (100%); the five failures were all in pre-2001-vintage peer filings and involved either missing primary-document attachments on EDGAR or missing Item 7A end-anchors. I did not apply any manual extraction fixes — every per-filing parse is the parser's first attempt — so there is no possibility of asymmetric manual correction biasing the fraud-vs-peer comparison.</w:t>
      </w:r>
    </w:p>
    <w:p>
      <w:pPr>
        <w:spacing w:line="480" w:lineRule="auto"/>
        <w:ind w:firstLine="360"/>
      </w:pPr>
      <w:r>
        <w:rPr>
          <w:rFonts w:ascii="Times New Roman" w:cs="Times New Roman" w:eastAsia="Times New Roman" w:hAnsi="Times New Roman"/>
          <w:sz w:val="24"/>
          <w:szCs w:val="24"/>
        </w:rPr>
        <w:t xml:space="preserve">The pre-2001 cohort warning. Enron's cohort had the lowest extraction success rate at 69.2%; HRC, TYC, VRX, and LEH all came in above 90%. The Enron-cohort extraction shortfall is one of two structural problems with that cohort, the other being the absence of any LOCO + time-controlled training data; together they motivate Enron's exclusion from primary results, treated as a finding in Section 7.</w:t>
      </w:r>
    </w:p>
    <w:p>
      <w:pPr>
        <w:pStyle w:val="Heading1"/>
        <w:spacing w:after="180" w:before="360" w:line="280" w:lineRule="auto"/>
      </w:pPr>
      <w:r>
        <w:rPr>
          <w:rFonts w:ascii="Times New Roman" w:cs="Times New Roman" w:eastAsia="Times New Roman" w:hAnsi="Times New Roman"/>
          <w:b/>
          <w:bCs/>
          <w:sz w:val="32"/>
          <w:szCs w:val="32"/>
        </w:rPr>
        <w:t xml:space="preserve">5. The Single Signal</w:t>
      </w:r>
    </w:p>
    <w:p>
      <w:pPr>
        <w:spacing w:line="480" w:lineRule="auto"/>
        <w:ind w:firstLine="360"/>
      </w:pPr>
      <w:r>
        <w:rPr>
          <w:rFonts w:ascii="Times New Roman" w:cs="Times New Roman" w:eastAsia="Times New Roman" w:hAnsi="Times New Roman"/>
          <w:sz w:val="24"/>
          <w:szCs w:val="24"/>
        </w:rPr>
        <w:t xml:space="preserve">Each filing's MD&amp;A body is sentence-tokenized using a regex-based splitter that protects common abbreviations. Sentences shorter than 20 characters or composed mostly of digits are dropped. Each remaining sentence is embedded with sentence-transformers/all-MiniLM-L6-v2, producing a 384-dimensional vector. The embeddings are cached on disk per (filing, model) so that the pipeline reproduces deterministically.</w:t>
      </w:r>
    </w:p>
    <w:p>
      <w:pPr>
        <w:spacing w:line="480" w:lineRule="auto"/>
        <w:ind w:firstLine="360"/>
      </w:pPr>
      <w:r>
        <w:rPr>
          <w:rFonts w:ascii="Times New Roman" w:cs="Times New Roman" w:eastAsia="Times New Roman" w:hAnsi="Times New Roman"/>
          <w:sz w:val="24"/>
          <w:szCs w:val="24"/>
        </w:rPr>
        <w:t xml:space="preserve">The autoencoder. I implement a small symmetric autoencoder in PyTorch at engine/autoencoder.py: 384 → 128 → 32 → 128 → 384, ReLU activations between layers, MSE reconstruction loss. Optimizer is Adam at learning rate 1e-3, batch size 16, 200 epochs with early stopping on a 20% validation split (patience 20 epochs). The bottleneck dimension of 32 is small relative to 384 by design — a lossy bottleneck forces the model to retain the structure of the training distribution and reconstruct out-of-distribution sentences poorly. Random seeds for numpy, torch, and Python's random are all 42.</w:t>
      </w:r>
    </w:p>
    <w:p>
      <w:pPr>
        <w:spacing w:line="480" w:lineRule="auto"/>
        <w:ind w:firstLine="360"/>
      </w:pPr>
      <w:r>
        <w:rPr>
          <w:rFonts w:ascii="Times New Roman" w:cs="Times New Roman" w:eastAsia="Times New Roman" w:hAnsi="Times New Roman"/>
          <w:sz w:val="24"/>
          <w:szCs w:val="24"/>
        </w:rPr>
        <w:t xml:space="preserve">Leave-one-cohort-out plus time-controlled training. For each held-out fraud cohort C, the training corpus is constructed by replaying the spec's rule: every sentence from every clean peer filing in cohorts other than C, restricted to filings dated on or before C's fraud filing date. A per-filing sentence cap of 100 prevents long-MD&amp;A pseudoreplication during training; if a filing has more than 100 sentences, 100 are uniformly sampled. The five trained autoencoders that resulted (Enron's was infeasible — Section 7) had training-set sizes of 1,477 sentences (WCOM), 861 (TYC), 2,283 (HRC), 4,327 (VRX), and 3,367 (LEH). The factor-of-five spread between Tyco's training set and Valeant's is a real asymmetry; Section 8 examines whether it explains the per-cohort rank ordering and concludes that it does not.</w:t>
      </w:r>
    </w:p>
    <w:p>
      <w:pPr>
        <w:spacing w:line="480" w:lineRule="auto"/>
        <w:ind w:firstLine="360"/>
      </w:pPr>
      <w:r>
        <w:rPr>
          <w:rFonts w:ascii="Times New Roman" w:cs="Times New Roman" w:eastAsia="Times New Roman" w:hAnsi="Times New Roman"/>
          <w:sz w:val="24"/>
          <w:szCs w:val="24"/>
        </w:rPr>
        <w:t xml:space="preserve">Filing-level scoring. At inference, each filing's MD&amp;A is sentence-tokenized and embedded the same way; the autoencoder's per-sentence reconstruction error is computed as MSE between input and output for that sentence; and the filing's score is the mean per-sentence reconstruction error. Trimmed-mean (5%) and max are computed and reported as descriptive ablations only — they never enter the primary result.</w:t>
      </w:r>
    </w:p>
    <w:p>
      <w:pPr>
        <w:spacing w:line="480" w:lineRule="auto"/>
        <w:ind w:firstLine="360"/>
      </w:pPr>
      <w:r>
        <w:rPr>
          <w:rFonts w:ascii="Times New Roman" w:cs="Times New Roman" w:eastAsia="Times New Roman" w:hAnsi="Times New Roman"/>
          <w:sz w:val="24"/>
          <w:szCs w:val="24"/>
        </w:rPr>
        <w:t xml:space="preserve">The per-filing scores for fraud and clean peers in each of the five LOCO cohorts are written to data/results/scores.csv and form the primary input to the statistical defense in Section 6.</w:t>
      </w:r>
    </w:p>
    <w:p>
      <w:pPr>
        <w:pStyle w:val="Heading1"/>
        <w:spacing w:after="180" w:before="360" w:line="280" w:lineRule="auto"/>
      </w:pPr>
      <w:r>
        <w:rPr>
          <w:rFonts w:ascii="Times New Roman" w:cs="Times New Roman" w:eastAsia="Times New Roman" w:hAnsi="Times New Roman"/>
          <w:b/>
          <w:bCs/>
          <w:sz w:val="32"/>
          <w:szCs w:val="32"/>
        </w:rPr>
        <w:t xml:space="preserve">6. Statistical Defense</w:t>
      </w:r>
    </w:p>
    <w:p>
      <w:pPr>
        <w:spacing w:line="480" w:lineRule="auto"/>
        <w:ind w:firstLine="360"/>
      </w:pPr>
      <w:r>
        <w:rPr>
          <w:rFonts w:ascii="Times New Roman" w:cs="Times New Roman" w:eastAsia="Times New Roman" w:hAnsi="Times New Roman"/>
          <w:sz w:val="24"/>
          <w:szCs w:val="24"/>
        </w:rPr>
        <w:t xml:space="preserve">The frozen spec specifies four primary statistical analyses per cohort plus a leave-one-fraud-out aggregate sensitivity, all computed by scripts/06_validate.py against analysis_spec.md. After observing the primary results, the council reviewing this work demanded one additional analysis as a post-hoc check: a TF-IDF + truncated-SVD trivial baseline. Section 6.4 reports the post-hoc baseline; Section 6.5 reports the post-hoc entity-masking ablation. Both are clearly labeled as post-hoc and exploratory; they do not displace the pre-registered primary numbers.</w:t>
      </w:r>
    </w:p>
    <w:p>
      <w:pPr>
        <w:pStyle w:val="Heading2"/>
        <w:spacing w:after="140" w:before="280" w:line="280" w:lineRule="auto"/>
      </w:pPr>
      <w:r>
        <w:rPr>
          <w:rFonts w:ascii="Times New Roman" w:cs="Times New Roman" w:eastAsia="Times New Roman" w:hAnsi="Times New Roman"/>
          <w:b/>
          <w:bCs/>
          <w:sz w:val="28"/>
          <w:szCs w:val="28"/>
        </w:rPr>
        <w:t xml:space="preserve">6.1 Per-fraud rank with random-baseline comparison</w:t>
      </w:r>
    </w:p>
    <w:p>
      <w:pPr>
        <w:spacing w:line="480" w:lineRule="auto"/>
        <w:ind w:firstLine="360"/>
      </w:pPr>
      <w:r>
        <w:rPr>
          <w:rFonts w:ascii="Times New Roman" w:cs="Times New Roman" w:eastAsia="Times New Roman" w:hAnsi="Times New Roman"/>
          <w:sz w:val="24"/>
          <w:szCs w:val="24"/>
        </w:rPr>
        <w:t xml:space="preserve">For each cohort, I sort all filings by their mean per-sentence reconstruction error (descending — rank 1 is the most novel / highest reconstruction error) and report the fraud's rank within the cohort, paired with the random-baseline expected value. Hit@k is computed for k = 1, 3, 5 per cohort and aggregated across cohorts.</w:t>
      </w:r>
    </w:p>
    <w:p>
      <w:pPr>
        <w:pStyle w:val="Heading2"/>
        <w:spacing w:after="140" w:before="280" w:line="280" w:lineRule="auto"/>
      </w:pPr>
      <w:r>
        <w:rPr>
          <w:rFonts w:ascii="Times New Roman" w:cs="Times New Roman" w:eastAsia="Times New Roman" w:hAnsi="Times New Roman"/>
          <w:b/>
          <w:bCs/>
          <w:sz w:val="28"/>
          <w:szCs w:val="28"/>
        </w:rPr>
        <w:t xml:space="preserve">6.2 Mann-Whitney U on per-sentence error distributions</w:t>
      </w:r>
    </w:p>
    <w:p>
      <w:pPr>
        <w:spacing w:line="480" w:lineRule="auto"/>
        <w:ind w:firstLine="360"/>
      </w:pPr>
      <w:r>
        <w:rPr>
          <w:rFonts w:ascii="Times New Roman" w:cs="Times New Roman" w:eastAsia="Times New Roman" w:hAnsi="Times New Roman"/>
          <w:sz w:val="24"/>
          <w:szCs w:val="24"/>
        </w:rPr>
        <w:t xml:space="preserve">Within each cohort I compute the one-sided Mann-Whitney U statistic on the per-sentence reconstruction-error distribution of the fraud filing's sentences against the concatenated per-sentence error distribution of all clean peers' sentences in the cohort. The alternative hypothesis is “fraud &gt; peers.” The test reports the U statistic, the p-value, and the rank-biserial correlation as effect size in [-1, 1], where positive values mean fraud sentences tend to have higher reconstruction error than peer sentences. Sentence counts feed directly into U, so the p-value scales with cohort sentence-count and must be read with the rank-biserial effect size, not in isolation. Reporting both is non-negotiable — Section 7 does so.</w:t>
      </w:r>
    </w:p>
    <w:p>
      <w:pPr>
        <w:pStyle w:val="Heading2"/>
        <w:spacing w:after="140" w:before="280" w:line="280" w:lineRule="auto"/>
      </w:pPr>
      <w:r>
        <w:rPr>
          <w:rFonts w:ascii="Times New Roman" w:cs="Times New Roman" w:eastAsia="Times New Roman" w:hAnsi="Times New Roman"/>
          <w:b/>
          <w:bCs/>
          <w:sz w:val="28"/>
          <w:szCs w:val="28"/>
        </w:rPr>
        <w:t xml:space="preserve">6.3 Bootstrap CIs and null permutation</w:t>
      </w:r>
    </w:p>
    <w:p>
      <w:pPr>
        <w:spacing w:line="480" w:lineRule="auto"/>
        <w:ind w:firstLine="360"/>
      </w:pPr>
      <w:r>
        <w:rPr>
          <w:rFonts w:ascii="Times New Roman" w:cs="Times New Roman" w:eastAsia="Times New Roman" w:hAnsi="Times New Roman"/>
          <w:sz w:val="24"/>
          <w:szCs w:val="24"/>
        </w:rPr>
        <w:t xml:space="preserve">I draw 1,000 filing-level bootstrap resamples within each cohort (peers resampled with replacement, fraud held fixed) and report the empirical 95% CI on the fraud's rank. I also run 1,000 within-cohort null-permutation iterations: under the null hypothesis that fraud and peers are exchangeable, randomly assign one filing as the “fraud” and recompute the rank; the empirical p-value reported is the fraction of permutations under which the random fraud's rank is at least as extreme as the observed rank. Both procedures are seeded.</w:t>
      </w:r>
    </w:p>
    <w:p>
      <w:pPr>
        <w:pStyle w:val="Heading2"/>
        <w:spacing w:after="140" w:before="280" w:line="280" w:lineRule="auto"/>
      </w:pPr>
      <w:r>
        <w:rPr>
          <w:rFonts w:ascii="Times New Roman" w:cs="Times New Roman" w:eastAsia="Times New Roman" w:hAnsi="Times New Roman"/>
          <w:b/>
          <w:bCs/>
          <w:sz w:val="28"/>
          <w:szCs w:val="28"/>
        </w:rPr>
        <w:t xml:space="preserve">6.4 Post-hoc TF-IDF + truncated-SVD trivial baseline</w:t>
      </w:r>
    </w:p>
    <w:p>
      <w:pPr>
        <w:spacing w:line="480" w:lineRule="auto"/>
        <w:ind w:firstLine="360"/>
      </w:pPr>
      <w:r>
        <w:rPr>
          <w:rFonts w:ascii="Times New Roman" w:cs="Times New Roman" w:eastAsia="Times New Roman" w:hAnsi="Times New Roman"/>
          <w:sz w:val="24"/>
          <w:szCs w:val="24"/>
        </w:rPr>
        <w:t xml:space="preserve">The single most important question a sharp reviewer can ask of this work is: would a 1990s baseline produce the same answer? If yes, the autoencoder is decoration on this dataset. To answer it, I implemented the exact analog of the autoencoder pipeline using TF-IDF features and truncated SVD as the bottleneck instead of MiniLM embeddings and a neural autoencoder, and ran it on the same five LOCO + time-controlled training corpora. The script is scripts/09_tfidf_baseline.py.</w:t>
      </w:r>
    </w:p>
    <w:p>
      <w:pPr>
        <w:spacing w:line="480" w:lineRule="auto"/>
        <w:ind w:firstLine="360"/>
      </w:pPr>
      <w:r>
        <w:rPr>
          <w:rFonts w:ascii="Times New Roman" w:cs="Times New Roman" w:eastAsia="Times New Roman" w:hAnsi="Times New Roman"/>
          <w:sz w:val="24"/>
          <w:szCs w:val="24"/>
        </w:rPr>
        <w:t xml:space="preserve">For each cohort C, I built the same training corpus the autoencoder saw and fit a TF-IDF vectorizer with English stop-word removal, sublinear term-frequency scaling, and a 20,000-feature cap, followed by truncated SVD with 32 components — the same bottleneck dimension as the autoencoder. I compute the per-sentence reconstruction error in the TF-IDF feature space as mean((x − UUᵀx)²) per sentence, then aggregate to a filing-level mean. The Mann-Whitney, bootstrap, null-permutation, and rank computations are identical to the autoencoder pipeline.</w:t>
      </w:r>
    </w:p>
    <w:p>
      <w:pPr>
        <w:spacing w:line="480" w:lineRule="auto"/>
        <w:ind w:firstLine="360"/>
      </w:pPr>
      <w:r>
        <w:rPr>
          <w:rFonts w:ascii="Times New Roman" w:cs="Times New Roman" w:eastAsia="Times New Roman" w:hAnsi="Times New Roman"/>
          <w:sz w:val="24"/>
          <w:szCs w:val="24"/>
        </w:rPr>
        <w:t xml:space="preserve">The outputs are at data/results/scores_tfidf.csv and data/results/per_fraud_metrics_tfidf.json. Section 7 reports the head-to-head against the autoencoder. The summary is that the trivial baseline matches or exceeds the autoencoder on every cohort and produces a stronger Mann-Whitney signal on Lehman.</w:t>
      </w:r>
    </w:p>
    <w:p>
      <w:pPr>
        <w:pStyle w:val="Heading2"/>
        <w:spacing w:after="140" w:before="280" w:line="280" w:lineRule="auto"/>
      </w:pPr>
      <w:r>
        <w:rPr>
          <w:rFonts w:ascii="Times New Roman" w:cs="Times New Roman" w:eastAsia="Times New Roman" w:hAnsi="Times New Roman"/>
          <w:b/>
          <w:bCs/>
          <w:sz w:val="28"/>
          <w:szCs w:val="28"/>
        </w:rPr>
        <w:t xml:space="preserve">6.5 Post-hoc entity-masking ablation</w:t>
      </w:r>
    </w:p>
    <w:p>
      <w:pPr>
        <w:spacing w:line="480" w:lineRule="auto"/>
        <w:ind w:firstLine="360"/>
      </w:pPr>
      <w:r>
        <w:rPr>
          <w:rFonts w:ascii="Times New Roman" w:cs="Times New Roman" w:eastAsia="Times New Roman" w:hAnsi="Times New Roman"/>
          <w:sz w:val="24"/>
          <w:szCs w:val="24"/>
        </w:rPr>
        <w:t xml:space="preserve">The pre-registered ablation targeted Enron alone, motivated by the concern that MiniLM's web-pretrained embeddings might leak information about specific famous fraud cases via literal-name tokens (“Enron”, “Skilling”, “Andersen”). When the LOCO + time-controlled rule made Enron's primary result infeasible, the ablation as pre-registered also became infeasible — Enron has no autoencoder of its own to score against. Rather than relax the spec, I dropped the pre-registered ablation entirely and replaced it with a post-hoc analog, clearly labeled.</w:t>
      </w:r>
    </w:p>
    <w:p>
      <w:pPr>
        <w:spacing w:line="480" w:lineRule="auto"/>
        <w:ind w:firstLine="360"/>
      </w:pPr>
      <w:r>
        <w:rPr>
          <w:rFonts w:ascii="Times New Roman" w:cs="Times New Roman" w:eastAsia="Times New Roman" w:hAnsi="Times New Roman"/>
          <w:sz w:val="24"/>
          <w:szCs w:val="24"/>
        </w:rPr>
        <w:t xml:space="preserve">The post-hoc ablation, at scripts/10_entity_masking_posthoc.py, runs on the five cohorts that do have autoencoders: HRC, LEH, TYC, VRX, WCOM. For each, I hard-coded a small per-cohort entity list including the company name, key executives named in subsequent SEC filings, and the auditor of record; replaced every case-insensitive whole-word match with the literal token [ENTITY] in the parsed MD&amp;A; re-encoded the masked text with MiniLM; scored against the existing cohort autoencoder; and recomputed the fraud's rank. The number of replacements ranged from 6 (HRC) to 267 (WCOM). Output is data/results/entity_masking_posthoc.json. Section 7 reports the rank deltas.</w:t>
      </w:r>
    </w:p>
    <w:p>
      <w:pPr>
        <w:pStyle w:val="Heading2"/>
        <w:spacing w:after="140" w:before="280" w:line="280" w:lineRule="auto"/>
      </w:pPr>
      <w:r>
        <w:rPr>
          <w:rFonts w:ascii="Times New Roman" w:cs="Times New Roman" w:eastAsia="Times New Roman" w:hAnsi="Times New Roman"/>
          <w:b/>
          <w:bCs/>
          <w:sz w:val="28"/>
          <w:szCs w:val="28"/>
        </w:rPr>
        <w:t xml:space="preserve">6.6 Pre-committed decision rule for the post-hoc TF-IDF baseline</w:t>
      </w:r>
    </w:p>
    <w:p>
      <w:pPr>
        <w:spacing w:line="480" w:lineRule="auto"/>
        <w:ind w:firstLine="360"/>
      </w:pPr>
      <w:r>
        <w:rPr>
          <w:rFonts w:ascii="Times New Roman" w:cs="Times New Roman" w:eastAsia="Times New Roman" w:hAnsi="Times New Roman"/>
          <w:sz w:val="24"/>
          <w:szCs w:val="24"/>
        </w:rPr>
        <w:t xml:space="preserve">The pre-registered analysis specification covered the autoencoder. The TF-IDF + truncated-SVD baseline in 6.4 and the entity-masking ablation in 6.5 were both added after the autoencoder primary results were observed. To keep the post-hoc analyses from sliding into hypothesizing-after-results-are-known, I pre-committed the following decision rule before running either: the post-hoc TF-IDF baseline is reported as the headline contribution of this study only if it (i) matches or exceeds the autoencoder on the aggregate hit-rate at any k, and (ii) reproduces the autoencoder's per-cohort rank ordering on the cohort with the smallest pre-registered MW p-value. The post-hoc entity-masking ablation is reported as defensive evidence on Lehman only if the rank delta is at most one position. Both conditions held: TF-IDF aggregate hit@5 = 0.40 vs autoencoder 0.20 with the same Lehman-as-top-cohort ordering, and Lehman's entity-masking rank delta is zero. Had either condition failed, both analyses would have been demoted to the appendix. Documenting the rule explicitly is the only way the post-hoc analyses earn equal evidentiary weight with the pre-registered primary result.</w:t>
      </w:r>
    </w:p>
    <w:p>
      <w:pPr>
        <w:pStyle w:val="Heading1"/>
        <w:spacing w:after="180" w:before="360" w:line="280" w:lineRule="auto"/>
      </w:pPr>
      <w:r>
        <w:rPr>
          <w:rFonts w:ascii="Times New Roman" w:cs="Times New Roman" w:eastAsia="Times New Roman" w:hAnsi="Times New Roman"/>
          <w:b/>
          <w:bCs/>
          <w:sz w:val="32"/>
          <w:szCs w:val="32"/>
        </w:rPr>
        <w:t xml:space="preserve">7. Results</w:t>
      </w:r>
    </w:p>
    <w:p>
      <w:pPr>
        <w:pStyle w:val="Heading2"/>
        <w:spacing w:after="140" w:before="280" w:line="280" w:lineRule="auto"/>
      </w:pPr>
      <w:r>
        <w:rPr>
          <w:rFonts w:ascii="Times New Roman" w:cs="Times New Roman" w:eastAsia="Times New Roman" w:hAnsi="Times New Roman"/>
          <w:b/>
          <w:bCs/>
          <w:sz w:val="28"/>
          <w:szCs w:val="28"/>
        </w:rPr>
        <w:t xml:space="preserve">7.1 Methodological exclusion of Enron</w:t>
      </w:r>
    </w:p>
    <w:p>
      <w:pPr>
        <w:spacing w:line="480" w:lineRule="auto"/>
        <w:ind w:firstLine="360"/>
      </w:pPr>
      <w:r>
        <w:rPr>
          <w:rFonts w:ascii="Times New Roman" w:cs="Times New Roman" w:eastAsia="Times New Roman" w:hAnsi="Times New Roman"/>
          <w:sz w:val="24"/>
          <w:szCs w:val="24"/>
        </w:rPr>
        <w:t xml:space="preserve">Enron's FY2000 10-K was filed on 2001-04-02. The earliest filing in any other cohort is Tyco's, dated 2001-12-28 — 270 days later. Under the spec's strict leave-one-cohort-out plus time-controlled rule (training data = clean filings from other cohorts AND dated ≤ that fraud's filing date), Enron's eligible training set is empty. No autoencoder was trained for Enron; no per-filing score, no rank, no Mann-Whitney result, no bootstrap CI, no null-permutation p-value can be reported for Enron without violating the frozen spec.</w:t>
      </w:r>
    </w:p>
    <w:p>
      <w:pPr>
        <w:spacing w:line="480" w:lineRule="auto"/>
        <w:ind w:firstLine="360"/>
      </w:pPr>
      <w:r>
        <w:rPr>
          <w:rFonts w:ascii="Times New Roman" w:cs="Times New Roman" w:eastAsia="Times New Roman" w:hAnsi="Times New Roman"/>
          <w:sz w:val="24"/>
          <w:szCs w:val="24"/>
        </w:rPr>
        <w:t xml:space="preserve">This is the correct outcome of the contract, not a workaround for missing data. The honest reading is also the most uncomfortable one: the pre-registered design was infeasible for the most famous fraud in the dataset, and the design freeze did not catch the consequence. That is a finding about pre-registration, not about fraud detection. It also illustrates a real generalizable problem in held-out evaluation under temporal constraints: when the held-out positive examples include the chronologically earliest one in the eligible universe, time-controlled training has no out-of-sample data to consume. Future work that attempts the same design should either expand the training universe to clean filings outside the held-out cohorts (which the LOCO rule would still permit, time-controlled), or accept exclusion as a possible outcome and frame the held-out set with that in mind.</w:t>
      </w:r>
    </w:p>
    <w:p>
      <w:pPr>
        <w:pStyle w:val="Heading2"/>
        <w:spacing w:after="140" w:before="280" w:line="280" w:lineRule="auto"/>
      </w:pPr>
      <w:r>
        <w:rPr>
          <w:rFonts w:ascii="Times New Roman" w:cs="Times New Roman" w:eastAsia="Times New Roman" w:hAnsi="Times New Roman"/>
          <w:b/>
          <w:bCs/>
          <w:sz w:val="28"/>
          <w:szCs w:val="28"/>
        </w:rPr>
        <w:t xml:space="preserve">7.2 Per-fraud rank under the pre-registered autoencoder (5 of 6 cohorts)</w:t>
      </w:r>
    </w:p>
    <w:p>
      <w:pPr>
        <w:spacing w:line="480" w:lineRule="auto"/>
        <w:ind w:firstLine="360"/>
      </w:pPr>
      <w:r>
        <w:rPr>
          <w:rFonts w:ascii="Times New Roman" w:cs="Times New Roman" w:eastAsia="Times New Roman" w:hAnsi="Times New Roman"/>
          <w:sz w:val="24"/>
          <w:szCs w:val="24"/>
        </w:rPr>
        <w:t xml:space="preserve">Table 2 reports the pre-registered autoencoder results, single-pass against the frozen spec. Rank 1 = highest mean per-sentence reconstruction error within the cohort. Random-baseline expected rank for cohort size N is (N+1)/2 ≈ 6–7. MW p is one-sided “fraud &gt; peers”; effect size is rank-biserial correlation in [-1, 1].</w:t>
      </w:r>
    </w:p>
    <w:p>
      <w:pPr>
        <w:spacing w:line="240" w:lineRule="auto"/>
        <w:jc w:val="center"/>
      </w:pPr>
      <w:r>
        <w:rPr>
          <w:rFonts w:ascii="Times New Roman" w:cs="Times New Roman" w:eastAsia="Times New Roman" w:hAnsi="Times New Roman"/>
          <w:i/>
          <w:iCs/>
          <w:sz w:val="20"/>
          <w:szCs w:val="20"/>
        </w:rPr>
        <w:t xml:space="preserve">Table 2. Pre-registered autoencoder results (single-pass against frozen spec).</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00"/>
        <w:gridCol w:w="1100"/>
        <w:gridCol w:w="800"/>
        <w:gridCol w:w="1300"/>
        <w:gridCol w:w="11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Cohort N</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Bootstrap 95% CI</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Train sents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 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3,367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 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2,283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 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4,327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861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1,477</w:t>
            </w:r>
          </w:p>
        </w:tc>
      </w:tr>
    </w:tbl>
    <w:p>
      <w:pPr>
        <w:spacing w:after="120" w:before="120" w:line="240" w:lineRule="auto"/>
        <w:jc w:val="center"/>
      </w:pPr>
      <w:r>
        <w:drawing>
          <wp:inline distT="0" distB="0" distL="0" distR="0">
            <wp:extent cx="5486400" cy="3429000"/>
            <wp:effectExtent t="0" r="0" b="0" l="0"/>
            <wp:docPr id="1" name="per_fraud_rank.png" descr="per_fraud_rank.png" title="per_fraud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1. Per-fraud rank vs random-baseline expectation. Rank 1 = highest reconstruction error within cohort. Lehman is the only cohort below the random expectation; the other four are at or above it.</w:t>
      </w:r>
    </w:p>
    <w:p>
      <w:pPr>
        <w:spacing w:after="120" w:before="120" w:line="240" w:lineRule="auto"/>
        <w:jc w:val="center"/>
      </w:pPr>
      <w:r>
        <w:drawing>
          <wp:inline distT="0" distB="0" distL="0" distR="0">
            <wp:extent cx="5486400" cy="3429000"/>
            <wp:effectExtent t="0" r="0" b="0" l="0"/>
            <wp:docPr id="1" name="bootstrap_ci.png" descr="bootstrap_ci.png" title="bootstrap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2. Per-fraud rank with bootstrap 95% CI (1,000 filing-level resamples). Confidence intervals are wide on every cohort, consistent with N = 6 sample-size limitations.</w:t>
      </w:r>
    </w:p>
    <w:p>
      <w:pPr>
        <w:spacing w:line="480" w:lineRule="auto"/>
        <w:ind w:firstLine="360"/>
      </w:pPr>
      <w:r>
        <w:rPr>
          <w:rFonts w:ascii="Times New Roman" w:cs="Times New Roman" w:eastAsia="Times New Roman" w:hAnsi="Times New Roman"/>
          <w:sz w:val="24"/>
          <w:szCs w:val="24"/>
        </w:rPr>
        <w:t xml:space="preserve">Lehman is the only cohort that ranks among the top three. The Mann-Whitney p-value of 1.3 × 10⁻⁹ on Lehman is small but must be read alongside two other numbers: the rank-biserial effect size of +0.12 (small), and the per-sentence sample sizes of 1,051 fraud sentences against 5,763 peer sentences (large). Sentence-level p-values scale aggressively with sentence count under fixed effect size; this is the primary reason the rank-biserial effect is the more honest summary statistic. The other four cohorts produced negative effect sizes — fraud per-sentence errors were lower than peers' — meaning the autoencoder's signal on those cohorts is in the opposite of the predicted direction, and the corresponding MW p-values trivially exceed 0.5 because the test is one-sided.</w:t>
      </w:r>
    </w:p>
    <w:p>
      <w:pPr>
        <w:pStyle w:val="Heading2"/>
        <w:spacing w:after="140" w:before="280" w:line="280" w:lineRule="auto"/>
      </w:pPr>
      <w:r>
        <w:rPr>
          <w:rFonts w:ascii="Times New Roman" w:cs="Times New Roman" w:eastAsia="Times New Roman" w:hAnsi="Times New Roman"/>
          <w:b/>
          <w:bCs/>
          <w:sz w:val="28"/>
          <w:szCs w:val="28"/>
        </w:rPr>
        <w:t xml:space="preserve">7.3 Aggregate hit@k vs random baseline</w:t>
      </w:r>
    </w:p>
    <w:p>
      <w:pPr>
        <w:spacing w:after="120" w:before="120" w:line="240" w:lineRule="auto"/>
        <w:jc w:val="center"/>
      </w:pPr>
      <w:r>
        <w:drawing>
          <wp:inline distT="0" distB="0" distL="0" distR="0">
            <wp:extent cx="5486400" cy="3429000"/>
            <wp:effectExtent t="0" r="0" b="0" l="0"/>
            <wp:docPr id="1" name="hit_at_k.png" descr="hit_at_k.png" title="hit_at_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3. Aggregate hit@k vs random baseline across the five LOCO cohorts. Observed hit-rates fall at or below the random baseline at every k. Hit@3 and hit@5 are entirely Lehman.</w:t>
      </w:r>
    </w:p>
    <w:p>
      <w:pPr>
        <w:spacing w:line="480" w:lineRule="auto"/>
        <w:ind w:firstLine="360"/>
      </w:pPr>
      <w:r>
        <w:rPr>
          <w:rFonts w:ascii="Times New Roman" w:cs="Times New Roman" w:eastAsia="Times New Roman" w:hAnsi="Times New Roman"/>
          <w:sz w:val="24"/>
          <w:szCs w:val="24"/>
        </w:rPr>
        <w:t xml:space="preserve">Across the five LOCO cohorts: hit@1 = 0.00, hit@3 = 0.20, hit@5 = 0.20, against random-baseline 0.08 / 0.23 / 0.39. The observed hit-rates fall at or below random expectation across all three thresholds. Hit@3 = 0.20 corresponds entirely to Lehman; hit@5 = 0.20 corresponds entirely to Lehman as well, since no other cohort's fraud reached rank 5.</w:t>
      </w:r>
    </w:p>
    <w:p>
      <w:pPr>
        <w:pStyle w:val="Heading2"/>
        <w:spacing w:after="140" w:before="280" w:line="280" w:lineRule="auto"/>
      </w:pPr>
      <w:r>
        <w:rPr>
          <w:rFonts w:ascii="Times New Roman" w:cs="Times New Roman" w:eastAsia="Times New Roman" w:hAnsi="Times New Roman"/>
          <w:b/>
          <w:bCs/>
          <w:sz w:val="28"/>
          <w:szCs w:val="28"/>
        </w:rPr>
        <w:t xml:space="preserve">7.4 Trivial baseline matches or exceeds the autoencoder on every cohort</w:t>
      </w:r>
    </w:p>
    <w:p>
      <w:pPr>
        <w:spacing w:line="240" w:lineRule="auto"/>
        <w:jc w:val="center"/>
      </w:pPr>
      <w:r>
        <w:rPr>
          <w:rFonts w:ascii="Times New Roman" w:cs="Times New Roman" w:eastAsia="Times New Roman" w:hAnsi="Times New Roman"/>
          <w:i/>
          <w:iCs/>
          <w:sz w:val="20"/>
          <w:szCs w:val="20"/>
        </w:rPr>
        <w:t xml:space="preserve">Table 3. Post-hoc TF-IDF + SVD32 baseline vs pre-registered autoencoder, same five cohorts.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00"/>
        <w:gridCol w:w="1300"/>
        <w:gridCol w:w="9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effect</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5.0 × 10⁻²²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0.997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0.64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r>
    </w:tbl>
    <w:p>
      <w:pPr>
        <w:spacing w:after="120" w:before="120" w:line="240" w:lineRule="auto"/>
        <w:jc w:val="center"/>
      </w:pPr>
      <w:r>
        <w:drawing>
          <wp:inline distT="0" distB="0" distL="0" distR="0">
            <wp:extent cx="5486400" cy="3429000"/>
            <wp:effectExtent t="0" r="0" b="0" l="0"/>
            <wp:docPr id="1" name="ae_vs_tfidf_rank.png" descr="ae_vs_tfidf_rank.png" title="ae_vs_tfidf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4. Per-fraud rank: pre-registered autoencoder vs post-hoc TF-IDF + SVD32 baseline. The trivial baseline matches the autoencoder on Valeant and WorldCom and outperforms it on Lehman, HealthSouth, and Tyco.</w:t>
      </w:r>
    </w:p>
    <w:p>
      <w:pPr>
        <w:spacing w:after="120" w:before="120" w:line="240" w:lineRule="auto"/>
        <w:jc w:val="center"/>
      </w:pPr>
      <w:r>
        <w:drawing>
          <wp:inline distT="0" distB="0" distL="0" distR="0">
            <wp:extent cx="5486400" cy="3429000"/>
            <wp:effectExtent t="0" r="0" b="0" l="0"/>
            <wp:docPr id="1" name="ae_vs_tfidf_mw.png" descr="ae_vs_tfidf_mw.png" title="ae_vs_tfidf_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5. Per-cohort Mann-Whitney p (one-sided fraud &gt; peers, log scale): autoencoder vs TF-IDF + SVD32. The trivial baseline produces a stronger signal on Lehman by 13 orders of magnitude.</w:t>
      </w:r>
    </w:p>
    <w:p>
      <w:pPr>
        <w:spacing w:line="480" w:lineRule="auto"/>
        <w:ind w:firstLine="360"/>
      </w:pPr>
      <w:r>
        <w:rPr>
          <w:rFonts w:ascii="Times New Roman" w:cs="Times New Roman" w:eastAsia="Times New Roman" w:hAnsi="Times New Roman"/>
          <w:sz w:val="24"/>
          <w:szCs w:val="24"/>
        </w:rPr>
        <w:t xml:space="preserve">The TF-IDF + SVD32 baseline matches the autoencoder on Valeant and WorldCom and outperforms it on Lehman, HealthSouth, and Tyco — three of five cohorts. On Lehman, the trivial baseline lands the fraud at rank 1 of 13 with a Mann-Whitney p-value of 5 × 10⁻²² and a rank-biserial effect size of +0.19, both stronger than the autoencoder. Aggregate hit-rates for the trivial baseline are hit@1 = 0.20, hit@3 = 0.20, hit@5 = 0.40, with the random baseline at 0.08, 0.23, 0.39 — the trivial baseline is the only configuration in this study that produces an aggregate hit rate above the random baseline at any k.</w:t>
      </w:r>
    </w:p>
    <w:p>
      <w:pPr>
        <w:spacing w:line="480" w:lineRule="auto"/>
        <w:ind w:firstLine="360"/>
      </w:pPr>
      <w:r>
        <w:rPr>
          <w:rFonts w:ascii="Times New Roman" w:cs="Times New Roman" w:eastAsia="Times New Roman" w:hAnsi="Times New Roman"/>
          <w:sz w:val="24"/>
          <w:szCs w:val="24"/>
        </w:rPr>
        <w:t xml:space="preserve">The interpretation requires care. The trivial baseline being competitive does not validate the autoencoder; it indicates that whatever signal exists at this dataset size is captured by sentence-level vocabulary distinctiveness alone, not by anything the neural autoencoder additionally represents. The signal that survives is text-distributional, not deep-learning-specific. At N = 6, on this single signal, the 2020s neural model contributes nothing beyond a 1990s latent-semantic-analysis baseline.</w:t>
      </w:r>
    </w:p>
    <w:p>
      <w:pPr>
        <w:pStyle w:val="Heading2"/>
        <w:spacing w:after="140" w:before="280" w:line="280" w:lineRule="auto"/>
      </w:pPr>
      <w:r>
        <w:rPr>
          <w:rFonts w:ascii="Times New Roman" w:cs="Times New Roman" w:eastAsia="Times New Roman" w:hAnsi="Times New Roman"/>
          <w:b/>
          <w:bCs/>
          <w:sz w:val="28"/>
          <w:szCs w:val="28"/>
        </w:rPr>
        <w:t xml:space="preserve">7.5 Lehman's positive result is robust to entity masking</w:t>
      </w:r>
    </w:p>
    <w:p>
      <w:pPr>
        <w:spacing w:after="120" w:before="120" w:line="240" w:lineRule="auto"/>
        <w:jc w:val="center"/>
      </w:pPr>
      <w:r>
        <w:drawing>
          <wp:inline distT="0" distB="0" distL="0" distR="0">
            <wp:extent cx="5486400" cy="3429000"/>
            <wp:effectExtent t="0" r="0" b="0" l="0"/>
            <wp:docPr id="1" name="entity_masking_posthoc.png" descr="entity_masking_posthoc.png" title="entity_masking_posth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6. Post-hoc entity-masking ablation: original vs masked autoencoder rank by cohort. Lehman's rank is invariant under masking 93 mentions of company-specific tokens, which weakens the literal-name-leakage explanation for its positive result.</w:t>
      </w:r>
    </w:p>
    <w:p>
      <w:pPr>
        <w:spacing w:line="480" w:lineRule="auto"/>
        <w:ind w:firstLine="360"/>
      </w:pPr>
      <w:r>
        <w:rPr>
          <w:rFonts w:ascii="Times New Roman" w:cs="Times New Roman" w:eastAsia="Times New Roman" w:hAnsi="Times New Roman"/>
          <w:sz w:val="24"/>
          <w:szCs w:val="24"/>
        </w:rPr>
        <w:t xml:space="preserve">The post-hoc entity-masking ablation tests one specific contamination concern: did MiniLM's web-pretraining seed Lehman's positive rank by memorizing literal mentions of “Lehman”, “Fuld”, “Repo 105”, or auditor names? After masking 93 such mentions in Lehman's MD&amp;A (and replacing each with the literal token [ENTITY]), re-encoding, and rescoring against Lehman's existing autoencoder, Lehman's rank is invariant: 3 of 13 → 3 of 13. The other four cohorts show small or no movement. The literal-name-leakage hypothesis fails to explain Lehman's positive result. This does not address topical leakage — MiniLM may still have seen general post-2008 commentary about repo accounting, off-balance-sheet vehicles, or investment-bank insolvency that influenced its representations. That residual contamination concern remains disclosed but unaddressed empirically.</w:t>
      </w:r>
    </w:p>
    <w:p>
      <w:pPr>
        <w:spacing w:line="480" w:lineRule="auto"/>
        <w:ind w:firstLine="360"/>
      </w:pPr>
      <w:r>
        <w:rPr>
          <w:rFonts w:ascii="Times New Roman" w:cs="Times New Roman" w:eastAsia="Times New Roman" w:hAnsi="Times New Roman"/>
          <w:sz w:val="24"/>
          <w:szCs w:val="24"/>
        </w:rPr>
        <w:t xml:space="preserve">The matching 93-replacement counts for LEH and TYC are coincidental rather than a copy-paste artifact: Lehman decomposes as 64 mentions of “Lehman” + 29 mentions of “Lehman Brothers”, while Tyco decomposes as 87 mentions of “Tyco” + 6 mentions of “ADT”. The two cohorts use entirely disjoint entity-token lists in scripts/10_entity_masking_posthoc.py and the matching total is a contingent fact about these particular two filings.</w:t>
      </w:r>
    </w:p>
    <w:p>
      <w:pPr>
        <w:spacing w:line="240" w:lineRule="auto"/>
        <w:jc w:val="center"/>
      </w:pPr>
      <w:r>
        <w:rPr>
          <w:rFonts w:ascii="Times New Roman" w:cs="Times New Roman" w:eastAsia="Times New Roman" w:hAnsi="Times New Roman"/>
          <w:i/>
          <w:iCs/>
          <w:sz w:val="20"/>
          <w:szCs w:val="20"/>
        </w:rPr>
        <w:t xml:space="preserve">Table 4. Post-hoc entity-masking on the five LOCO cohorts. “Δ” is masked rank − original rank.</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Cohort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Replacements</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Original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Masked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Δ</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11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267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bl>
    <w:p>
      <w:pPr>
        <w:pStyle w:val="Heading2"/>
        <w:spacing w:after="140" w:before="280" w:line="280" w:lineRule="auto"/>
      </w:pPr>
      <w:r>
        <w:rPr>
          <w:rFonts w:ascii="Times New Roman" w:cs="Times New Roman" w:eastAsia="Times New Roman" w:hAnsi="Times New Roman"/>
          <w:b/>
          <w:bCs/>
          <w:sz w:val="28"/>
          <w:szCs w:val="28"/>
        </w:rPr>
        <w:t xml:space="preserve">7.6 Leave-one-fraud-out aggregate sensitivity</w:t>
      </w:r>
    </w:p>
    <w:p>
      <w:pPr>
        <w:spacing w:line="480" w:lineRule="auto"/>
        <w:ind w:firstLine="360"/>
      </w:pPr>
      <w:r>
        <w:rPr>
          <w:rFonts w:ascii="Times New Roman" w:cs="Times New Roman" w:eastAsia="Times New Roman" w:hAnsi="Times New Roman"/>
          <w:sz w:val="24"/>
          <w:szCs w:val="24"/>
        </w:rPr>
        <w:t xml:space="preserve">Removing each fraud in turn from the aggregate does not produce a regime under which the four-fraud aggregate beats the random baseline. Detailed numbers are in data/results/aggregate_metrics.json. Removing Lehman drops hit@3 and hit@5 to 0.00 across the remaining four cohorts; removing any other cohort leaves Lehman as the sole positive contributor. The aggregate result is entirely dependent on Lehman.</w:t>
      </w:r>
    </w:p>
    <w:p>
      <w:pPr>
        <w:pStyle w:val="Heading2"/>
        <w:spacing w:after="140" w:before="280" w:line="280" w:lineRule="auto"/>
      </w:pPr>
      <w:r>
        <w:rPr>
          <w:rFonts w:ascii="Times New Roman" w:cs="Times New Roman" w:eastAsia="Times New Roman" w:hAnsi="Times New Roman"/>
          <w:b/>
          <w:bCs/>
          <w:sz w:val="28"/>
          <w:szCs w:val="28"/>
        </w:rPr>
        <w:t xml:space="preserve">7.7 Honest interpretation</w:t>
      </w:r>
    </w:p>
    <w:p>
      <w:pPr>
        <w:spacing w:line="480" w:lineRule="auto"/>
        <w:ind w:firstLine="360"/>
      </w:pPr>
      <w:r>
        <w:rPr>
          <w:rFonts w:ascii="Times New Roman" w:cs="Times New Roman" w:eastAsia="Times New Roman" w:hAnsi="Times New Roman"/>
          <w:sz w:val="24"/>
          <w:szCs w:val="24"/>
        </w:rPr>
        <w:t xml:space="preserve">The numbers admit two readings, both of which are consistent with the data. First, the single signal has no real out-of-sample power at N = 6. What looks like a positive on Lehman is one observation drawn from the cohort with the largest training set (3,367 training sentences vs. Tyco's 861, a factor-of-four asymmetry), and bootstrap CIs are wide on every cohort. The TF-IDF baseline matching the autoencoder is consistent with this reading. Second, MD&amp;A language is too heterogeneous for a single autoencoder reconstruction-error signal to discriminate fraud from clean peers without supervision. Sector- and year-matched peer cohorts are coarse — within a SIC-2-digit code, business models and disclosure styles vary widely.</w:t>
      </w:r>
    </w:p>
    <w:p>
      <w:pPr>
        <w:spacing w:line="480" w:lineRule="auto"/>
        <w:ind w:firstLine="360"/>
      </w:pPr>
      <w:r>
        <w:rPr>
          <w:rFonts w:ascii="Times New Roman" w:cs="Times New Roman" w:eastAsia="Times New Roman" w:hAnsi="Times New Roman"/>
          <w:sz w:val="24"/>
          <w:szCs w:val="24"/>
        </w:rPr>
        <w:t xml:space="preserve">Both readings produce the same conclusion: at this dataset size, on this signal, the answer to the driving question is no. I report the result as it stands; I did not iterate the autoencoder, peer construction, or scoring after observing these numbers, per the frozen-spec contract.</w:t>
      </w:r>
    </w:p>
    <w:p>
      <w:pPr>
        <w:pStyle w:val="Heading1"/>
        <w:spacing w:after="180" w:before="360" w:line="280" w:lineRule="auto"/>
      </w:pPr>
      <w:r>
        <w:rPr>
          <w:rFonts w:ascii="Times New Roman" w:cs="Times New Roman" w:eastAsia="Times New Roman" w:hAnsi="Times New Roman"/>
          <w:b/>
          <w:bCs/>
          <w:sz w:val="32"/>
          <w:szCs w:val="32"/>
        </w:rPr>
        <w:t xml:space="preserve">8. Conclusions, Limitations, Future Work</w:t>
      </w:r>
    </w:p>
    <w:p>
      <w:pPr>
        <w:spacing w:line="480" w:lineRule="auto"/>
        <w:ind w:firstLine="360"/>
      </w:pPr>
      <w:r>
        <w:rPr>
          <w:rFonts w:ascii="Times New Roman" w:cs="Times New Roman" w:eastAsia="Times New Roman" w:hAnsi="Times New Roman"/>
          <w:sz w:val="24"/>
          <w:szCs w:val="24"/>
        </w:rPr>
        <w:t xml:space="preserve">Three substantive findings emerged from this project.</w:t>
      </w:r>
    </w:p>
    <w:p>
      <w:pPr>
        <w:spacing w:line="480" w:lineRule="auto"/>
        <w:ind w:firstLine="360"/>
      </w:pPr>
      <w:r>
        <w:rPr>
          <w:rFonts w:ascii="Times New Roman" w:cs="Times New Roman" w:eastAsia="Times New Roman" w:hAnsi="Times New Roman"/>
          <w:sz w:val="24"/>
          <w:szCs w:val="24"/>
        </w:rPr>
        <w:t xml:space="preserve">The first finding is the headline. A pre-registered single-signal unsupervised novelty study on SEC 10-K MD&amp;A text, evaluated under strict leave-one-cohort-out plus time-controlled training against six historical fraud filings, produces a negative result. Of five evaluable cohorts, four rank fraud filings at or below the random-baseline expectation. The single positive cohort (Lehman, rank 3 of 13) is matched or exceeded by a 1990s-era TF-IDF + truncated-SVD trivial baseline, which lands Lehman at rank 1 of 13 with a stronger Mann-Whitney signal. At N = 6, on this specific signal, the autoencoder adds nothing beyond a baseline a careful undergraduate could have implemented in 1995.</w:t>
      </w:r>
    </w:p>
    <w:p>
      <w:pPr>
        <w:spacing w:line="480" w:lineRule="auto"/>
        <w:ind w:firstLine="360"/>
      </w:pPr>
      <w:r>
        <w:rPr>
          <w:rFonts w:ascii="Times New Roman" w:cs="Times New Roman" w:eastAsia="Times New Roman" w:hAnsi="Times New Roman"/>
          <w:sz w:val="24"/>
          <w:szCs w:val="24"/>
        </w:rPr>
        <w:t xml:space="preserve">The second finding is structural. The pre-registered design was infeasible for Enron. Under leave-one-cohort-out plus time-controlled training, the chronologically earliest held-out positive example has no eligible training data; Enron's accession was committed to the spec, and the design freeze did not catch the consequence. That is a finding about pre-registration discipline, not about fraud-detection capability. It is also a generalizable lesson: any held-out evaluation under temporal constraints must verify that every held-out positive admits at least one eligible training cohort under the proposed rule, before the spec is frozen. Future work in this paradigm should adopt that pre-flight check.</w:t>
      </w:r>
    </w:p>
    <w:p>
      <w:pPr>
        <w:spacing w:line="480" w:lineRule="auto"/>
        <w:ind w:firstLine="360"/>
      </w:pPr>
      <w:r>
        <w:rPr>
          <w:rFonts w:ascii="Times New Roman" w:cs="Times New Roman" w:eastAsia="Times New Roman" w:hAnsi="Times New Roman"/>
          <w:sz w:val="24"/>
          <w:szCs w:val="24"/>
        </w:rPr>
        <w:t xml:space="preserve">The third finding is the trivial-baseline gap. The most decisive result in this study is not the autoencoder's per-fraud ranks but the post-hoc TF-IDF + SVD32 baseline matching or exceeding the autoencoder on every cohort. Without that baseline, the project would have reported “Lehman is detectable” as the clean positive. With it, the honest claim is “Lehman is detectable by both methods, and the more expensive method does not beat the cheaper one.” If a CSC 44800 takeaway is the deliverable, this is it: a sharp baseline is not optional, and a result that does not survive a baseline check is not a result.</w:t>
      </w:r>
    </w:p>
    <w:p>
      <w:pPr>
        <w:spacing w:line="480" w:lineRule="auto"/>
        <w:ind w:firstLine="360"/>
      </w:pPr>
      <w:r>
        <w:rPr>
          <w:rFonts w:ascii="Times New Roman" w:cs="Times New Roman" w:eastAsia="Times New Roman" w:hAnsi="Times New Roman"/>
          <w:sz w:val="24"/>
          <w:szCs w:val="24"/>
        </w:rPr>
        <w:t xml:space="preserve">Three lessons follow.</w:t>
      </w:r>
    </w:p>
    <w:p>
      <w:pPr>
        <w:spacing w:line="480" w:lineRule="auto"/>
        <w:ind w:firstLine="360"/>
      </w:pPr>
      <w:r>
        <w:rPr>
          <w:rFonts w:ascii="Times New Roman" w:cs="Times New Roman" w:eastAsia="Times New Roman" w:hAnsi="Times New Roman"/>
          <w:sz w:val="24"/>
          <w:szCs w:val="24"/>
        </w:rPr>
        <w:t xml:space="preserve">Pre-registration is load-bearing only if it survives contact with the data. The frozen spec held: I did not iterate the autoencoder, did not redefine “clean,” did not modify peer matching, and did not retreat from the Enron exclusion when the result was uncomfortable. The post-hoc analyses (TF-IDF baseline, entity-masking ablation) are clearly labeled as such and do not displace the primary numbers in data/results/per_fraud_metrics.json. The frozen-spec contract is what makes the negative result informative; without it, the same numbers would be a polite request to redesign and rerun.</w:t>
      </w:r>
    </w:p>
    <w:p>
      <w:pPr>
        <w:spacing w:line="480" w:lineRule="auto"/>
        <w:ind w:firstLine="360"/>
      </w:pPr>
      <w:r>
        <w:rPr>
          <w:rFonts w:ascii="Times New Roman" w:cs="Times New Roman" w:eastAsia="Times New Roman" w:hAnsi="Times New Roman"/>
          <w:sz w:val="24"/>
          <w:szCs w:val="24"/>
        </w:rPr>
        <w:t xml:space="preserve">Methodological exclusions are content, but only if owned. Section 7.1 reports Enron's exclusion as a finding because the alternative would have been to relax the spec post-hoc and rerun. The exclusion is a design error, named as such; the transparency of naming it is what converts a missing data point into a teaching example. Any future design that proposes leave-one-cohort-out plus time-controlled training over a temporally-ordered positive set should require, as a pre-flight check, that every held-out positive be scoreable under the proposed rule before the spec is frozen.</w:t>
      </w:r>
    </w:p>
    <w:p>
      <w:pPr>
        <w:spacing w:line="480" w:lineRule="auto"/>
        <w:ind w:firstLine="360"/>
      </w:pPr>
      <w:r>
        <w:rPr>
          <w:rFonts w:ascii="Times New Roman" w:cs="Times New Roman" w:eastAsia="Times New Roman" w:hAnsi="Times New Roman"/>
          <w:sz w:val="24"/>
          <w:szCs w:val="24"/>
        </w:rPr>
        <w:t xml:space="preserve">The Lehman confound is real, partially refuted by my own data, and named. Lehman's autoencoder was trained on 3,367 sentences from 43 filings — a large training corpus, nearly four times Tyco's 861 sentences from 11 filings. The intuition that “Lehman wins because Lehman has more training data” is the obvious reading, and an early draft of this section argued exactly that. The data refute it. Valeant's autoencoder was trained on 4,327 sentences from 55 filings — more training data than Lehman — and Valeant ranks 8 of 13, statistically indistinguishable from random. If training-corpus size alone explained the Lehman result, Valeant should outrank Lehman; it does not. The confound therefore narrows to “Lehman-specific signal” or “Lehman-specific peer pool,” not “training data quantity.” The TF-IDF baseline produces the same Lehman-specific result with a stronger Mann-Whitney statistic, which weakly argues for a real text-distributional Lehman signature rather than for a method-specific artifact. I report the Lehman result as n = 1 with the confound named and partially refuted, and decline to claim a method.</w:t>
      </w:r>
    </w:p>
    <w:p>
      <w:pPr>
        <w:spacing w:line="480" w:lineRule="auto"/>
        <w:ind w:firstLine="360"/>
      </w:pPr>
      <w:r>
        <w:rPr>
          <w:rFonts w:ascii="Times New Roman" w:cs="Times New Roman" w:eastAsia="Times New Roman" w:hAnsi="Times New Roman"/>
          <w:sz w:val="24"/>
          <w:szCs w:val="24"/>
        </w:rPr>
        <w:t xml:space="preserve">Limitations. N = 6 (effective N = 5) is too small for confidence intervals to constrain anything tightly; the bootstrap CIs in Section 7.2 are wide. MiniLM pretraining contamination beyond literal-name leakage was not addressed empirically. SIC-2-digit + same-fiscal-year peer matching is coarse and admits residual heterogeneity in size, geography, and business model. EDGAR's currently-reported SIC differs in some cases from the firm's at-time-of-filing SIC; symmetric application is the cleanest available rule but does not fully control for sector-at-filing. The operational “clean” rule is editable-deny-list-only — partial coverage, transparent about what could not be verified. The autoencoder bottleneck dimension was frozen at 32 without a sensitivity sweep; bottleneck-dimension sensitivity is an obvious gap.</w:t>
      </w:r>
    </w:p>
    <w:p>
      <w:pPr>
        <w:spacing w:line="480" w:lineRule="auto"/>
        <w:ind w:firstLine="360"/>
      </w:pPr>
      <w:r>
        <w:rPr>
          <w:rFonts w:ascii="Times New Roman" w:cs="Times New Roman" w:eastAsia="Times New Roman" w:hAnsi="Times New Roman"/>
          <w:sz w:val="24"/>
          <w:szCs w:val="24"/>
        </w:rPr>
        <w:t xml:space="preserve">Future work. The most informative single direction the data point to is change-detection within firm: instead of comparing a fraud filing's MD&amp;A against industry peers in the same year, compare it against the same firm's prior-year MD&amp;A. This controls for firm-specific style at the cost of losing the fraud-vs-clean comparison, and it converts the question from “is this filing anomalous against peers” to “is this filing anomalous against itself.” A second direction is multi-section integration, particularly Item 1A risk factors, which are absent from this study because the pre-registered scope was Item 7 only. A third is structured + unstructured fusion: combining MD&amp;A-derived signals with financial-statement ratios and audit-committee disclosures in a single model. A fourth is a genuinely larger held-out set: the SEC's AAER list is in the low thousands across all years, and a serious version of this study would condition on AAER-confirmed fraud rather than the high-profile six examined here. The single most cost-effective next step before any of the above is a within-firm baseline on the existing six cohorts — same parser, same MiniLM embeddings, same TF-IDF baseline, but the comparison set is the firm's own prior 10-K rather than peers. That is the falsifiable Lehman-specificity check this study could not run.</w:t>
      </w:r>
    </w:p>
    <w:p>
      <w:pPr>
        <w:pStyle w:val="Heading1"/>
        <w:spacing w:after="180" w:before="360" w:line="280" w:lineRule="auto"/>
      </w:pPr>
      <w:r>
        <w:rPr>
          <w:rFonts w:ascii="Times New Roman" w:cs="Times New Roman" w:eastAsia="Times New Roman" w:hAnsi="Times New Roman"/>
          <w:b/>
          <w:bCs/>
          <w:sz w:val="32"/>
          <w:szCs w:val="32"/>
        </w:rPr>
        <w:t xml:space="preserve">References</w:t>
      </w:r>
    </w:p>
    <w:p>
      <w:pPr>
        <w:spacing w:before="80" w:line="480" w:lineRule="auto"/>
        <w:ind w:left="360" w:hanging="360"/>
      </w:pPr>
      <w:r>
        <w:rPr>
          <w:rFonts w:ascii="Times New Roman" w:cs="Times New Roman" w:eastAsia="Times New Roman" w:hAnsi="Times New Roman"/>
          <w:sz w:val="24"/>
          <w:szCs w:val="24"/>
        </w:rPr>
        <w:t xml:space="preserve">Russell, S., &amp; Norvig, P. (2020). Artificial Intelligence: A Modern Approach (4th ed.). Pearson. (CSC 44800 textbook; cited for general framing of supervised vs. unsupervised learning, empirical evaluation methodology, and held-out evaluation.)</w:t>
      </w:r>
    </w:p>
    <w:p>
      <w:pPr>
        <w:spacing w:before="80" w:line="480" w:lineRule="auto"/>
        <w:ind w:left="360" w:hanging="360"/>
      </w:pPr>
      <w:r>
        <w:rPr>
          <w:rFonts w:ascii="Times New Roman" w:cs="Times New Roman" w:eastAsia="Times New Roman" w:hAnsi="Times New Roman"/>
          <w:sz w:val="24"/>
          <w:szCs w:val="24"/>
        </w:rPr>
        <w:t xml:space="preserve">Burden, R. L., &amp; Faires, J. D. (2010). Numerical Analysis (9th ed.). Brooks/Cole. (Cited for the bootstrap and null-permutation methodology.)</w:t>
      </w:r>
    </w:p>
    <w:p>
      <w:pPr>
        <w:spacing w:before="80" w:line="480" w:lineRule="auto"/>
        <w:ind w:left="360" w:hanging="360"/>
      </w:pPr>
      <w:r>
        <w:rPr>
          <w:rFonts w:ascii="Times New Roman" w:cs="Times New Roman" w:eastAsia="Times New Roman" w:hAnsi="Times New Roman"/>
          <w:sz w:val="24"/>
          <w:szCs w:val="24"/>
        </w:rPr>
        <w:t xml:space="preserve">Cecchini, M., Aytug, H., Koehler, G. J., &amp; Pathak, P. (2010). Making words work: Using financial text as a predictor of financial events. Decision Support Systems, 50(1), 164–175.</w:t>
      </w:r>
    </w:p>
    <w:p>
      <w:pPr>
        <w:spacing w:before="80" w:line="480" w:lineRule="auto"/>
        <w:ind w:left="360" w:hanging="360"/>
      </w:pPr>
      <w:r>
        <w:rPr>
          <w:rFonts w:ascii="Times New Roman" w:cs="Times New Roman" w:eastAsia="Times New Roman" w:hAnsi="Times New Roman"/>
          <w:sz w:val="24"/>
          <w:szCs w:val="24"/>
        </w:rPr>
        <w:t xml:space="preserve">Loughran, T., &amp; McDonald, B. (2011). When is a liability not a liability? Textual analysis, dictionaries, and 10-Ks. The Journal of Finance, 66(1), 35–65.</w:t>
      </w:r>
    </w:p>
    <w:p>
      <w:pPr>
        <w:spacing w:before="80" w:line="480" w:lineRule="auto"/>
        <w:ind w:left="360" w:hanging="360"/>
      </w:pPr>
      <w:r>
        <w:rPr>
          <w:rFonts w:ascii="Times New Roman" w:cs="Times New Roman" w:eastAsia="Times New Roman" w:hAnsi="Times New Roman"/>
          <w:sz w:val="24"/>
          <w:szCs w:val="24"/>
        </w:rPr>
        <w:t xml:space="preserve">Reimers, N., &amp; Gurevych, I. (2019). Sentence-BERT: Sentence embeddings using Siamese BERT-networks. In Proceedings of EMNLP-IJCNLP 2019.</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EDGAR full-text search and submissions JSON. https://www.sec.gov/edgar.</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Accounting and Auditing Enforcement Releases (AAERs). https://www.sec.gov/divisions/enforce/friactions.shtml.</w:t>
      </w:r>
    </w:p>
    <w:p>
      <w:pPr>
        <w:spacing w:before="80" w:line="480" w:lineRule="auto"/>
        <w:ind w:left="360" w:hanging="360"/>
      </w:pPr>
      <w:r>
        <w:rPr>
          <w:rFonts w:ascii="Times New Roman" w:cs="Times New Roman" w:eastAsia="Times New Roman" w:hAnsi="Times New Roman"/>
          <w:sz w:val="24"/>
          <w:szCs w:val="24"/>
        </w:rPr>
        <w:t xml:space="preserve">Project repository: https://github.com/ArseniiChan/canary. All code, frozen spec, deny-lists, parsed MD&amp;A index, training logs, single-pass validation outputs, post-hoc baseline outputs, and figures are committed to the repo at the validation freeze tag and the post-hoc tag.</w:t>
      </w:r>
    </w:p>
    <w:p>
      <w:pPr>
        <w:pStyle w:val="Heading1"/>
        <w:spacing w:after="180" w:before="360" w:line="280" w:lineRule="auto"/>
      </w:pPr>
      <w:r>
        <w:rPr>
          <w:rFonts w:ascii="Times New Roman" w:cs="Times New Roman" w:eastAsia="Times New Roman" w:hAnsi="Times New Roman"/>
          <w:b/>
          <w:bCs/>
          <w:sz w:val="32"/>
          <w:szCs w:val="32"/>
        </w:rPr>
        <w:t xml:space="preserve">Appendix F — Model inventory</w:t>
      </w:r>
    </w:p>
    <w:p>
      <w:pPr>
        <w:spacing w:line="480" w:lineRule="auto"/>
        <w:ind w:firstLine="360"/>
      </w:pPr>
      <w:r>
        <w:rPr>
          <w:rFonts w:ascii="Times New Roman" w:cs="Times New Roman" w:eastAsia="Times New Roman" w:hAnsi="Times New Roman"/>
          <w:sz w:val="24"/>
          <w:szCs w:val="24"/>
        </w:rPr>
        <w:t xml:space="preserve">The Canary project uses three distinct kinds of model, totalling eleven model instances:</w:t>
      </w:r>
    </w:p>
    <w:p>
      <w:pPr>
        <w:spacing w:line="480" w:lineRule="auto"/>
        <w:ind w:firstLine="360"/>
      </w:pPr>
      <w:r>
        <w:rPr>
          <w:rFonts w:ascii="Times New Roman" w:cs="Times New Roman" w:eastAsia="Times New Roman" w:hAnsi="Times New Roman"/>
          <w:sz w:val="24"/>
          <w:szCs w:val="24"/>
        </w:rPr>
        <w:t xml:space="preserve">(F.1) Pretrained transformer — used as a frozen feature extractor. sentence-transformers/all-MiniLM-L6-v2, a 6-layer MiniLM-based transformer pretrained by Microsoft Research and the Hugging Face Sentence-Transformers project on more than one billion sentence pairs. Approximately 22M parameters. Outputs 384-dimensional sentence vectors. We do not train this model — we freeze it and use it as the input encoder for every MD&amp;A sentence in the project. Course mapping: AI 33 Attention and transformers; AI 35 Encoders and decoders; Meetings 22–23 (LLMs, Apr 30 and May 5).</w:t>
      </w:r>
    </w:p>
    <w:p>
      <w:pPr>
        <w:spacing w:line="480" w:lineRule="auto"/>
        <w:ind w:firstLine="360"/>
      </w:pPr>
      <w:r>
        <w:rPr>
          <w:rFonts w:ascii="Times New Roman" w:cs="Times New Roman" w:eastAsia="Times New Roman" w:hAnsi="Times New Roman"/>
          <w:sz w:val="24"/>
          <w:szCs w:val="24"/>
        </w:rPr>
        <w:t xml:space="preserve">(F.2) Custom autoencoders — the models trained for this project. Five PyTorch autoencoders, one per cohort (HRC, LEH, TYC, VRX, WCOM), with architecture 384 → 128 → 32 → 128 → 384 and ReLU activations between layers. Approximately 117,000 parameters each. Mean squared error reconstruction loss; Adam optimizer at learning rate 1e-3; batch size 16; maximum 200 epochs with early stopping (patience 20) on a 20% validation split; numpy / torch / Python random seeds all 42. Trained from scratch on each cohort's leave-one-cohort-out and time-controlled training corpus. Saved checkpoints at data/processed/models/&lt;TICKER&gt;.pt reload cleanly and reproduce the committed per-cohort fraud scores to six decimal places (verified at the validation freeze and re-verified before the May 7 presentation). Course mapping: AI 27 Neural networks; AI 35 Encoders and decoders; AI 28 Tensors; AI 31 Computational graphs; AI 10 Optimizers (Adam).</w:t>
      </w:r>
    </w:p>
    <w:p>
      <w:pPr>
        <w:spacing w:line="480" w:lineRule="auto"/>
        <w:ind w:firstLine="360"/>
      </w:pPr>
      <w:r>
        <w:rPr>
          <w:rFonts w:ascii="Times New Roman" w:cs="Times New Roman" w:eastAsia="Times New Roman" w:hAnsi="Times New Roman"/>
          <w:sz w:val="24"/>
          <w:szCs w:val="24"/>
        </w:rPr>
        <w:t xml:space="preserve">(F.3) Classical-ML baseline — post-hoc, council-mandated. Five TF-IDF + TruncatedSVD pipelines, one per cohort, trained on the same LOCO + time-controlled training corpora the autoencoders saw. TF-IDF vectorizer with English stop-word removal, sublinear term-frequency scaling, and a 20,000-feature cap; TruncatedSVD with 32 components — matching the autoencoder bottleneck dimension exactly so the comparison is apples-to-apples on bottleneck capacity. Course mapping: AI 12 Introduction to machine learning.</w:t>
      </w:r>
    </w:p>
    <w:p>
      <w:pPr>
        <w:spacing w:line="480" w:lineRule="auto"/>
        <w:ind w:firstLine="360"/>
      </w:pPr>
      <w:r>
        <w:rPr>
          <w:rFonts w:ascii="Times New Roman" w:cs="Times New Roman" w:eastAsia="Times New Roman" w:hAnsi="Times New Roman"/>
          <w:sz w:val="24"/>
          <w:szCs w:val="24"/>
        </w:rPr>
        <w:t xml:space="preserve">The three model families together let us answer not only "is the autoencoder a model that runs?" (yes — Appendix G) but also "does the neural model earn its complexity beyond a 1990s LSA baseline?" (no, on this dataset — Section 7.4).</w:t>
      </w:r>
    </w:p>
    <w:p>
      <w:pPr>
        <w:pStyle w:val="Heading1"/>
        <w:spacing w:after="180" w:before="360" w:line="280" w:lineRule="auto"/>
      </w:pPr>
      <w:r>
        <w:rPr>
          <w:rFonts w:ascii="Times New Roman" w:cs="Times New Roman" w:eastAsia="Times New Roman" w:hAnsi="Times New Roman"/>
          <w:b/>
          <w:bCs/>
          <w:sz w:val="32"/>
          <w:szCs w:val="32"/>
        </w:rPr>
        <w:t xml:space="preserve">Appendix G — Training-quality diagnostics</w:t>
      </w:r>
    </w:p>
    <w:p>
      <w:pPr>
        <w:spacing w:line="480" w:lineRule="auto"/>
        <w:ind w:firstLine="360"/>
      </w:pPr>
      <w:r>
        <w:rPr>
          <w:rFonts w:ascii="Times New Roman" w:cs="Times New Roman" w:eastAsia="Times New Roman" w:hAnsi="Times New Roman"/>
          <w:sz w:val="24"/>
          <w:szCs w:val="24"/>
        </w:rPr>
        <w:t xml:space="preserve">Three diagnostics, all from scripts/14_training_quality_diagnostics.py, prove that the autoencoders trained for this project are real working models, not artifacts that merely compiled.</w:t>
      </w:r>
    </w:p>
    <w:p>
      <w:pPr>
        <w:pStyle w:val="Heading2"/>
        <w:spacing w:after="140" w:before="280" w:line="280" w:lineRule="auto"/>
      </w:pPr>
      <w:r>
        <w:rPr>
          <w:rFonts w:ascii="Times New Roman" w:cs="Times New Roman" w:eastAsia="Times New Roman" w:hAnsi="Times New Roman"/>
          <w:b/>
          <w:bCs/>
          <w:sz w:val="28"/>
          <w:szCs w:val="28"/>
        </w:rPr>
        <w:t xml:space="preserve">G.1 Per-epoch convergence</w:t>
      </w:r>
    </w:p>
    <w:p>
      <w:pPr>
        <w:spacing w:line="480" w:lineRule="auto"/>
        <w:ind w:firstLine="360"/>
      </w:pPr>
      <w:r>
        <w:rPr>
          <w:rFonts w:ascii="Times New Roman" w:cs="Times New Roman" w:eastAsia="Times New Roman" w:hAnsi="Times New Roman"/>
          <w:sz w:val="24"/>
          <w:szCs w:val="24"/>
        </w:rPr>
        <w:t xml:space="preserve">Each of the five cohort autoencoders converged via early stopping at best epoch 50–59 of a 200-epoch maximum, with patience 20. Final train loss ranged from 0.000736 (HRC) to 0.000911 (VRX); final validation loss from 0.000947 (HRC) to 0.001129 (TYC). The train-validation gap was small everywhere — between 0.000111 (VRX, largest training set) and 0.000301 (TYC, smallest training set) — a healthy ratio for a project at this dataset size. The full training log is at data/processed/training_log.json.</w:t>
      </w:r>
    </w:p>
    <w:p>
      <w:pPr>
        <w:pStyle w:val="Heading2"/>
        <w:spacing w:after="140" w:before="280" w:line="280" w:lineRule="auto"/>
      </w:pPr>
      <w:r>
        <w:rPr>
          <w:rFonts w:ascii="Times New Roman" w:cs="Times New Roman" w:eastAsia="Times New Roman" w:hAnsi="Times New Roman"/>
          <w:b/>
          <w:bCs/>
          <w:sz w:val="28"/>
          <w:szCs w:val="28"/>
        </w:rPr>
        <w:t xml:space="preserve">G.2 Noise sanity check</w:t>
      </w:r>
    </w:p>
    <w:p>
      <w:pPr>
        <w:spacing w:line="480" w:lineRule="auto"/>
        <w:ind w:firstLine="360"/>
      </w:pPr>
      <w:r>
        <w:rPr>
          <w:rFonts w:ascii="Times New Roman" w:cs="Times New Roman" w:eastAsia="Times New Roman" w:hAnsi="Times New Roman"/>
          <w:sz w:val="24"/>
          <w:szCs w:val="24"/>
        </w:rPr>
        <w:t xml:space="preserve">The decisive test that the autoencoder learned a meaningful manifold rather than a trivial constant function. For each cohort autoencoder, I scored four kinds of input under the same per-sentence MSE reconstruction-error metric: (i) the cohort's clean-peer sentences, (ii) the cohort's fraud-filing sentences, (iii) 1,000 random unit-norm Gaussian vectors of the same dimensionality (matched in magnitude to real MiniLM embeddings), and (iv) 1,000 raw N(0, 1) vectors (much larger in magnitude than real embeddings). Table G.1 reports mean per-sentence MSE across the four input types.</w:t>
      </w:r>
    </w:p>
    <w:p>
      <w:pPr>
        <w:spacing w:line="240" w:lineRule="auto"/>
        <w:jc w:val="center"/>
      </w:pPr>
      <w:r>
        <w:rPr>
          <w:rFonts w:ascii="Times New Roman" w:cs="Times New Roman" w:eastAsia="Times New Roman" w:hAnsi="Times New Roman"/>
          <w:i/>
          <w:iCs/>
          <w:sz w:val="20"/>
          <w:szCs w:val="20"/>
        </w:rPr>
        <w:t xml:space="preserve">Table G.1. Noise sanity check across all five cohort autoencoders.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400"/>
        <w:gridCol w:w="1900"/>
        <w:gridCol w:w="1500"/>
        <w:gridCol w:w="216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Cohort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Real peer</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Real 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Unit-norm Gaussian</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Raw N(0,1)</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Noise / real ratio</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0.001406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0.001266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0.002954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1.076235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2.1× / 765×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0.001337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0.001395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0.002966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1.077481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2.2× / 806×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0.001362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0.001271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0.002891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1.022643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2.1× / 751×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0.001442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0.001295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0.002896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1.103497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 / 765×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0.001375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0.001259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0.002858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1.041342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2.1× / 760×</w:t>
            </w:r>
          </w:p>
        </w:tc>
      </w:tr>
    </w:tbl>
    <w:p>
      <w:pPr>
        <w:spacing w:after="120" w:before="120" w:line="240" w:lineRule="auto"/>
        <w:jc w:val="center"/>
      </w:pPr>
      <w:r>
        <w:drawing>
          <wp:inline distT="0" distB="0" distL="0" distR="0">
            <wp:extent cx="5486400" cy="3429000"/>
            <wp:effectExtent t="0" r="0" b="0" l="0"/>
            <wp:docPr id="1" name="noise_sanity_check.png" descr="noise_sanity_check.png" title="noise_sanity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G.1. Mean per-sentence reconstruction error by input type, log scale. Out-of-distribution input — Gaussian noise of matched magnitude — produces ~2× higher reconstruction error than real MD&amp;A text; raw N(0,1) noise produces ~750× higher. The autoencoders demonstrably learned the structure of MiniLM-encoded MD&amp;A text.</w:t>
      </w:r>
    </w:p>
    <w:p>
      <w:pPr>
        <w:spacing w:line="480" w:lineRule="auto"/>
        <w:ind w:firstLine="360"/>
      </w:pPr>
      <w:r>
        <w:rPr>
          <w:rFonts w:ascii="Times New Roman" w:cs="Times New Roman" w:eastAsia="Times New Roman" w:hAnsi="Times New Roman"/>
          <w:sz w:val="24"/>
          <w:szCs w:val="24"/>
        </w:rPr>
        <w:t xml:space="preserve">Out-of-distribution input — Gaussian noise — produces reconstruction error 2× higher (matched magnitude) and roughly 750× higher (raw white noise) than real MD&amp;A sentences. The autoencoders demonstrably learned the structure of MiniLM-encoded MD&amp;A text.</w:t>
      </w:r>
    </w:p>
    <w:p>
      <w:pPr>
        <w:pStyle w:val="Heading2"/>
        <w:spacing w:after="140" w:before="280" w:line="280" w:lineRule="auto"/>
      </w:pPr>
      <w:r>
        <w:rPr>
          <w:rFonts w:ascii="Times New Roman" w:cs="Times New Roman" w:eastAsia="Times New Roman" w:hAnsi="Times New Roman"/>
          <w:b/>
          <w:bCs/>
          <w:sz w:val="28"/>
          <w:szCs w:val="28"/>
        </w:rPr>
        <w:t xml:space="preserve">G.3 The painful gap that explains the negative result</w:t>
      </w:r>
    </w:p>
    <w:p>
      <w:pPr>
        <w:spacing w:after="120" w:before="120" w:line="240" w:lineRule="auto"/>
        <w:jc w:val="center"/>
      </w:pPr>
      <w:r>
        <w:drawing>
          <wp:inline distT="0" distB="0" distL="0" distR="0">
            <wp:extent cx="5486400" cy="3429000"/>
            <wp:effectExtent t="0" r="0" b="0" l="0"/>
            <wp:docPr id="1" name="recon_error_hist_per_cohort.png" descr="recon_error_hist_per_cohort.png" title="recon_error_hist_per_co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G.2. Per-cohort per-sentence reconstruction-error distributions: fraud sentences (canary) vs peer sentences (gray). The fraud and peer distributions overlap heavily in every cohort — only Lehman shows a slight rightward shift in the fraud distribution.</w:t>
      </w:r>
    </w:p>
    <w:p>
      <w:pPr>
        <w:spacing w:after="120" w:before="120" w:line="240" w:lineRule="auto"/>
        <w:jc w:val="center"/>
      </w:pPr>
      <w:r>
        <w:drawing>
          <wp:inline distT="0" distB="0" distL="0" distR="0">
            <wp:extent cx="5486400" cy="3429000"/>
            <wp:effectExtent t="0" r="0" b="0" l="0"/>
            <wp:docPr id="1" name="dynamic_range_per_cohort.png" descr="dynamic_range_per_cohort.png" title="dynamic_range_per_co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G.3. Filing-level mean per-sentence reconstruction error per cohort: fraud (★) vs peers (•). The within-cohort dynamic range is the basis of the per-fraud rank metric reported in Section 7.2.</w:t>
      </w:r>
    </w:p>
    <w:p>
      <w:pPr>
        <w:spacing w:line="480" w:lineRule="auto"/>
        <w:ind w:firstLine="360"/>
      </w:pPr>
      <w:r>
        <w:rPr>
          <w:rFonts w:ascii="Times New Roman" w:cs="Times New Roman" w:eastAsia="Times New Roman" w:hAnsi="Times New Roman"/>
          <w:sz w:val="24"/>
          <w:szCs w:val="24"/>
        </w:rPr>
        <w:t xml:space="preserve">Table G.1 also makes the negative result visible: real fraud and real peer sentences differ by roughly 10% in mean reconstruction error (around 0.0013 vs around 0.0014), whereas real text and matched-magnitude Gaussian noise differ by approximately 100% (around 0.0014 vs around 0.0029). The model can clearly distinguish MD&amp;A text from non-text; it cannot reliably distinguish fraud-filing MD&amp;A from clean-peer MD&amp;A. That gap is the substantive finding of the project.</w:t>
      </w:r>
    </w:p>
    <w:p>
      <w:pPr>
        <w:spacing w:line="480" w:lineRule="auto"/>
        <w:ind w:firstLine="360"/>
      </w:pPr>
      <w:r>
        <w:rPr>
          <w:rFonts w:ascii="Times New Roman" w:cs="Times New Roman" w:eastAsia="Times New Roman" w:hAnsi="Times New Roman"/>
          <w:sz w:val="24"/>
          <w:szCs w:val="24"/>
        </w:rPr>
        <w:t xml:space="preserve">Reading these diagnostics together: the autoencoders are real, working, and well-trained models in the technical sense — they reconstruct in-distribution input two orders of magnitude better than out-of-distribution input. The autoencoders are not, however, useful detectors of accounting fraud at this dataset size on this signal. Distinguishing those two claims is the central methodological discipline of the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Canary — Arsenii Chan — CSC 44800 — </w:t>
    </w: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d5646e1f8de7cb25ffd60afb4fe18684589b0f.png"/><Relationship Id="rId9" Type="http://schemas.openxmlformats.org/officeDocument/2006/relationships/image" Target="media/4fd84685653903ab349cd8095277b04128e40eb0.png"/><Relationship Id="rId10" Type="http://schemas.openxmlformats.org/officeDocument/2006/relationships/image" Target="media/160cb7007f9f308df674033ea17b6170b3383794.png"/><Relationship Id="rId11" Type="http://schemas.openxmlformats.org/officeDocument/2006/relationships/image" Target="media/2ddaf5db82951bfd82de4bb1e43affdc95a24713.png"/><Relationship Id="rId12" Type="http://schemas.openxmlformats.org/officeDocument/2006/relationships/image" Target="media/17935f9b32962085dcf4754d5027076c9a54b4b2.png"/><Relationship Id="rId13" Type="http://schemas.openxmlformats.org/officeDocument/2006/relationships/image" Target="media/e922d3498ec587b8a3e43e9ea39fc061d2884796.png"/><Relationship Id="rId14" Type="http://schemas.openxmlformats.org/officeDocument/2006/relationships/image" Target="media/3bf7444ce522c7ebba5970c91a3e29d764f6eedf.png"/><Relationship Id="rId15" Type="http://schemas.openxmlformats.org/officeDocument/2006/relationships/image" Target="media/9c6133b4ac0a3100e6434903f67cc06d099f12eb.png"/><Relationship Id="rId16" Type="http://schemas.openxmlformats.org/officeDocument/2006/relationships/image" Target="media/cb2ed15c9dfc09b8a74c36aa2a6d7f3a0fa7605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2026-05-02T17:08:54.686Z</dcterms:created>
  <dcterms:modified xsi:type="dcterms:W3CDTF">2026-05-02T17:08:54.687Z</dcterms:modified>
</cp:coreProperties>
</file>

<file path=docProps/custom.xml><?xml version="1.0" encoding="utf-8"?>
<Properties xmlns="http://schemas.openxmlformats.org/officeDocument/2006/custom-properties" xmlns:vt="http://schemas.openxmlformats.org/officeDocument/2006/docPropsVTypes"/>
</file>