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Verdana" w:cs="Verdana" w:eastAsia="Verdana" w:hAnsi="Verdan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Verdana" w:cs="Verdana" w:eastAsia="Verdana" w:hAnsi="Verdan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Verdana" w:cs="Verdana" w:eastAsia="Verdana" w:hAnsi="Verdan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Verdana" w:cs="Verdana" w:eastAsia="Verdana" w:hAnsi="Verdan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Verdana" w:cs="Verdana" w:eastAsia="Verdana" w:hAnsi="Verdan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Verdana" w:cs="Verdana" w:eastAsia="Verdana" w:hAnsi="Verdana"/>
          <w:b w:val="1"/>
          <w:sz w:val="48"/>
          <w:szCs w:val="48"/>
        </w:rPr>
      </w:pPr>
      <w:r w:rsidDel="00000000" w:rsidR="00000000" w:rsidRPr="00000000">
        <w:rPr>
          <w:rFonts w:ascii="Verdana" w:cs="Verdana" w:eastAsia="Verdana" w:hAnsi="Verdana"/>
          <w:b w:val="1"/>
          <w:sz w:val="48"/>
          <w:szCs w:val="48"/>
          <w:rtl w:val="0"/>
        </w:rPr>
        <w:t xml:space="preserve">Virtuelizacija procesa</w:t>
      </w:r>
    </w:p>
    <w:p w:rsidR="00000000" w:rsidDel="00000000" w:rsidP="00000000" w:rsidRDefault="00000000" w:rsidRPr="00000000" w14:paraId="00000007">
      <w:pPr>
        <w:jc w:val="center"/>
        <w:rPr>
          <w:rFonts w:ascii="Verdana" w:cs="Verdana" w:eastAsia="Verdana" w:hAnsi="Verdan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Verdana" w:cs="Verdana" w:eastAsia="Verdana" w:hAnsi="Verdana"/>
          <w:b w:val="1"/>
          <w:sz w:val="40"/>
          <w:szCs w:val="40"/>
        </w:rPr>
      </w:pPr>
      <w:r w:rsidDel="00000000" w:rsidR="00000000" w:rsidRPr="00000000">
        <w:rPr>
          <w:rFonts w:ascii="Verdana" w:cs="Verdana" w:eastAsia="Verdana" w:hAnsi="Verdana"/>
          <w:b w:val="1"/>
          <w:sz w:val="40"/>
          <w:szCs w:val="40"/>
          <w:rtl w:val="0"/>
        </w:rPr>
        <w:t xml:space="preserve">Evidencija prognozirane i ostvarene potrošnje električne energije</w:t>
      </w:r>
    </w:p>
    <w:p w:rsidR="00000000" w:rsidDel="00000000" w:rsidP="00000000" w:rsidRDefault="00000000" w:rsidRPr="00000000" w14:paraId="00000009">
      <w:pPr>
        <w:jc w:val="right"/>
        <w:rPr>
          <w:rFonts w:ascii="Verdana" w:cs="Verdana" w:eastAsia="Verdana" w:hAnsi="Verdan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rFonts w:ascii="Verdana" w:cs="Verdana" w:eastAsia="Verdana" w:hAnsi="Verdan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rFonts w:ascii="Verdana" w:cs="Verdana" w:eastAsia="Verdana" w:hAnsi="Verdan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rFonts w:ascii="Verdana" w:cs="Verdana" w:eastAsia="Verdana" w:hAnsi="Verdan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Verdana" w:cs="Verdana" w:eastAsia="Verdana" w:hAnsi="Verdan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Verdana" w:cs="Verdana" w:eastAsia="Verdana" w:hAnsi="Verdan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rFonts w:ascii="Verdana" w:cs="Verdana" w:eastAsia="Verdana" w:hAnsi="Verdan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Verdana" w:cs="Verdana" w:eastAsia="Verdana" w:hAnsi="Verdan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PR44-2020 Luka Išpanović</w:t>
      </w:r>
    </w:p>
    <w:p w:rsidR="00000000" w:rsidDel="00000000" w:rsidP="00000000" w:rsidRDefault="00000000" w:rsidRPr="00000000" w14:paraId="00000012">
      <w:pPr>
        <w:jc w:val="right"/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PR45-2020 Boban Jovičić</w:t>
      </w:r>
    </w:p>
    <w:p w:rsidR="00000000" w:rsidDel="00000000" w:rsidP="00000000" w:rsidRDefault="00000000" w:rsidRPr="00000000" w14:paraId="00000013">
      <w:pPr>
        <w:jc w:val="right"/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PR46-2020 Dragan Gavrić</w:t>
      </w:r>
    </w:p>
    <w:p w:rsidR="00000000" w:rsidDel="00000000" w:rsidP="00000000" w:rsidRDefault="00000000" w:rsidRPr="00000000" w14:paraId="00000014">
      <w:pPr>
        <w:jc w:val="right"/>
        <w:rPr>
          <w:rFonts w:ascii="Verdana" w:cs="Verdana" w:eastAsia="Verdana" w:hAnsi="Verdana"/>
          <w:b w:val="1"/>
          <w:sz w:val="40"/>
          <w:szCs w:val="40"/>
        </w:rPr>
      </w:pP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PR52-2020 Arsenije Knežević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Verdana" w:cs="Verdana" w:eastAsia="Verdana" w:hAnsi="Verdan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Verdana" w:cs="Verdana" w:eastAsia="Verdana" w:hAnsi="Verdana"/>
          <w:b w:val="1"/>
          <w:sz w:val="40"/>
          <w:szCs w:val="40"/>
        </w:rPr>
      </w:pPr>
      <w:r w:rsidDel="00000000" w:rsidR="00000000" w:rsidRPr="00000000">
        <w:rPr>
          <w:rFonts w:ascii="Verdana" w:cs="Verdana" w:eastAsia="Verdana" w:hAnsi="Verdana"/>
          <w:b w:val="1"/>
          <w:sz w:val="40"/>
          <w:szCs w:val="40"/>
          <w:rtl w:val="0"/>
        </w:rPr>
        <w:t xml:space="preserve">Opis zadatka</w:t>
      </w:r>
    </w:p>
    <w:p w:rsidR="00000000" w:rsidDel="00000000" w:rsidP="00000000" w:rsidRDefault="00000000" w:rsidRPr="00000000" w14:paraId="00000017">
      <w:pPr>
        <w:jc w:val="center"/>
        <w:rPr>
          <w:rFonts w:ascii="Verdana" w:cs="Verdana" w:eastAsia="Verdana" w:hAnsi="Verdan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Osnovni zadatak ovog projekta jeste da se olakšano vodi evidencija potrošnje električne energije. Klijent ima ulogu kompanije za prenos električne energije, i preko ovog programa ima jednostavan način da sagleda planiranu i ostvarenu potrošnju električne energije. Servis pruža ove usluge klijentu tako što prihvata podatke o potrošnji iz CSV datoteka, i te podatke koristi kako bi proračunao odstupanje između planirane i ostvarene potrošnje, korišćenjem metoda apsolutnog procentualnog odstupanja kao i kvadratnog odstupanja. Podaci su sačuvani u bazama podataka koje uzimaju formu XML baza podataka, ili In-Memory baza podataka.</w:t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Verdana" w:cs="Verdana" w:eastAsia="Verdana" w:hAnsi="Verdana"/>
          <w:b w:val="1"/>
          <w:sz w:val="40"/>
          <w:szCs w:val="40"/>
        </w:rPr>
      </w:pPr>
      <w:r w:rsidDel="00000000" w:rsidR="00000000" w:rsidRPr="00000000">
        <w:rPr>
          <w:rFonts w:ascii="Verdana" w:cs="Verdana" w:eastAsia="Verdana" w:hAnsi="Verdana"/>
          <w:b w:val="1"/>
          <w:sz w:val="40"/>
          <w:szCs w:val="40"/>
          <w:rtl w:val="0"/>
        </w:rPr>
        <w:t xml:space="preserve">Interfejs i funkcionalnosti</w:t>
      </w:r>
    </w:p>
    <w:p w:rsidR="00000000" w:rsidDel="00000000" w:rsidP="00000000" w:rsidRDefault="00000000" w:rsidRPr="00000000" w14:paraId="0000001B">
      <w:pPr>
        <w:jc w:val="center"/>
        <w:rPr>
          <w:rFonts w:ascii="Verdana" w:cs="Verdana" w:eastAsia="Verdana" w:hAnsi="Verdan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Klijent može da unosi podatke iz izabranog folderau bazu podataka preko interfejsa koji pita korisnika za ime foldera iz kojeg želi da unese datoteke. Podaci se mogu unositi u XML bazu podataka ili u In-Memory bazu podataka, u zavisnosti od podešene vrednosti u app.config fajlu servisa. Klijent može da dobije izračunatu vrednost odstupanja planirane i ostvarene potrošnje putem apsolutnog procentualnog odstupanja ili kvadratnog odstupanja u zavisnosti od podešenog parametra u app.config fajlu servisa.</w:t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Korisnički interfejs je pojednostavljen radi olakšavanja korišćenja programa, tako da je jedini korisnikov zadatak da pruža apsolutnu putanju foldera iz kojeg želi da unese podatke.</w:t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Verdana" w:cs="Verdana" w:eastAsia="Verdana" w:hAnsi="Verdana"/>
          <w:b w:val="1"/>
          <w:sz w:val="40"/>
          <w:szCs w:val="40"/>
        </w:rPr>
      </w:pPr>
      <w:r w:rsidDel="00000000" w:rsidR="00000000" w:rsidRPr="00000000">
        <w:rPr>
          <w:rFonts w:ascii="Verdana" w:cs="Verdana" w:eastAsia="Verdana" w:hAnsi="Verdana"/>
          <w:b w:val="1"/>
          <w:sz w:val="40"/>
          <w:szCs w:val="40"/>
          <w:rtl w:val="0"/>
        </w:rPr>
        <w:t xml:space="preserve">Activity diagram</w:t>
      </w:r>
      <w:r w:rsidDel="00000000" w:rsidR="00000000" w:rsidRPr="00000000">
        <w:rPr>
          <w:rFonts w:ascii="Verdana" w:cs="Verdana" w:eastAsia="Verdana" w:hAnsi="Verdana"/>
          <w:b w:val="1"/>
          <w:sz w:val="40"/>
          <w:szCs w:val="40"/>
        </w:rPr>
        <w:drawing>
          <wp:inline distB="114300" distT="114300" distL="114300" distR="114300">
            <wp:extent cx="5248275" cy="77866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786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Verdana" w:cs="Verdana" w:eastAsia="Verdana" w:hAnsi="Verdana"/>
          <w:b w:val="1"/>
          <w:sz w:val="40"/>
          <w:szCs w:val="40"/>
        </w:rPr>
      </w:pPr>
      <w:r w:rsidDel="00000000" w:rsidR="00000000" w:rsidRPr="00000000">
        <w:rPr>
          <w:rFonts w:ascii="Verdana" w:cs="Verdana" w:eastAsia="Verdana" w:hAnsi="Verdana"/>
          <w:b w:val="1"/>
          <w:sz w:val="40"/>
          <w:szCs w:val="40"/>
          <w:rtl w:val="0"/>
        </w:rPr>
        <w:t xml:space="preserve">Iskorišćene tehnologije</w:t>
      </w:r>
    </w:p>
    <w:p w:rsidR="00000000" w:rsidDel="00000000" w:rsidP="00000000" w:rsidRDefault="00000000" w:rsidRPr="00000000" w14:paraId="00000021">
      <w:pPr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Osnova implementacije projekta je Windows communication foundation, ili WCF, koji omogućava komunikaciju između klijenta i servisa. </w:t>
      </w:r>
    </w:p>
    <w:p w:rsidR="00000000" w:rsidDel="00000000" w:rsidP="00000000" w:rsidRDefault="00000000" w:rsidRPr="00000000" w14:paraId="00000023">
      <w:pPr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Kod projekta je podeljen između četiri namespace-a: Client, common, database i service.</w:t>
      </w:r>
    </w:p>
    <w:p w:rsidR="00000000" w:rsidDel="00000000" w:rsidP="00000000" w:rsidRDefault="00000000" w:rsidRPr="00000000" w14:paraId="00000024">
      <w:pPr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Client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je komponenta koja implementira korisnički interfejs koji zahteva unos putanje datoteke, i uz pomoć WCF-a prenosi fajlove kao MemoryStream objekat.</w:t>
      </w:r>
    </w:p>
    <w:p w:rsidR="00000000" w:rsidDel="00000000" w:rsidP="00000000" w:rsidRDefault="00000000" w:rsidRPr="00000000" w14:paraId="00000025">
      <w:pPr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Common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je komponenta koja sadrži klase koje su iskorišćene u više delova programa.</w:t>
      </w:r>
    </w:p>
    <w:p w:rsidR="00000000" w:rsidDel="00000000" w:rsidP="00000000" w:rsidRDefault="00000000" w:rsidRPr="00000000" w14:paraId="00000026">
      <w:pPr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je komponenta koja sadrži sve funkcije korišćene za baratanjem XML i In-Memory bazama podataka.</w:t>
      </w:r>
    </w:p>
    <w:p w:rsidR="00000000" w:rsidDel="00000000" w:rsidP="00000000" w:rsidRDefault="00000000" w:rsidRPr="00000000" w14:paraId="00000027">
      <w:pPr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Service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je komponenta koja sadrži klase koje se bave čitanjem CSV fajlova kao i funkcije koje su korišćene za računanje apsolutnog i kvadratnog odstupanja.</w:t>
      </w:r>
    </w:p>
    <w:p w:rsidR="00000000" w:rsidDel="00000000" w:rsidP="00000000" w:rsidRDefault="00000000" w:rsidRPr="00000000" w14:paraId="00000028">
      <w:pPr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Verdana" w:cs="Verdana" w:eastAsia="Verdana" w:hAnsi="Verdana"/>
          <w:b w:val="1"/>
          <w:sz w:val="40"/>
          <w:szCs w:val="40"/>
        </w:rPr>
      </w:pPr>
      <w:r w:rsidDel="00000000" w:rsidR="00000000" w:rsidRPr="00000000">
        <w:rPr>
          <w:rFonts w:ascii="Verdana" w:cs="Verdana" w:eastAsia="Verdana" w:hAnsi="Verdana"/>
          <w:b w:val="1"/>
          <w:sz w:val="40"/>
          <w:szCs w:val="40"/>
          <w:rtl w:val="0"/>
        </w:rPr>
        <w:t xml:space="preserve">Zaključak</w:t>
      </w:r>
    </w:p>
    <w:p w:rsidR="00000000" w:rsidDel="00000000" w:rsidP="00000000" w:rsidRDefault="00000000" w:rsidRPr="00000000" w14:paraId="0000002A">
      <w:pPr>
        <w:jc w:val="center"/>
        <w:rPr>
          <w:rFonts w:ascii="Verdana" w:cs="Verdana" w:eastAsia="Verdana" w:hAnsi="Verdan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Ovaj program koristi WCF kako bi uspostavio jednostavnu komunikaciju između kompanije za prenos električne energije i baze podataka koja čuva njihove zapisane podatke i servisa koji im računa određene vrednosti.</w:t>
      </w:r>
    </w:p>
    <w:p w:rsidR="00000000" w:rsidDel="00000000" w:rsidP="00000000" w:rsidRDefault="00000000" w:rsidRPr="00000000" w14:paraId="0000002C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U daljem razvoju programa bi se mogla povećati uloga korisnika dodavanjem većeg broja opcija za analizu podataka, kao i određene vrste filtriranja podataka.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