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173.png" ContentType="image/png"/>
  <Override PartName="/word/media/rId177.png" ContentType="image/png"/>
  <Override PartName="/word/media/rId31.png" ContentType="image/png"/>
  <Override PartName="/word/media/rId37.png" ContentType="image/png"/>
  <Override PartName="/word/media/rId74.png" ContentType="image/png"/>
  <Override PartName="/word/media/rId107.png" ContentType="image/png"/>
  <Override PartName="/word/media/rId136.png" ContentType="image/png"/>
  <Override PartName="/word/media/rId168.png" ContentType="image/png"/>
  <Override PartName="/word/media/rId88.png" ContentType="image/png"/>
  <Override PartName="/word/media/rId80.png" ContentType="image/png"/>
  <Override PartName="/word/media/rId100.png" ContentType="image/png"/>
  <Override PartName="/word/media/rId158.png" ContentType="image/png"/>
  <Override PartName="/word/media/rId154.png" ContentType="image/png"/>
  <Override PartName="/word/media/rId162.png" ContentType="image/png"/>
  <Override PartName="/word/media/rId150.png" ContentType="image/png"/>
  <Override PartName="/word/media/rId146.png" ContentType="image/png"/>
  <Override PartName="/word/media/rId142.png" ContentType="image/png"/>
  <Override PartName="/word/media/rId84.png" ContentType="image/png"/>
  <Override PartName="/word/media/rId92.png" ContentType="image/png"/>
  <Override PartName="/word/media/rId96.png" ContentType="image/png"/>
  <Override PartName="/word/media/rId63.png" ContentType="image/png"/>
  <Override PartName="/word/media/rId47.png" ContentType="image/png"/>
  <Override PartName="/word/media/rId51.png" ContentType="image/png"/>
  <Override PartName="/word/media/rId43.png" ContentType="image/png"/>
  <Override PartName="/word/media/rId67.png" ContentType="image/png"/>
  <Override PartName="/word/media/rId117.png" ContentType="image/png"/>
  <Override PartName="/word/media/rId125.png" ContentType="image/png"/>
  <Override PartName="/word/media/rId113.png" ContentType="image/png"/>
  <Override PartName="/word/media/rId129.png" ContentType="image/png"/>
  <Override PartName="/word/media/rId121.png" ContentType="image/png"/>
  <Override PartName="/word/media/rId55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Основные модели. Модель SIR и модель Лотки-Вольтерры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является:</w:t>
      </w:r>
    </w:p>
    <w:p>
      <w:pPr>
        <w:pStyle w:val="Compact"/>
        <w:numPr>
          <w:ilvl w:val="0"/>
          <w:numId w:val="1001"/>
        </w:numPr>
      </w:pPr>
      <w:r>
        <w:t xml:space="preserve">изучение трёхпараметрической модели SIR (эпидемиология);</w:t>
      </w:r>
    </w:p>
    <w:p>
      <w:pPr>
        <w:pStyle w:val="Compact"/>
        <w:numPr>
          <w:ilvl w:val="0"/>
          <w:numId w:val="1001"/>
        </w:numPr>
      </w:pPr>
      <w:r>
        <w:t xml:space="preserve">изучение модели Лотки-Вольтерры (экология, хищник-жертва);</w:t>
      </w:r>
    </w:p>
    <w:p>
      <w:pPr>
        <w:pStyle w:val="Compact"/>
        <w:numPr>
          <w:ilvl w:val="0"/>
          <w:numId w:val="1001"/>
        </w:numPr>
      </w:pPr>
      <w:r>
        <w:t xml:space="preserve">реализация моделей на языке Julia с использованием пакета DifferentialEquations.jl;</w:t>
      </w:r>
    </w:p>
    <w:p>
      <w:pPr>
        <w:pStyle w:val="Compact"/>
        <w:numPr>
          <w:ilvl w:val="0"/>
          <w:numId w:val="1001"/>
        </w:numPr>
      </w:pPr>
      <w:r>
        <w:t xml:space="preserve">выполнение кода в литературном стиле программирования с помощью Literate.jl;</w:t>
      </w:r>
    </w:p>
    <w:p>
      <w:pPr>
        <w:pStyle w:val="Compact"/>
        <w:numPr>
          <w:ilvl w:val="0"/>
          <w:numId w:val="1001"/>
        </w:numPr>
      </w:pPr>
      <w:r>
        <w:t xml:space="preserve">генерация производных форматов (чистый код, Jupyter Notebook, Quarto-документация);</w:t>
      </w:r>
    </w:p>
    <w:p>
      <w:pPr>
        <w:pStyle w:val="Compact"/>
        <w:numPr>
          <w:ilvl w:val="0"/>
          <w:numId w:val="1001"/>
        </w:numPr>
      </w:pPr>
      <w:r>
        <w:t xml:space="preserve">анализ результатов моделирования и построение графиков.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2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2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2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из литературного кода: чистый код, Jupyter notebook, документацию в формате Quarto.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документацию в формате Quarto в отчёт.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3" w:name="модель-sir"/>
    <w:p>
      <w:pPr>
        <w:pStyle w:val="Heading2"/>
      </w:pPr>
      <w:r>
        <w:t xml:space="preserve">3.1 Модель SIR</w:t>
      </w:r>
    </w:p>
    <w:p>
      <w:pPr>
        <w:pStyle w:val="FirstParagraph"/>
      </w:pPr>
      <w:r>
        <w:t xml:space="preserve">Модель SIR — классическая математическая модель эпидемиологии, описывающая распространение инфекционного заболевания в закрытой популяции.</w:t>
      </w:r>
    </w:p>
    <w:p>
      <w:pPr>
        <w:pStyle w:val="BodyText"/>
      </w:pPr>
      <w:r>
        <w:t xml:space="preserve">Модель делит популяцию на три группы: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— восприимчивые (Susceptible): не болеют, могут заразиться;</w:t>
      </w:r>
    </w:p>
    <w:p>
      <w:pPr>
        <w:pStyle w:val="Compact"/>
        <w:numPr>
          <w:ilvl w:val="0"/>
          <w:numId w:val="1003"/>
        </w:numPr>
      </w:pPr>
      <m:oMath>
        <m:r>
          <m:t>I</m:t>
        </m:r>
      </m:oMath>
      <w:r>
        <w:t xml:space="preserve"> </w:t>
      </w:r>
      <w:r>
        <w:t xml:space="preserve">— инфицированные (Infectious): больны и заразны;</w:t>
      </w:r>
    </w:p>
    <w:p>
      <w:pPr>
        <w:pStyle w:val="Compact"/>
        <w:numPr>
          <w:ilvl w:val="0"/>
          <w:numId w:val="1003"/>
        </w:numPr>
      </w:pPr>
      <m:oMath>
        <m:r>
          <m:t>R</m:t>
        </m:r>
      </m:oMath>
      <w:r>
        <w:t xml:space="preserve"> </w:t>
      </w:r>
      <w:r>
        <w:t xml:space="preserve">— выздоровевшие (Recovered): переболели и имеют иммунитет.</w:t>
      </w:r>
    </w:p>
    <w:bookmarkStart w:id="22" w:name="трёхпараметрическая-модель"/>
    <w:p>
      <w:pPr>
        <w:pStyle w:val="Heading3"/>
      </w:pPr>
      <w:r>
        <w:t xml:space="preserve">3.1.1 Трёхпараметрическая модель</w:t>
      </w:r>
    </w:p>
    <w:p>
      <w:pPr>
        <w:pStyle w:val="FirstParagraph"/>
      </w:pPr>
      <w:r>
        <w:t xml:space="preserve">Система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I</m:t>
              </m:r>
              <m:r>
                <m:t>S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I</m:t>
              </m:r>
              <m:r>
                <m:t>S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w:r>
        <w:t xml:space="preserve">Параметры:</w:t>
      </w:r>
    </w:p>
    <w:p>
      <w:pPr>
        <w:pStyle w:val="Compact"/>
        <w:numPr>
          <w:ilvl w:val="0"/>
          <w:numId w:val="1004"/>
        </w:numPr>
      </w:pPr>
      <m:oMath>
        <m:r>
          <m:t>β</m:t>
        </m:r>
      </m:oMath>
      <w:r>
        <w:t xml:space="preserve"> </w:t>
      </w:r>
      <w:r>
        <w:t xml:space="preserve">— вероятность передачи инфекции при контакте (0–1);</w:t>
      </w:r>
    </w:p>
    <w:p>
      <w:pPr>
        <w:pStyle w:val="Compact"/>
        <w:numPr>
          <w:ilvl w:val="0"/>
          <w:numId w:val="1004"/>
        </w:numPr>
      </w:pPr>
      <m:oMath>
        <m:r>
          <m:t>c</m:t>
        </m:r>
      </m:oMath>
      <w:r>
        <w:t xml:space="preserve"> </w:t>
      </w:r>
      <w:r>
        <w:t xml:space="preserve">— среднее число контактов в единицу времени;</w:t>
      </w:r>
    </w:p>
    <w:p>
      <w:pPr>
        <w:pStyle w:val="Compact"/>
        <w:numPr>
          <w:ilvl w:val="0"/>
          <w:numId w:val="1004"/>
        </w:numPr>
      </w:pPr>
      <m:oMath>
        <m:r>
          <m:t>γ</m:t>
        </m:r>
      </m:oMath>
      <w:r>
        <w:t xml:space="preserve"> </w:t>
      </w:r>
      <w:r>
        <w:t xml:space="preserve">— скорость выздоровления (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 </w:t>
      </w:r>
      <w:r>
        <w:t xml:space="preserve">— средняя продолжительность болезни).</w:t>
      </w:r>
    </w:p>
    <w:p>
      <w:pPr>
        <w:pStyle w:val="FirstParagraph"/>
      </w:pPr>
      <w:r>
        <w:t xml:space="preserve">Базовое репродуктивное число: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⋅</m:t>
            </m:r>
            <m:r>
              <m:t>β</m:t>
            </m:r>
          </m:num>
          <m:den>
            <m:r>
              <m:t>γ</m:t>
            </m:r>
          </m:den>
        </m:f>
      </m:oMath>
      <w:r>
        <w:t xml:space="preserve">.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эпидемия растёт,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— затухает.</w:t>
      </w:r>
    </w:p>
    <w:p>
      <w:pPr>
        <w:pStyle w:val="BodyText"/>
      </w:pPr>
      <w:r>
        <w:t xml:space="preserve">Порог коллективного иммунитета: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2"/>
    <w:bookmarkEnd w:id="23"/>
    <w:bookmarkStart w:id="24" w:name="модель-лотки-вольтерры"/>
    <w:p>
      <w:pPr>
        <w:pStyle w:val="Heading2"/>
      </w:pPr>
      <w:r>
        <w:t xml:space="preserve">3.2 Модель Лотки-Вольтерры</w:t>
      </w:r>
    </w:p>
    <w:p>
      <w:pPr>
        <w:pStyle w:val="FirstParagraph"/>
      </w:pPr>
      <w:r>
        <w:t xml:space="preserve">Модель Лотки-Вольтерры — фундаментальная модель экологии, описывающая динамику взаимодействия двух видов: хищников и жертв.</w:t>
      </w:r>
    </w:p>
    <w:p>
      <w:pPr>
        <w:pStyle w:val="BodyText"/>
      </w:pPr>
      <w:r>
        <w:t xml:space="preserve">Система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</m:oMath>
      </m:oMathPara>
    </w:p>
    <w:p>
      <w:pPr>
        <w:pStyle w:val="FirstParagraph"/>
      </w:pPr>
      <w:r>
        <w:t xml:space="preserve">Параметры:</w:t>
      </w:r>
    </w:p>
    <w:p>
      <w:pPr>
        <w:pStyle w:val="Compact"/>
        <w:numPr>
          <w:ilvl w:val="0"/>
          <w:numId w:val="1005"/>
        </w:numPr>
      </w:pPr>
      <m:oMath>
        <m:r>
          <m:t>x</m:t>
        </m:r>
      </m:oMath>
      <w:r>
        <w:t xml:space="preserve"> </w:t>
      </w:r>
      <w:r>
        <w:t xml:space="preserve">— популяция жертв,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популяция хищников;</w:t>
      </w:r>
    </w:p>
    <w:p>
      <w:pPr>
        <w:pStyle w:val="Compact"/>
        <w:numPr>
          <w:ilvl w:val="0"/>
          <w:numId w:val="1005"/>
        </w:numPr>
      </w:pPr>
      <m:oMath>
        <m:r>
          <m:t>α</m:t>
        </m:r>
      </m:oMath>
      <w:r>
        <w:t xml:space="preserve"> </w:t>
      </w:r>
      <w:r>
        <w:t xml:space="preserve">— скорость размножения жертв;</w:t>
      </w:r>
    </w:p>
    <w:p>
      <w:pPr>
        <w:pStyle w:val="Compact"/>
        <w:numPr>
          <w:ilvl w:val="0"/>
          <w:numId w:val="1005"/>
        </w:numPr>
      </w:pPr>
      <m:oMath>
        <m:r>
          <m:t>β</m:t>
        </m:r>
      </m:oMath>
      <w:r>
        <w:t xml:space="preserve"> </w:t>
      </w:r>
      <w:r>
        <w:t xml:space="preserve">— коэффициент поедания жертв хищниками;</w:t>
      </w:r>
    </w:p>
    <w:p>
      <w:pPr>
        <w:pStyle w:val="Compact"/>
        <w:numPr>
          <w:ilvl w:val="0"/>
          <w:numId w:val="1005"/>
        </w:numPr>
      </w:pPr>
      <m:oMath>
        <m:r>
          <m:t>δ</m:t>
        </m:r>
      </m:oMath>
      <w:r>
        <w:t xml:space="preserve"> </w:t>
      </w:r>
      <w:r>
        <w:t xml:space="preserve">— эффективность конверсии пищи в потомство хищников;</w:t>
      </w:r>
    </w:p>
    <w:p>
      <w:pPr>
        <w:pStyle w:val="Compact"/>
        <w:numPr>
          <w:ilvl w:val="0"/>
          <w:numId w:val="1005"/>
        </w:numPr>
      </w:pPr>
      <m:oMath>
        <m:r>
          <m:t>γ</m:t>
        </m:r>
      </m:oMath>
      <w:r>
        <w:t xml:space="preserve"> </w:t>
      </w:r>
      <w:r>
        <w:t xml:space="preserve">— естественная смертность хищников.</w:t>
      </w:r>
    </w:p>
    <w:p>
      <w:pPr>
        <w:pStyle w:val="FirstParagraph"/>
      </w:pPr>
      <w:r>
        <w:t xml:space="preserve">Стационарные точки: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γ</m:t>
        </m:r>
        <m:r>
          <m:rPr>
            <m:sty m:val="p"/>
          </m:rPr>
          <m:t>/</m:t>
        </m:r>
        <m:r>
          <m:t>δ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Система демонстрирует циклические колебания численности обоих видов.</w:t>
      </w:r>
    </w:p>
    <w:bookmarkEnd w:id="24"/>
    <w:bookmarkEnd w:id="25"/>
    <w:bookmarkStart w:id="18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0" w:name="создание-рабочего-каталога"/>
    <w:p>
      <w:pPr>
        <w:pStyle w:val="Heading2"/>
      </w:pPr>
      <w:r>
        <w:t xml:space="preserve">4.1 1. Создание рабочего каталога</w:t>
      </w:r>
    </w:p>
    <w:p>
      <w:pPr>
        <w:pStyle w:val="FirstParagraph"/>
      </w:pPr>
      <w:r>
        <w:t xml:space="preserve">Создана структура каталогов проекта DrWatson для лабораторной работы №2:</w:t>
      </w:r>
    </w:p>
    <w:p>
      <w:pPr>
        <w:pStyle w:val="SourceCode"/>
      </w:pPr>
      <w:r>
        <w:rPr>
          <w:rStyle w:val="VerbatimChar"/>
        </w:rPr>
        <w:t xml:space="preserve">labs/lab02/project/</w:t>
      </w:r>
      <w:r>
        <w:br/>
      </w:r>
      <w:r>
        <w:rPr>
          <w:rStyle w:val="VerbatimChar"/>
        </w:rPr>
        <w:t xml:space="preserve">  Project.toml, scripts/, plots/, data/, notebooks/, markdown/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1"/>
          <w:p>
            <w:pPr>
              <w:pStyle w:val="Compact"/>
              <w:jc w:val="center"/>
            </w:pPr>
            <w:r>
              <w:drawing>
                <wp:inline>
                  <wp:extent cx="4800600" cy="33383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33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Структура каталога проекта (команда cd и ls)</w:t>
            </w:r>
          </w:p>
          <w:bookmarkEnd w:id="29"/>
        </w:tc>
      </w:tr>
    </w:tbl>
    <w:bookmarkEnd w:id="30"/>
    <w:bookmarkStart w:id="35" w:name="установка-пакетов-julia"/>
    <w:p>
      <w:pPr>
        <w:pStyle w:val="Heading2"/>
      </w:pPr>
      <w:r>
        <w:t xml:space="preserve">4.2 2. Установка пакетов Julia</w:t>
      </w:r>
    </w:p>
    <w:p>
      <w:pPr>
        <w:pStyle w:val="FirstParagraph"/>
      </w:pPr>
      <w:r>
        <w:t xml:space="preserve">Установлены необходимые пакеты командой: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~/work/study/2026-1/2026-1==study--simulation-modeling/labs/lab02/project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'using Pkg; Pkg.instantiate()'</w:t>
      </w:r>
    </w:p>
    <w:p>
      <w:pPr>
        <w:pStyle w:val="FirstParagraph"/>
      </w:pPr>
      <w:r>
        <w:t xml:space="preserve">Установленные пакеты: DifferentialEquations, SimpleDiffEq, DrWatson, Plots, StatsPlots, DataFrames, LaTeXStrings, BenchmarkTools, Tables, Statistics, FFTW, Literate, IJulia, JLD2.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2"/>
          <w:p>
            <w:pPr>
              <w:pStyle w:val="Compact"/>
              <w:jc w:val="center"/>
            </w:pPr>
            <w:r>
              <w:drawing>
                <wp:inline>
                  <wp:extent cx="4800600" cy="288347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83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Процесс установки пакетов (Pkg.instantiate)</w:t>
            </w:r>
          </w:p>
          <w:bookmarkEnd w:id="34"/>
        </w:tc>
      </w:tr>
    </w:tbl>
    <w:bookmarkEnd w:id="35"/>
    <w:bookmarkStart w:id="72" w:name="реализация-модели-sir"/>
    <w:p>
      <w:pPr>
        <w:pStyle w:val="Heading2"/>
      </w:pPr>
      <w:r>
        <w:t xml:space="preserve">4.3 3. Реализация модели SIR</w:t>
      </w:r>
    </w:p>
    <w:bookmarkStart w:id="36" w:name="код-модели"/>
    <w:p>
      <w:pPr>
        <w:pStyle w:val="Heading3"/>
      </w:pPr>
      <w:r>
        <w:t xml:space="preserve">4.3.1 Код модели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scripts/sir_ode.jl</w:t>
      </w:r>
      <w:r>
        <w:t xml:space="preserve"> </w:t>
      </w:r>
      <w:r>
        <w:t xml:space="preserve">в литературном стиле. Основная функция модели: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(beta, c, gamma)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Параметры модели: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0.25</m:t>
        </m:r>
      </m:oMath>
      <w:r>
        <w:t xml:space="preserve">, начальные условия: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990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41" w:name="запуск-модели-sir"/>
    <w:p>
      <w:pPr>
        <w:pStyle w:val="Heading3"/>
      </w:pPr>
      <w:r>
        <w:t xml:space="preserve">4.3.2 Запуск модели SIR</w:t>
      </w:r>
    </w:p>
    <w:p>
      <w:pPr>
        <w:pStyle w:val="FirstParagraph"/>
      </w:pPr>
      <w:r>
        <w:t xml:space="preserve">Скрипт выполнен командой: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scripts/sir_ode.jl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3"/>
          <w:p>
            <w:pPr>
              <w:pStyle w:val="Compact"/>
              <w:jc w:val="center"/>
            </w:pPr>
            <w:r>
              <w:drawing>
                <wp:inline>
                  <wp:extent cx="4800600" cy="155086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5508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Вывод терминала при запуске sir_ode.jl</w:t>
            </w:r>
          </w:p>
          <w:bookmarkEnd w:id="40"/>
        </w:tc>
      </w:tr>
    </w:tbl>
    <w:bookmarkEnd w:id="41"/>
    <w:bookmarkStart w:id="42" w:name="результаты-sir"/>
    <w:p>
      <w:pPr>
        <w:pStyle w:val="Heading3"/>
      </w:pPr>
      <w:r>
        <w:t xml:space="preserve">4.3.3 Результаты SIR</w:t>
      </w:r>
    </w:p>
    <w:p>
      <w:pPr>
        <w:pStyle w:val="FirstParagraph"/>
      </w:pPr>
      <w:r>
        <w:t xml:space="preserve">Получены следующие результаты: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Пиковое число заражённых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154.8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достижения пика</w:t>
            </w:r>
          </w:p>
        </w:tc>
        <w:tc>
          <w:tcPr/>
          <w:p>
            <w:pPr>
              <w:pStyle w:val="Compact"/>
            </w:pPr>
            <w:r>
              <w:t xml:space="preserve">19.1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переболело</w:t>
            </w:r>
            <w: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∞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775.7 (77.6%)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Порог коллективного иммунитета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</w:tbl>
    <w:bookmarkEnd w:id="42"/>
    <w:bookmarkStart w:id="71" w:name="графики-sir"/>
    <w:p>
      <w:pPr>
        <w:pStyle w:val="Heading3"/>
      </w:pPr>
      <w:r>
        <w:t xml:space="preserve">4.3.4 Графики SIR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4"/>
          <w:p>
            <w:pPr>
              <w:pStyle w:val="Compact"/>
              <w:jc w:val="center"/>
            </w:pPr>
            <w:r>
              <w:drawing>
                <wp:inline>
                  <wp:extent cx="4533900" cy="283368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sir_main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33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Динамика эпидемии SIR: кривые S(t), I(t), R(t)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5"/>
          <w:p>
            <w:pPr>
              <w:pStyle w:val="Compact"/>
              <w:jc w:val="center"/>
            </w:pPr>
            <w:r>
              <w:drawing>
                <wp:inline>
                  <wp:extent cx="4533900" cy="226695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sir_infected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26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Динамика числа заражённых I(t) с отметкой пика эпидемии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6"/>
          <w:p>
            <w:pPr>
              <w:pStyle w:val="Compact"/>
              <w:jc w:val="center"/>
            </w:pPr>
            <w:r>
              <w:drawing>
                <wp:inline>
                  <wp:extent cx="4533900" cy="226695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sir_log_scal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26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Экспоненциальный рост заражённых (логарифмическая шкала)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7"/>
          <w:p>
            <w:pPr>
              <w:pStyle w:val="Compact"/>
              <w:jc w:val="center"/>
            </w:pPr>
            <w:r>
              <w:drawing>
                <wp:inline>
                  <wp:extent cx="4533900" cy="283368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sir_percentages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33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Динамика эпидемии в процентах с порогом коллективного иммунитета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8"/>
          <w:p>
            <w:pPr>
              <w:pStyle w:val="Compact"/>
              <w:jc w:val="center"/>
            </w:pPr>
            <w:r>
              <w:drawing>
                <wp:inline>
                  <wp:extent cx="4533900" cy="283368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sir_phase_portrait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33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Фазовый портрет SIR модели (I vs S)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9"/>
          <w:p>
            <w:pPr>
              <w:pStyle w:val="Compact"/>
              <w:jc w:val="center"/>
            </w:pPr>
            <w:r>
              <w:drawing>
                <wp:inline>
                  <wp:extent cx="4533900" cy="226695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sir_effective_R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26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Динамика эффективного репродуктивного числа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0"/>
          <w:p>
            <w:pPr>
              <w:pStyle w:val="Compact"/>
              <w:jc w:val="center"/>
            </w:pPr>
            <w:r>
              <w:drawing>
                <wp:inline>
                  <wp:extent cx="5067300" cy="33782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sir_panel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37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Компактная панель всех графиков SIR</w:t>
            </w:r>
          </w:p>
          <w:bookmarkEnd w:id="70"/>
        </w:tc>
      </w:tr>
    </w:tbl>
    <w:bookmarkEnd w:id="71"/>
    <w:bookmarkEnd w:id="72"/>
    <w:bookmarkStart w:id="105" w:name="реализация-модели-лотки-вольтерры"/>
    <w:p>
      <w:pPr>
        <w:pStyle w:val="Heading2"/>
      </w:pPr>
      <w:r>
        <w:t xml:space="preserve">4.4 4. Реализация модели Лотки-Вольтерры</w:t>
      </w:r>
    </w:p>
    <w:bookmarkStart w:id="73" w:name="код-модели-1"/>
    <w:p>
      <w:pPr>
        <w:pStyle w:val="Heading3"/>
      </w:pPr>
      <w:r>
        <w:t xml:space="preserve">4.4.1 Код модели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scripts/lv_ode.jl</w:t>
      </w:r>
      <w:r>
        <w:t xml:space="preserve"> </w:t>
      </w:r>
      <w:r>
        <w:t xml:space="preserve">в литературном стиле. Основная функция: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alpha, beta, delta,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Параметры: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0.02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0.3</m:t>
        </m:r>
      </m:oMath>
      <w:r>
        <w:t xml:space="preserve">. Начальные условия: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73"/>
    <w:bookmarkStart w:id="78" w:name="запуск-модели-лотки-вольтерры"/>
    <w:p>
      <w:pPr>
        <w:pStyle w:val="Heading3"/>
      </w:pPr>
      <w:r>
        <w:t xml:space="preserve">4.4.2 Запуск модели Лотки-Вольтерры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scripts/lv_ode.jl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1"/>
          <w:p>
            <w:pPr>
              <w:pStyle w:val="Compact"/>
              <w:jc w:val="center"/>
            </w:pPr>
            <w:r>
              <w:drawing>
                <wp:inline>
                  <wp:extent cx="4800600" cy="241417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414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Вывод терминала при запуске lv_ode.jl</w:t>
            </w:r>
          </w:p>
          <w:bookmarkEnd w:id="77"/>
        </w:tc>
      </w:tr>
    </w:tbl>
    <w:bookmarkEnd w:id="78"/>
    <w:bookmarkStart w:id="79" w:name="результаты-лотки-вольтерры"/>
    <w:p>
      <w:pPr>
        <w:pStyle w:val="Heading3"/>
      </w:pPr>
      <w:r>
        <w:t xml:space="preserve">4.4.3 Результаты Лотки-Вольтерры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Стационарная точка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Стационарная точка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Жертвы: мин / макс / среднее</w:t>
            </w:r>
          </w:p>
        </w:tc>
        <w:tc>
          <w:tcPr/>
          <w:p>
            <w:pPr>
              <w:pStyle w:val="Compact"/>
            </w:pPr>
            <w:r>
              <w:t xml:space="preserve">17.75 / 46.89 / 29.71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Хищники: мин / макс / среднее</w:t>
            </w:r>
          </w:p>
        </w:tc>
        <w:tc>
          <w:tcPr/>
          <w:p>
            <w:pPr>
              <w:pStyle w:val="Compact"/>
            </w:pPr>
            <w:r>
              <w:t xml:space="preserve">1.90 / 10.41 / 5.20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Период колебаний</w:t>
            </w:r>
          </w:p>
        </w:tc>
        <w:tc>
          <w:tcPr/>
          <w:p>
            <w:pPr>
              <w:pStyle w:val="Compact"/>
            </w:pPr>
            <w:r>
              <w:t xml:space="preserve">~36.4 ед. времени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Сдвиг фаз (хищники отстают)</w:t>
            </w:r>
          </w:p>
        </w:tc>
        <w:tc>
          <w:tcPr/>
          <w:p>
            <w:pPr>
              <w:pStyle w:val="Compact"/>
            </w:pPr>
            <w:r>
              <w:t xml:space="preserve">~30.8 ед.</w:t>
            </w:r>
          </w:p>
        </w:tc>
      </w:tr>
    </w:tbl>
    <w:bookmarkEnd w:id="79"/>
    <w:bookmarkStart w:id="104" w:name="графики-лотки-вольтерры"/>
    <w:p>
      <w:pPr>
        <w:pStyle w:val="Heading3"/>
      </w:pPr>
      <w:r>
        <w:t xml:space="preserve">4.4.4 Графики Лотки-Вольтерры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2"/>
          <w:p>
            <w:pPr>
              <w:pStyle w:val="Compact"/>
              <w:jc w:val="center"/>
            </w:pPr>
            <w:r>
              <w:drawing>
                <wp:inline>
                  <wp:extent cx="4533900" cy="2518833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lv_dynamics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5188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Динамика популяций жертв и хищников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13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lv_phase_portrait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Фазовый портрет системы с изоклинами и стационарной точкой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14"/>
          <w:p>
            <w:pPr>
              <w:pStyle w:val="Compact"/>
              <w:jc w:val="center"/>
            </w:pPr>
            <w:r>
              <w:drawing>
                <wp:inline>
                  <wp:extent cx="4533900" cy="2015066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lv_derivatives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015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Производные популяций (скорости изменения)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15"/>
          <w:p>
            <w:pPr>
              <w:pStyle w:val="Compact"/>
              <w:jc w:val="center"/>
            </w:pPr>
            <w:r>
              <w:drawing>
                <wp:inline>
                  <wp:extent cx="4533900" cy="2015066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lv_relative_changes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015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Относительные темпы роста популяций</w:t>
            </w:r>
          </w:p>
          <w:bookmarkEnd w:id="9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16"/>
          <w:p>
            <w:pPr>
              <w:pStyle w:val="Compact"/>
              <w:jc w:val="center"/>
            </w:pPr>
            <w:r>
              <w:drawing>
                <wp:inline>
                  <wp:extent cx="4533900" cy="226695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lv_spectrum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26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Спектральный анализ Фурье (определение периода колебаний)</w:t>
            </w:r>
          </w:p>
          <w:bookmarkEnd w:id="9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17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lv_panel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Компактная панель всех графиков Лотки-Вольтерры</w:t>
            </w:r>
          </w:p>
          <w:bookmarkEnd w:id="103"/>
        </w:tc>
      </w:tr>
    </w:tbl>
    <w:bookmarkEnd w:id="104"/>
    <w:bookmarkEnd w:id="105"/>
    <w:bookmarkStart w:id="134" w:name="параметрическое-исследование-модели-sir"/>
    <w:p>
      <w:pPr>
        <w:pStyle w:val="Heading2"/>
      </w:pPr>
      <w:r>
        <w:t xml:space="preserve">4.5 5. Параметрическое исследование модели SIR</w:t>
      </w:r>
    </w:p>
    <w:bookmarkStart w:id="106" w:name="описание-эксперимента"/>
    <w:p>
      <w:pPr>
        <w:pStyle w:val="Heading3"/>
      </w:pPr>
      <w:r>
        <w:t xml:space="preserve">4.5.1 Описание эксперимента</w:t>
      </w:r>
    </w:p>
    <w:p>
      <w:pPr>
        <w:pStyle w:val="FirstParagraph"/>
      </w:pPr>
      <w:r>
        <w:t xml:space="preserve">Исследовано влияние вероятности заражения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на динамику эпидемии. Параметр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варьировался в диапазоне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0.02</m:t>
            </m:r>
            <m:r>
              <m:rPr>
                <m:sty m:val="p"/>
              </m:rPr>
              <m:t>,</m:t>
            </m:r>
            <m:r>
              <m:t>0.04</m:t>
            </m:r>
            <m:r>
              <m:rPr>
                <m:sty m:val="p"/>
              </m:rPr>
              <m:t>,</m:t>
            </m:r>
            <m:r>
              <m:t>0.06</m:t>
            </m:r>
            <m:r>
              <m:rPr>
                <m:sty m:val="p"/>
              </m:rPr>
              <m:t>,</m:t>
            </m:r>
            <m:r>
              <m:t>0.08</m:t>
            </m:r>
            <m:r>
              <m:rPr>
                <m:sty m:val="p"/>
              </m:rPr>
              <m:t>,</m:t>
            </m:r>
            <m:r>
              <m:t>0.1</m:t>
            </m:r>
          </m:e>
        </m:d>
      </m:oMath>
      <w:r>
        <w:t xml:space="preserve"> </w:t>
      </w:r>
      <w:r>
        <w:t xml:space="preserve">при фиксированных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106"/>
    <w:bookmarkStart w:id="111" w:name="запуск-параметрического-сканирования"/>
    <w:p>
      <w:pPr>
        <w:pStyle w:val="Heading3"/>
      </w:pPr>
      <w:r>
        <w:t xml:space="preserve">4.5.2 Запуск параметрического сканирования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scripts/sir_ode_param.jl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18"/>
          <w:p>
            <w:pPr>
              <w:pStyle w:val="Compact"/>
              <w:jc w:val="center"/>
            </w:pPr>
            <w:r>
              <w:drawing>
                <wp:inline>
                  <wp:extent cx="4800600" cy="1936272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36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Вывод терминала при запуске sir_ode_param.jl</w:t>
            </w:r>
          </w:p>
          <w:bookmarkEnd w:id="110"/>
        </w:tc>
      </w:tr>
    </w:tbl>
    <w:bookmarkEnd w:id="111"/>
    <w:bookmarkStart w:id="112" w:name="X755abcd06b09de15224c918fc4b579f236be6d0"/>
    <w:p>
      <w:pPr>
        <w:pStyle w:val="Heading3"/>
      </w:pPr>
      <w:r>
        <w:t xml:space="preserve">4.5.3 Результаты параметрического сканирования SIR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oMath>
            <w:r>
              <w:t xml:space="preserve">, дн.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t xml:space="preserve">,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86.4</w:t>
            </w:r>
          </w:p>
        </w:tc>
        <w:tc>
          <w:tcPr/>
          <w:p>
            <w:pPr>
              <w:pStyle w:val="Compact"/>
            </w:pPr>
            <w:r>
              <w:t xml:space="preserve">25.5</w:t>
            </w:r>
          </w:p>
        </w:tc>
        <w:tc>
          <w:tcPr/>
          <w:p>
            <w:pPr>
              <w:pStyle w:val="Compact"/>
            </w:pPr>
            <w:r>
              <w:t xml:space="preserve">63.9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222.7</w:t>
            </w:r>
          </w:p>
        </w:tc>
        <w:tc>
          <w:tcPr/>
          <w:p>
            <w:pPr>
              <w:pStyle w:val="Compact"/>
            </w:pPr>
            <w:r>
              <w:t xml:space="preserve">13.8</w:t>
            </w:r>
          </w:p>
        </w:tc>
        <w:tc>
          <w:tcPr/>
          <w:p>
            <w:pPr>
              <w:pStyle w:val="Compact"/>
            </w:pPr>
            <w:r>
              <w:t xml:space="preserve">88.0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320.2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95.3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400.6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98.0</w:t>
            </w:r>
          </w:p>
        </w:tc>
      </w:tr>
    </w:tbl>
    <w:p>
      <w:pPr>
        <w:pStyle w:val="BodyText"/>
      </w:pP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=</m:t>
        </m:r>
        <m:r>
          <m:t>0.02</m:t>
        </m:r>
      </m:oMath>
      <w:r>
        <w:t xml:space="preserve">) эпидемия не развивается. С ростом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пик заражённых увеличивается, а время достижения пика уменьшается.</w:t>
      </w:r>
    </w:p>
    <w:bookmarkEnd w:id="112"/>
    <w:bookmarkStart w:id="133" w:name="Xefa1b1104c91442518c55725630b94d64a78cf5"/>
    <w:p>
      <w:pPr>
        <w:pStyle w:val="Heading3"/>
      </w:pPr>
      <w:r>
        <w:t xml:space="preserve">4.5.4 Графики параметрического исследования SIR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19"/>
          <w:p>
            <w:pPr>
              <w:pStyle w:val="Compact"/>
              <w:jc w:val="center"/>
            </w:pPr>
            <w:r>
              <w:drawing>
                <wp:inline>
                  <wp:extent cx="4533900" cy="2518833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sir_param_infected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5188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Влияние β на динамику числа заражённых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20"/>
          <w:p>
            <w:pPr>
              <w:pStyle w:val="Compact"/>
              <w:jc w:val="center"/>
            </w:pPr>
            <w:r>
              <w:drawing>
                <wp:inline>
                  <wp:extent cx="4533900" cy="226695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sir_param_R0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26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Зависимость R₀ от β с пороговой линией R₀=1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21"/>
          <w:p>
            <w:pPr>
              <w:pStyle w:val="Compact"/>
              <w:jc w:val="center"/>
            </w:pPr>
            <w:r>
              <w:drawing>
                <wp:inline>
                  <wp:extent cx="4533900" cy="226695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sir_param_peak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26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Пиковое число заражённых от β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22"/>
          <w:p>
            <w:pPr>
              <w:pStyle w:val="Compact"/>
              <w:jc w:val="center"/>
            </w:pPr>
            <w:r>
              <w:drawing>
                <wp:inline>
                  <wp:extent cx="4533900" cy="226695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sir_param_final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26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Итоговая доля переболевших от β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23"/>
          <w:p>
            <w:pPr>
              <w:pStyle w:val="Compact"/>
              <w:jc w:val="center"/>
            </w:pPr>
            <w:r>
              <w:drawing>
                <wp:inline>
                  <wp:extent cx="5067300" cy="33782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sir_param_panel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37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Компактная панель параметрического исследования SIR</w:t>
            </w:r>
          </w:p>
          <w:bookmarkEnd w:id="132"/>
        </w:tc>
      </w:tr>
    </w:tbl>
    <w:bookmarkEnd w:id="133"/>
    <w:bookmarkEnd w:id="134"/>
    <w:bookmarkStart w:id="167" w:name="X5051e20aa94d3f833212d751990c67047431f56"/>
    <w:p>
      <w:pPr>
        <w:pStyle w:val="Heading2"/>
      </w:pPr>
      <w:r>
        <w:t xml:space="preserve">4.6 6. Параметрическое исследование модели Лотки-Вольтерры</w:t>
      </w:r>
    </w:p>
    <w:bookmarkStart w:id="135" w:name="описание-эксперимента-1"/>
    <w:p>
      <w:pPr>
        <w:pStyle w:val="Heading3"/>
      </w:pPr>
      <w:r>
        <w:t xml:space="preserve">4.6.1 Описание эксперимента</w:t>
      </w:r>
    </w:p>
    <w:p>
      <w:pPr>
        <w:pStyle w:val="FirstParagraph"/>
      </w:pPr>
      <w:r>
        <w:t xml:space="preserve">Исследовано влияние скорости размножения жертв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на динамику системы хищник-жертва. Параметр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варьировался в диапазоне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0.05</m:t>
            </m:r>
            <m:r>
              <m:rPr>
                <m:sty m:val="p"/>
              </m:rPr>
              <m:t>,</m:t>
            </m:r>
            <m:r>
              <m:t>0.1</m:t>
            </m:r>
            <m:r>
              <m:rPr>
                <m:sty m:val="p"/>
              </m:rPr>
              <m:t>,</m:t>
            </m:r>
            <m:r>
              <m:t>0.15</m:t>
            </m:r>
            <m:r>
              <m:rPr>
                <m:sty m:val="p"/>
              </m:rPr>
              <m:t>,</m:t>
            </m:r>
            <m:r>
              <m:t>0.2</m:t>
            </m:r>
            <m:r>
              <m:rPr>
                <m:sty m:val="p"/>
              </m:rPr>
              <m:t>,</m:t>
            </m:r>
            <m:r>
              <m:t>0.3</m:t>
            </m:r>
          </m:e>
        </m:d>
      </m:oMath>
      <w:r>
        <w:t xml:space="preserve"> </w:t>
      </w:r>
      <w:r>
        <w:t xml:space="preserve">при фиксированных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0.02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</w:p>
    <w:bookmarkEnd w:id="135"/>
    <w:bookmarkStart w:id="140" w:name="запуск-параметрического-сканирования-1"/>
    <w:p>
      <w:pPr>
        <w:pStyle w:val="Heading3"/>
      </w:pPr>
      <w:r>
        <w:t xml:space="preserve">4.6.2 Запуск параметрического сканирования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scripts/lv_ode_param.jl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24"/>
          <w:p>
            <w:pPr>
              <w:pStyle w:val="Compact"/>
              <w:jc w:val="center"/>
            </w:pPr>
            <w:r>
              <w:drawing>
                <wp:inline>
                  <wp:extent cx="4800600" cy="1840692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40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Вывод терминала при запуске lv_ode_param.jl</w:t>
            </w:r>
          </w:p>
          <w:bookmarkEnd w:id="139"/>
        </w:tc>
      </w:tr>
    </w:tbl>
    <w:bookmarkEnd w:id="140"/>
    <w:bookmarkStart w:id="141" w:name="Xb7ab081bd4c15f7d8ad5ba0634a8c475214aa3c"/>
    <w:p>
      <w:pPr>
        <w:pStyle w:val="Heading3"/>
      </w:pPr>
      <w:r>
        <w:t xml:space="preserve">4.6.3 Результаты параметрического сканирования Лотки-Вольтерры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Жертвы: мин–макс</w:t>
            </w:r>
          </w:p>
        </w:tc>
        <w:tc>
          <w:tcPr/>
          <w:p>
            <w:pPr>
              <w:pStyle w:val="Compact"/>
            </w:pPr>
            <w:r>
              <w:t xml:space="preserve">Хищники: мин–макс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13.1–57.5</w:t>
            </w:r>
          </w:p>
        </w:tc>
        <w:tc>
          <w:tcPr/>
          <w:p>
            <w:pPr>
              <w:pStyle w:val="Compact"/>
            </w:pPr>
            <w:r>
              <w:t xml:space="preserve">0.2–9.9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17.8–46.9</w:t>
            </w:r>
          </w:p>
        </w:tc>
        <w:tc>
          <w:tcPr/>
          <w:p>
            <w:pPr>
              <w:pStyle w:val="Compact"/>
            </w:pPr>
            <w:r>
              <w:t xml:space="preserve">1.9–10.4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21.2–41.0</w:t>
            </w:r>
          </w:p>
        </w:tc>
        <w:tc>
          <w:tcPr/>
          <w:p>
            <w:pPr>
              <w:pStyle w:val="Compact"/>
            </w:pPr>
            <w:r>
              <w:t xml:space="preserve">4.5–11.6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21.5–40.4</w:t>
            </w:r>
          </w:p>
        </w:tc>
        <w:tc>
          <w:tcPr/>
          <w:p>
            <w:pPr>
              <w:pStyle w:val="Compact"/>
            </w:pPr>
            <w:r>
              <w:t xml:space="preserve">6.6–14.4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16.2–50.0</w:t>
            </w:r>
          </w:p>
        </w:tc>
        <w:tc>
          <w:tcPr/>
          <w:p>
            <w:pPr>
              <w:pStyle w:val="Compact"/>
            </w:pPr>
            <w:r>
              <w:t xml:space="preserve">8.1–25.0</w:t>
            </w:r>
          </w:p>
        </w:tc>
      </w:tr>
    </w:tbl>
    <w:p>
      <w:pPr>
        <w:pStyle w:val="BodyText"/>
      </w:pPr>
      <w:r>
        <w:t xml:space="preserve">Стационарная точка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γ</m:t>
        </m:r>
        <m:r>
          <m:rPr>
            <m:sty m:val="p"/>
          </m:rPr>
          <m:t>/</m:t>
        </m:r>
        <m:r>
          <m:t>δ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не зависит от</w:t>
      </w:r>
      <w:r>
        <w:t xml:space="preserve"> </w:t>
      </w:r>
      <m:oMath>
        <m:r>
          <m:t>α</m:t>
        </m:r>
      </m:oMath>
      <w:r>
        <w:t xml:space="preserve">, а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r>
          <m:t>β</m:t>
        </m:r>
      </m:oMath>
      <w:r>
        <w:t xml:space="preserve"> </w:t>
      </w:r>
      <w:r>
        <w:t xml:space="preserve">растёт линейно с</w:t>
      </w:r>
      <w:r>
        <w:t xml:space="preserve"> </w:t>
      </w:r>
      <m:oMath>
        <m:r>
          <m:t>α</m:t>
        </m:r>
      </m:oMath>
      <w:r>
        <w:t xml:space="preserve">.</w:t>
      </w:r>
    </w:p>
    <w:bookmarkEnd w:id="141"/>
    <w:bookmarkStart w:id="166" w:name="Xcf9e0b6f3f706a947f6cd94fea42bcb1b4ff9d5"/>
    <w:p>
      <w:pPr>
        <w:pStyle w:val="Heading3"/>
      </w:pPr>
      <w:r>
        <w:t xml:space="preserve">4.6.4 Графики параметрического исследования Лотки-Вольтерры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25"/>
          <w:p>
            <w:pPr>
              <w:pStyle w:val="Compact"/>
              <w:jc w:val="center"/>
            </w:pPr>
            <w:r>
              <w:drawing>
                <wp:inline>
                  <wp:extent cx="4533900" cy="2015066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lv_param_prey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015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Влияние α на динамику жертв</w:t>
            </w:r>
          </w:p>
          <w:bookmarkEnd w:id="1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26"/>
          <w:p>
            <w:pPr>
              <w:pStyle w:val="Compact"/>
              <w:jc w:val="center"/>
            </w:pPr>
            <w:r>
              <w:drawing>
                <wp:inline>
                  <wp:extent cx="4533900" cy="2015066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lv_param_predator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015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Влияние α на динамику хищников</w:t>
            </w:r>
          </w:p>
          <w:bookmarkEnd w:id="1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27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lv_param_phase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Фазовые портреты при разных α</w:t>
            </w:r>
          </w:p>
          <w:bookmarkEnd w:id="1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28"/>
          <w:p>
            <w:pPr>
              <w:pStyle w:val="Compact"/>
              <w:jc w:val="center"/>
            </w:pPr>
            <w:r>
              <w:drawing>
                <wp:inline>
                  <wp:extent cx="4533900" cy="226695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lv_param_equilibrium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26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Стационарные точки от α</w:t>
            </w:r>
          </w:p>
          <w:bookmarkEnd w:id="1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29"/>
          <w:p>
            <w:pPr>
              <w:pStyle w:val="Compact"/>
              <w:jc w:val="center"/>
            </w:pPr>
            <w:r>
              <w:drawing>
                <wp:inline>
                  <wp:extent cx="4533900" cy="226695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lv_param_amplitud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26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Амплитуда колебаний от α</w:t>
            </w:r>
          </w:p>
          <w:bookmarkEnd w:id="1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fig-30"/>
          <w:p>
            <w:pPr>
              <w:pStyle w:val="Compact"/>
              <w:jc w:val="center"/>
            </w:pPr>
            <w:r>
              <w:drawing>
                <wp:inline>
                  <wp:extent cx="5067300" cy="3378200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image/lv_param_panel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37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Компактная панель параметрического исследования Лотки-Вольтерры</w:t>
            </w:r>
          </w:p>
          <w:bookmarkEnd w:id="165"/>
        </w:tc>
      </w:tr>
    </w:tbl>
    <w:bookmarkEnd w:id="166"/>
    <w:bookmarkEnd w:id="167"/>
    <w:bookmarkStart w:id="172" w:name="генерация-литературных-версий"/>
    <w:p>
      <w:pPr>
        <w:pStyle w:val="Heading2"/>
      </w:pPr>
      <w:r>
        <w:t xml:space="preserve">4.7 7. Генерация литературных версий</w:t>
      </w:r>
    </w:p>
    <w:p>
      <w:pPr>
        <w:pStyle w:val="FirstParagraph"/>
      </w:pPr>
      <w:r>
        <w:t xml:space="preserve">Из всех четырёх скриптов сгенерированы производные форматы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scripts/tangle.jl scripts/sir_ode.jl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scripts/tangle.jl scripts/lv_ode.jl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scripts/tangle.jl scripts/sir_ode_param.jl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scripts/tangle.jl scripts/lv_ode_param.jl</w:t>
      </w:r>
    </w:p>
    <w:p>
      <w:pPr>
        <w:pStyle w:val="FirstParagraph"/>
      </w:pPr>
      <w:r>
        <w:t xml:space="preserve">Для каждого скрипта создано:</w:t>
      </w:r>
    </w:p>
    <w:p>
      <w:pPr>
        <w:pStyle w:val="Compact"/>
        <w:numPr>
          <w:ilvl w:val="0"/>
          <w:numId w:val="1006"/>
        </w:numPr>
      </w:pPr>
      <w:r>
        <w:t xml:space="preserve">Чистый код:</w:t>
      </w:r>
      <w:r>
        <w:t xml:space="preserve"> </w:t>
      </w:r>
      <w:r>
        <w:rPr>
          <w:rStyle w:val="VerbatimChar"/>
        </w:rPr>
        <w:t xml:space="preserve">scripts/&lt;name&gt;/&lt;name&gt;.jl</w:t>
      </w:r>
    </w:p>
    <w:p>
      <w:pPr>
        <w:pStyle w:val="Compact"/>
        <w:numPr>
          <w:ilvl w:val="0"/>
          <w:numId w:val="1006"/>
        </w:numPr>
      </w:pPr>
      <w:r>
        <w:t xml:space="preserve">Jupyter notebook:</w:t>
      </w:r>
      <w:r>
        <w:t xml:space="preserve"> </w:t>
      </w:r>
      <w:r>
        <w:rPr>
          <w:rStyle w:val="VerbatimChar"/>
        </w:rPr>
        <w:t xml:space="preserve">notebooks/&lt;name&gt;.ipynb</w:t>
      </w:r>
    </w:p>
    <w:p>
      <w:pPr>
        <w:pStyle w:val="Compact"/>
        <w:numPr>
          <w:ilvl w:val="0"/>
          <w:numId w:val="1006"/>
        </w:numPr>
      </w:pPr>
      <w:r>
        <w:t xml:space="preserve">Quarto-документ:</w:t>
      </w:r>
      <w:r>
        <w:t xml:space="preserve"> </w:t>
      </w:r>
      <w:r>
        <w:rPr>
          <w:rStyle w:val="VerbatimChar"/>
        </w:rPr>
        <w:t xml:space="preserve">markdown/&lt;name&gt;.qmd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31"/>
          <w:p>
            <w:pPr>
              <w:pStyle w:val="Compact"/>
              <w:jc w:val="center"/>
            </w:pPr>
            <w:r>
              <w:drawing>
                <wp:inline>
                  <wp:extent cx="4800600" cy="2892076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92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Вывод tangle.jl для всех четырёх скриптов</w:t>
            </w:r>
          </w:p>
          <w:bookmarkEnd w:id="171"/>
        </w:tc>
      </w:tr>
    </w:tbl>
    <w:bookmarkEnd w:id="172"/>
    <w:bookmarkStart w:id="181" w:name="выполнение-jupyter-notebooks"/>
    <w:p>
      <w:pPr>
        <w:pStyle w:val="Heading2"/>
      </w:pPr>
      <w:r>
        <w:t xml:space="preserve">4.8 8. Выполнение Jupyter Notebooks</w:t>
      </w:r>
    </w:p>
    <w:p>
      <w:pPr>
        <w:pStyle w:val="FirstParagraph"/>
      </w:pPr>
      <w:r>
        <w:t xml:space="preserve">Все четыре ноутбука выполнены с помощью</w:t>
      </w:r>
      <w:r>
        <w:t xml:space="preserve"> </w:t>
      </w:r>
      <w:r>
        <w:rPr>
          <w:rStyle w:val="VerbatimChar"/>
        </w:rPr>
        <w:t xml:space="preserve">jupyter nbconvert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notebooks/lv_ode.ipynb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lv_ode_executed.ipynb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notebooks/sir_ode_param.ipynb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sir_ode_param_executed.ipynb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notebooks/lv_ode_param.ipynb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lv_ode_param_executed.ipynb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32"/>
          <w:p>
            <w:pPr>
              <w:pStyle w:val="Compact"/>
              <w:jc w:val="center"/>
            </w:pPr>
            <w:r>
              <w:drawing>
                <wp:inline>
                  <wp:extent cx="4800600" cy="894936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94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Выполнение ноутбуков через jupyter nbconvert</w:t>
            </w:r>
          </w:p>
          <w:bookmarkEnd w:id="1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33"/>
          <w:p>
            <w:pPr>
              <w:pStyle w:val="Compact"/>
              <w:jc w:val="center"/>
            </w:pPr>
            <w:r>
              <w:drawing>
                <wp:inline>
                  <wp:extent cx="4800600" cy="3592731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592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Итоговая структура проекта</w:t>
            </w:r>
          </w:p>
          <w:bookmarkEnd w:id="180"/>
        </w:tc>
      </w:tr>
    </w:tbl>
    <w:bookmarkEnd w:id="181"/>
    <w:bookmarkEnd w:id="182"/>
    <w:bookmarkStart w:id="18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получены следующие результаты:</w:t>
      </w:r>
    </w:p>
    <w:p>
      <w:pPr>
        <w:numPr>
          <w:ilvl w:val="0"/>
          <w:numId w:val="1007"/>
        </w:numPr>
      </w:pPr>
      <w:r>
        <w:t xml:space="preserve">Создана структура рабочего пространства DrWatson для лабораторной работы №2 с необходимыми пакетами Julia.</w:t>
      </w:r>
    </w:p>
    <w:p>
      <w:pPr>
        <w:numPr>
          <w:ilvl w:val="0"/>
          <w:numId w:val="1007"/>
        </w:numPr>
      </w:pPr>
      <w:r>
        <w:t xml:space="preserve">Реализована трёхпараметрическая модель SIR (</w:t>
      </w:r>
      <m:oMath>
        <m:r>
          <m:t>β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0.25</m:t>
        </m:r>
      </m:oMath>
      <w:r>
        <w:t xml:space="preserve">). Получен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t xml:space="preserve">, пик эпидемии — 154.8 заражённых на 19.1 день, итого переболело 77.6% популяции. Порог коллективного иммунитета — 50%.</w:t>
      </w:r>
    </w:p>
    <w:p>
      <w:pPr>
        <w:numPr>
          <w:ilvl w:val="0"/>
          <w:numId w:val="1007"/>
        </w:numPr>
      </w:pPr>
      <w:r>
        <w:t xml:space="preserve">Реализована модель Лотки-Вольтерры (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0.02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0.3</m:t>
        </m:r>
      </m:oMath>
      <w:r>
        <w:t xml:space="preserve">). Стационарные точки: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</m:t>
        </m:r>
      </m:oMath>
      <w:r>
        <w:t xml:space="preserve">. Система демонстрирует устойчивые циклические колебания с периодом ~36 единиц времени.</w:t>
      </w:r>
    </w:p>
    <w:p>
      <w:pPr>
        <w:numPr>
          <w:ilvl w:val="0"/>
          <w:numId w:val="1007"/>
        </w:numPr>
      </w:pPr>
      <w:r>
        <w:t xml:space="preserve">Проведено параметрическое исследование SIR: при варьировании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от 0.02 до 0.1 показано, что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эпидемия не развивается, а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переболевает 98% популяции.</w:t>
      </w:r>
    </w:p>
    <w:p>
      <w:pPr>
        <w:numPr>
          <w:ilvl w:val="0"/>
          <w:numId w:val="1007"/>
        </w:numPr>
      </w:pPr>
      <w:r>
        <w:t xml:space="preserve">Проведено параметрическое исследование Лотки-Вольтерры: при варьировании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от 0.05 до 0.3 показано, что равновесное число хищников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растёт линейно, а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не зависит от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Построены графики для обеих моделей: динамика во времени, фазовые портреты, логарифмические шкалы, спектральный анализ, параметрические зависимости, панельные графики.</w:t>
      </w:r>
    </w:p>
    <w:p>
      <w:pPr>
        <w:numPr>
          <w:ilvl w:val="0"/>
          <w:numId w:val="1007"/>
        </w:numPr>
      </w:pPr>
      <w:r>
        <w:t xml:space="preserve">Код преобразован в литературный стиль с помощью Literate.jl. Сгенерированы: чистые скрипты, Jupyter Notebooks и Quarto-документы для всех четырёх моделей.</w:t>
      </w:r>
    </w:p>
    <w:p>
      <w:pPr>
        <w:numPr>
          <w:ilvl w:val="0"/>
          <w:numId w:val="1007"/>
        </w:numPr>
      </w:pPr>
      <w:r>
        <w:t xml:space="preserve">Все четыре Jupyter Notebooks выполнены с помощью</w:t>
      </w:r>
      <w:r>
        <w:t xml:space="preserve"> </w:t>
      </w:r>
      <w:r>
        <w:rPr>
          <w:rStyle w:val="VerbatimChar"/>
        </w:rPr>
        <w:t xml:space="preserve">jupyter nbconvert --execute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Численные результаты согласуются с теоретическими предсказаниями: в SIR модели пик эпидемии наступает при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; в модели Лотки-Вольтерры средние значения популяций близки к стационарным точкам.</w:t>
      </w:r>
    </w:p>
    <w:bookmarkEnd w:id="1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74" Target="media/rId74.png" /><Relationship Type="http://schemas.openxmlformats.org/officeDocument/2006/relationships/image" Id="rId107" Target="media/rId107.png" /><Relationship Type="http://schemas.openxmlformats.org/officeDocument/2006/relationships/image" Id="rId136" Target="media/rId136.png" /><Relationship Type="http://schemas.openxmlformats.org/officeDocument/2006/relationships/image" Id="rId168" Target="media/rId168.png" /><Relationship Type="http://schemas.openxmlformats.org/officeDocument/2006/relationships/image" Id="rId88" Target="media/rId88.png" /><Relationship Type="http://schemas.openxmlformats.org/officeDocument/2006/relationships/image" Id="rId80" Target="media/rId80.png" /><Relationship Type="http://schemas.openxmlformats.org/officeDocument/2006/relationships/image" Id="rId100" Target="media/rId100.png" /><Relationship Type="http://schemas.openxmlformats.org/officeDocument/2006/relationships/image" Id="rId158" Target="media/rId158.png" /><Relationship Type="http://schemas.openxmlformats.org/officeDocument/2006/relationships/image" Id="rId154" Target="media/rId154.png" /><Relationship Type="http://schemas.openxmlformats.org/officeDocument/2006/relationships/image" Id="rId162" Target="media/rId162.png" /><Relationship Type="http://schemas.openxmlformats.org/officeDocument/2006/relationships/image" Id="rId150" Target="media/rId150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84" Target="media/rId84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43" Target="media/rId43.png" /><Relationship Type="http://schemas.openxmlformats.org/officeDocument/2006/relationships/image" Id="rId67" Target="media/rId67.png" /><Relationship Type="http://schemas.openxmlformats.org/officeDocument/2006/relationships/image" Id="rId117" Target="media/rId117.png" /><Relationship Type="http://schemas.openxmlformats.org/officeDocument/2006/relationships/image" Id="rId125" Target="media/rId125.png" /><Relationship Type="http://schemas.openxmlformats.org/officeDocument/2006/relationships/image" Id="rId113" Target="media/rId113.png" /><Relationship Type="http://schemas.openxmlformats.org/officeDocument/2006/relationships/image" Id="rId129" Target="media/rId129.png" /><Relationship Type="http://schemas.openxmlformats.org/officeDocument/2006/relationships/image" Id="rId121" Target="media/rId121.png" /><Relationship Type="http://schemas.openxmlformats.org/officeDocument/2006/relationships/image" Id="rId55" Target="media/rId55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ПАкавира Арсениу Висенте Луиш</dc:creator>
  <dc:language>ru-RU</dc:language>
  <cp:keywords/>
  <dcterms:created xsi:type="dcterms:W3CDTF">2026-09-04T16:20:49Z</dcterms:created>
  <dcterms:modified xsi:type="dcterms:W3CDTF">2026-09-04T16:20:49Z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Основные модели. Модель SIR и модель Лотки-Вольтерры</vt:lpwstr>
  </property>
  <property fmtid="{D5CDD505-2E9C-101B-9397-08002B2CF9AE}" pid="16" name="toc-title">
    <vt:lpwstr>Содержание</vt:lpwstr>
  </property>
</Properties>
</file>