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работы с программным средством Fail2ban для обеспечения базовой защиты от атак типа «brute force».</w:t>
      </w:r>
    </w:p>
    <w:bookmarkEnd w:id="20"/>
    <w:bookmarkStart w:id="7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установка-fail2ban"/>
    <w:p>
      <w:pPr>
        <w:pStyle w:val="Heading2"/>
      </w:pPr>
      <w:r>
        <w:t xml:space="preserve">Установка Fail2ban</w:t>
      </w:r>
    </w:p>
    <w:p>
      <w:pPr>
        <w:pStyle w:val="FirstParagraph"/>
      </w:pPr>
      <w:r>
        <w:t xml:space="preserve">На сервере установим fail2ban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1665072"/>
            <wp:effectExtent b="0" l="0" r="0" t="0"/>
            <wp:docPr descr="Установка fail2ban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fail2ban на сервере.</w:t>
      </w:r>
    </w:p>
    <w:bookmarkEnd w:id="24"/>
    <w:bookmarkStart w:id="28" w:name="запуск-сервера-fail2ban"/>
    <w:p>
      <w:pPr>
        <w:pStyle w:val="Heading2"/>
      </w:pPr>
      <w:r>
        <w:t xml:space="preserve">Запуск сервера Fail2ban</w:t>
      </w:r>
    </w:p>
    <w:p>
      <w:pPr>
        <w:pStyle w:val="FirstParagraph"/>
      </w:pPr>
      <w:r>
        <w:t xml:space="preserve">Запустим сервер fail2ban и добавим его в автозагрузку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343383"/>
            <wp:effectExtent b="0" l="0" r="0" t="0"/>
            <wp:docPr descr="Запуск и включение автозагрузки fail2ban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 включение автозагрузки fail2ban.</w:t>
      </w:r>
    </w:p>
    <w:bookmarkEnd w:id="28"/>
    <w:bookmarkStart w:id="32" w:name="мониторинг-журнала-событий"/>
    <w:p>
      <w:pPr>
        <w:pStyle w:val="Heading2"/>
      </w:pPr>
      <w:r>
        <w:t xml:space="preserve">Мониторинг журнала событий</w:t>
      </w:r>
    </w:p>
    <w:p>
      <w:pPr>
        <w:pStyle w:val="FirstParagraph"/>
      </w:pPr>
      <w:r>
        <w:t xml:space="preserve">В дополнительном терминале запустим просмотр журнала событий fail2ban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555343"/>
            <wp:effectExtent b="0" l="0" r="0" t="0"/>
            <wp:docPr descr="Просмотр журнала событий fail2ban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5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событий fail2ban.</w:t>
      </w:r>
    </w:p>
    <w:bookmarkEnd w:id="32"/>
    <w:bookmarkStart w:id="36" w:name="создание-локальной-конфигурации"/>
    <w:p>
      <w:pPr>
        <w:pStyle w:val="Heading2"/>
      </w:pPr>
      <w:r>
        <w:t xml:space="preserve">Создание локальной конфигурации</w:t>
      </w:r>
    </w:p>
    <w:p>
      <w:pPr>
        <w:pStyle w:val="FirstParagraph"/>
      </w:pPr>
      <w:r>
        <w:t xml:space="preserve">Создадим файл с локальной конфигурацией fail2ban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523612"/>
            <wp:effectExtent b="0" l="0" r="0" t="0"/>
            <wp:docPr descr="Создание файла локальной конфигурации fail2ban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3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локальной конфигурации fail2ban.</w:t>
      </w:r>
    </w:p>
    <w:bookmarkEnd w:id="36"/>
    <w:bookmarkStart w:id="40" w:name="настройка-защиты-ssh"/>
    <w:p>
      <w:pPr>
        <w:pStyle w:val="Heading2"/>
      </w:pPr>
      <w:r>
        <w:t xml:space="preserve">Настройка защиты SSH</w:t>
      </w:r>
    </w:p>
    <w:p>
      <w:pPr>
        <w:pStyle w:val="FirstParagraph"/>
      </w:pPr>
      <w:r>
        <w:t xml:space="preserve">В файле /etc/fail2ban/jail.d/customisation.local зададим время блокирования на 1 час и включим защиту SSH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1420325"/>
            <wp:effectExtent b="0" l="0" r="0" t="0"/>
            <wp:docPr descr="Настройка защиты SSH в fail2ban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защиты SSH в fail2ban.</w:t>
      </w:r>
    </w:p>
    <w:bookmarkEnd w:id="40"/>
    <w:bookmarkStart w:id="44" w:name="перезапуск-fail2ban"/>
    <w:p>
      <w:pPr>
        <w:pStyle w:val="Heading2"/>
      </w:pPr>
      <w:r>
        <w:t xml:space="preserve">Перезапуск fail2ban</w:t>
      </w:r>
    </w:p>
    <w:p>
      <w:pPr>
        <w:pStyle w:val="FirstParagraph"/>
      </w:pPr>
      <w:r>
        <w:t xml:space="preserve">Перезапустим fail2ban для применения изменений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1035652"/>
            <wp:effectExtent b="0" l="0" r="0" t="0"/>
            <wp:docPr descr="Перезапуск fail2ban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fail2ban.</w:t>
      </w:r>
    </w:p>
    <w:bookmarkEnd w:id="44"/>
    <w:bookmarkStart w:id="48" w:name="просмотр-журнала-событий"/>
    <w:p>
      <w:pPr>
        <w:pStyle w:val="Heading2"/>
      </w:pPr>
      <w:r>
        <w:t xml:space="preserve">Просмотр журнала событий</w:t>
      </w:r>
    </w:p>
    <w:p>
      <w:pPr>
        <w:pStyle w:val="FirstParagraph"/>
      </w:pPr>
      <w:r>
        <w:t xml:space="preserve">Посмотрим журнал событий после перезапуска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864669"/>
            <wp:effectExtent b="0" l="0" r="0" t="0"/>
            <wp:docPr descr="Просмотр журнала событий fail2ban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событий fail2ban.</w:t>
      </w:r>
    </w:p>
    <w:bookmarkEnd w:id="48"/>
    <w:bookmarkStart w:id="52" w:name="настройка-защиты-http"/>
    <w:p>
      <w:pPr>
        <w:pStyle w:val="Heading2"/>
      </w:pPr>
      <w:r>
        <w:t xml:space="preserve">Настройка защиты HTTP</w:t>
      </w:r>
    </w:p>
    <w:p>
      <w:pPr>
        <w:pStyle w:val="FirstParagraph"/>
      </w:pPr>
      <w:r>
        <w:t xml:space="preserve">В файле /etc/fail2ban/jail.d/customisation.local включим защиту HTTP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2944969"/>
            <wp:effectExtent b="0" l="0" r="0" t="0"/>
            <wp:docPr descr="Включение защиты HTTP в fail2ban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защиты HTTP в fail2ban.</w:t>
      </w:r>
    </w:p>
    <w:bookmarkEnd w:id="52"/>
    <w:bookmarkStart w:id="59" w:name="перезапуск-и-проверка"/>
    <w:p>
      <w:pPr>
        <w:pStyle w:val="Heading2"/>
      </w:pPr>
      <w:r>
        <w:t xml:space="preserve">Перезапуск и проверка</w:t>
      </w:r>
    </w:p>
    <w:p>
      <w:pPr>
        <w:pStyle w:val="FirstParagraph"/>
      </w:pPr>
      <w:r>
        <w:t xml:space="preserve">Перезапустим fail2ban и проверим журнал событий (рис.</w:t>
      </w:r>
      <w:r>
        <w:t xml:space="preserve"> </w:t>
      </w:r>
      <w:r>
        <w:t xml:space="preserve">@fig-9</w:t>
      </w:r>
      <w:r>
        <w:t xml:space="preserve">,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505383"/>
            <wp:effectExtent b="0" l="0" r="0" t="0"/>
            <wp:docPr descr="Перезапуск fail2ban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fail2ban.</w:t>
      </w:r>
    </w:p>
    <w:p>
      <w:pPr>
        <w:pStyle w:val="CaptionedFigure"/>
      </w:pPr>
      <w:r>
        <w:drawing>
          <wp:inline>
            <wp:extent cx="3733800" cy="940393"/>
            <wp:effectExtent b="0" l="0" r="0" t="0"/>
            <wp:docPr descr="Просмотр журнала событий после включения HTTP.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событий после включения HTTP.</w:t>
      </w:r>
    </w:p>
    <w:bookmarkEnd w:id="59"/>
    <w:bookmarkStart w:id="63" w:name="настройка-защиты-почты"/>
    <w:p>
      <w:pPr>
        <w:pStyle w:val="Heading2"/>
      </w:pPr>
      <w:r>
        <w:t xml:space="preserve">Настройка защиты почты</w:t>
      </w:r>
    </w:p>
    <w:p>
      <w:pPr>
        <w:pStyle w:val="FirstParagraph"/>
      </w:pPr>
      <w:r>
        <w:t xml:space="preserve">В файле /etc/fail2ban/jail.d/customisation.local включим защиту почты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434763" cy="1859536"/>
            <wp:effectExtent b="0" l="0" r="0" t="0"/>
            <wp:docPr descr="Включение защиты почты в fail2ban." title="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185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защиты почты в fail2ban.</w:t>
      </w:r>
    </w:p>
    <w:bookmarkEnd w:id="63"/>
    <w:bookmarkStart w:id="70" w:name="перезапуск-и-финальная-проверка"/>
    <w:p>
      <w:pPr>
        <w:pStyle w:val="Heading2"/>
      </w:pPr>
      <w:r>
        <w:t xml:space="preserve">Перезапуск и финальная проверка</w:t>
      </w:r>
    </w:p>
    <w:p>
      <w:pPr>
        <w:pStyle w:val="FirstParagraph"/>
      </w:pPr>
      <w:r>
        <w:t xml:space="preserve">Перезапустим fail2ban и посмотрим журнал событий (рис.</w:t>
      </w:r>
      <w:r>
        <w:t xml:space="preserve"> </w:t>
      </w:r>
      <w:r>
        <w:t xml:space="preserve">@fig-12</w:t>
      </w:r>
      <w:r>
        <w:t xml:space="preserve">,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588443" cy="1121868"/>
            <wp:effectExtent b="0" l="0" r="0" t="0"/>
            <wp:docPr descr="Повторный перезапуск fail2ban.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1121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перезапуск fail2ban.</w:t>
      </w:r>
    </w:p>
    <w:p>
      <w:pPr>
        <w:pStyle w:val="CaptionedFigure"/>
      </w:pPr>
      <w:r>
        <w:drawing>
          <wp:inline>
            <wp:extent cx="3733800" cy="913839"/>
            <wp:effectExtent b="0" l="0" r="0" t="0"/>
            <wp:docPr descr="Просмотр журнала событий после включения почты." title="" id="68" name="Picture"/>
            <a:graphic>
              <a:graphicData uri="http://schemas.openxmlformats.org/drawingml/2006/picture">
                <pic:pic>
                  <pic:nvPicPr>
                    <pic:cNvPr descr="image/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3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событий после включения почты.</w:t>
      </w:r>
    </w:p>
    <w:bookmarkEnd w:id="70"/>
    <w:bookmarkStart w:id="74" w:name="управление-блокировками"/>
    <w:p>
      <w:pPr>
        <w:pStyle w:val="Heading2"/>
      </w:pPr>
      <w:r>
        <w:t xml:space="preserve">Управление блокировками</w:t>
      </w:r>
    </w:p>
    <w:p>
      <w:pPr>
        <w:pStyle w:val="FirstParagraph"/>
      </w:pPr>
      <w:r>
        <w:t xml:space="preserve">На сервере посмотрим статус защиты SSH и разблокируем IP-адрес клиента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456878"/>
            <wp:effectExtent b="0" l="0" r="0" t="0"/>
            <wp:docPr descr="Просмотр статуса и разблокировка IP-адреса." title="" id="72" name="Picture"/>
            <a:graphic>
              <a:graphicData uri="http://schemas.openxmlformats.org/drawingml/2006/picture">
                <pic:pic>
                  <pic:nvPicPr>
                    <pic:cNvPr descr="image/1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6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статуса и разблокировка IP-адреса.</w:t>
      </w:r>
    </w:p>
    <w:bookmarkEnd w:id="74"/>
    <w:bookmarkStart w:id="78" w:name="настройка-игнорирования-адреса"/>
    <w:p>
      <w:pPr>
        <w:pStyle w:val="Heading2"/>
      </w:pPr>
      <w:r>
        <w:t xml:space="preserve">Настройка игнорирования адреса</w:t>
      </w:r>
    </w:p>
    <w:p>
      <w:pPr>
        <w:pStyle w:val="FirstParagraph"/>
      </w:pPr>
      <w:r>
        <w:t xml:space="preserve">Внесём изменение в конфигурационный файл, добавив игнорирование адреса клиента, и перезапустим fail2ban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620146"/>
            <wp:effectExtent b="0" l="0" r="0" t="0"/>
            <wp:docPr descr="Добавление игнорирования адреса клиента." title="" id="76" name="Picture"/>
            <a:graphic>
              <a:graphicData uri="http://schemas.openxmlformats.org/drawingml/2006/picture">
                <pic:pic>
                  <pic:nvPicPr>
                    <pic:cNvPr descr="image/1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0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игнорирования адреса клиента.</w:t>
      </w:r>
    </w:p>
    <w:bookmarkEnd w:id="78"/>
    <w:bookmarkEnd w:id="79"/>
    <w:bookmarkStart w:id="8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программным средством Fail2ban для обеспечения базовой защиты от атак типа «brute force».</w:t>
      </w:r>
    </w:p>
    <w:bookmarkEnd w:id="80"/>
    <w:bookmarkStart w:id="81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Поясните принцип работы Fail2ban.</w:t>
      </w:r>
      <w:r>
        <w:br/>
      </w:r>
      <w:r>
        <w:t xml:space="preserve">Fail2ban является инструментом для защиты от атак на серверы, основанных на анализе журналов. Он мониторит журналы системы на предмет неудачных попыток входа или других событий, а затем блокирует IP-адреса атакующих с использованием системных средств, таких как iptables. Принцип работы:</w:t>
      </w:r>
    </w:p>
    <w:p>
      <w:pPr>
        <w:numPr>
          <w:ilvl w:val="1"/>
          <w:numId w:val="1002"/>
        </w:numPr>
        <w:pStyle w:val="Compact"/>
      </w:pPr>
      <w:r>
        <w:t xml:space="preserve">Мониторинг журналов на предмет определенных событий.</w:t>
      </w:r>
    </w:p>
    <w:p>
      <w:pPr>
        <w:numPr>
          <w:ilvl w:val="1"/>
          <w:numId w:val="1002"/>
        </w:numPr>
        <w:pStyle w:val="Compact"/>
      </w:pPr>
      <w:r>
        <w:t xml:space="preserve">Обнаружение повторных неудачных попыток входа или других нарушений.</w:t>
      </w:r>
    </w:p>
    <w:p>
      <w:pPr>
        <w:numPr>
          <w:ilvl w:val="1"/>
          <w:numId w:val="1002"/>
        </w:numPr>
        <w:pStyle w:val="Compact"/>
      </w:pPr>
      <w:r>
        <w:t xml:space="preserve">Динамическое обновление правил брандмауэра для блокировки атакующих IP-адресов.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Настройки какого файла более приоритетны: jail.conf или jail.local?</w:t>
      </w:r>
      <w:r>
        <w:br/>
      </w:r>
      <w:r>
        <w:t xml:space="preserve">Настройки файла jail.local имеют более высокий приоритет и перекрывают настройки из jail.conf. Таким образом, если есть конфликтующие настройки, они будут использоваться из jail.local.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настроить оповещение администратора при срабатывании Fail2ban?</w:t>
      </w:r>
      <w:r>
        <w:br/>
      </w:r>
      <w:r>
        <w:t xml:space="preserve">В файле jail.local нужно указать параметр</w:t>
      </w:r>
      <w:r>
        <w:t xml:space="preserve"> </w:t>
      </w:r>
      <w:r>
        <w:rPr>
          <w:rStyle w:val="VerbatimChar"/>
        </w:rPr>
        <w:t xml:space="preserve">destemail</w:t>
      </w:r>
      <w:r>
        <w:t xml:space="preserve"> </w:t>
      </w:r>
      <w:r>
        <w:t xml:space="preserve">и задать адрес электронной почты, а также параметр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с указанием определенного действия (например,</w:t>
      </w:r>
      <w:r>
        <w:t xml:space="preserve"> </w:t>
      </w:r>
      <w:r>
        <w:rPr>
          <w:rStyle w:val="VerbatimChar"/>
        </w:rPr>
        <w:t xml:space="preserve">action_mw</w:t>
      </w:r>
      <w:r>
        <w:t xml:space="preserve"> </w:t>
      </w:r>
      <w:r>
        <w:t xml:space="preserve">для отправки почты).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Поясните построчно настройки по умолчанию в конфигурационном файле /etc/fail2ban/jail.conf, относящиеся к веб-службе.</w:t>
      </w:r>
      <w:r>
        <w:br/>
      </w:r>
      <w:r>
        <w:t xml:space="preserve">Пример настроек для веб-службы в файле jail.conf: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Пакавира Арсениу Висенте Луиш</dc:creator>
  <cp:keywords/>
  <dcterms:created xsi:type="dcterms:W3CDTF">2026-03-18T07:55:25Z</dcterms:created>
  <dcterms:modified xsi:type="dcterms:W3CDTF">2026-03-18T07:55:25Z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