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3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данной лабораторной работе требуется оценить работоспособность 100-мегабитной сети Fast Ethernet в соответствии с первой и второй моделями.</w:t>
      </w:r>
    </w:p>
    <w:p>
      <w:pPr>
        <w:pStyle w:val="BodyText"/>
      </w:pPr>
      <w:r>
        <w:t xml:space="preserve">Нам даны конфигурации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 и топология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p>
      <w:pPr>
        <w:pStyle w:val="BodyText"/>
      </w:pPr>
      <w:bookmarkStart w:id="24" w:name="fig:1"/>
      <w:r>
        <w:drawing>
          <wp:inline>
            <wp:extent cx="4267200" cy="2386263"/>
            <wp:effectExtent b="0" l="0" r="0" t="0"/>
            <wp:docPr descr="Конфигурации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r>
        <w:t xml:space="preserve">**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29" w:name="fig:2"/>
      <w:r>
        <w:drawing>
          <wp:inline>
            <wp:extent cx="4267200" cy="2386263"/>
            <wp:effectExtent b="0" l="0" r="0" t="0"/>
            <wp:docPr descr="Топология сет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r>
        <w:t xml:space="preserve">**</w:t>
      </w:r>
      <w:hyperlink r:id="rId30">
        <w:r>
          <w:rPr>
            <w:rStyle w:val="Hyperlink"/>
          </w:rPr>
          <w:t xml:space="preserve">Нажмите здесь, чтобы открыть ссылку.</w:t>
        </w:r>
      </w:hyperlink>
    </w:p>
    <w:bookmarkEnd w:id="31"/>
    <w:bookmarkStart w:id="5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оценим работоспособность с помощью первой модели. Требуется высчитать диаметр домена коллизий и сравнить его с референтным значением. Так как по условию у нас имеются два повторителя класса II и все сегменты TX (а именно 100BASE-TX), то в соответствии с таблицей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 получаем, что предельно допустимый диаметр домена коллизий в Fast Ethernet 205 м.</w:t>
      </w:r>
    </w:p>
    <w:p>
      <w:pPr>
        <w:pStyle w:val="BodyText"/>
      </w:pPr>
      <w:bookmarkStart w:id="35" w:name="fig:3"/>
      <w:r>
        <w:drawing>
          <wp:inline>
            <wp:extent cx="4267200" cy="2272021"/>
            <wp:effectExtent b="0" l="0" r="0" t="0"/>
            <wp:docPr descr="Предельно допустимый диаметр коллизий в Fast Ethernet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  <w:r>
        <w:t xml:space="preserve"> </w:t>
      </w:r>
      <w:r>
        <w:t xml:space="preserve">**</w:t>
      </w:r>
      <w:hyperlink r:id="rId36">
        <w:r>
          <w:rPr>
            <w:rStyle w:val="Hyperlink"/>
          </w:rPr>
          <w:t xml:space="preserve">Нажмите здесь, чтобы открыть ссылку.</w:t>
        </w:r>
      </w:hyperlink>
      <w:r>
        <w:t xml:space="preserve"> </w:t>
      </w:r>
      <w:r>
        <w:t xml:space="preserve">Посчитаем суммы длин сегментов в каждой строке и сравним их с референтным значением. Результаты меньше 205 м отмечаем зеленым - это работоспособные сети (1, 3 и 4)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p>
      <w:pPr>
        <w:pStyle w:val="BodyText"/>
      </w:pPr>
      <w:bookmarkStart w:id="40" w:name="fig:4"/>
      <w:r>
        <w:drawing>
          <wp:inline>
            <wp:extent cx="4267200" cy="967766"/>
            <wp:effectExtent b="0" l="0" r="0" t="0"/>
            <wp:docPr descr="Проверка работоспособности по первой модели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7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r>
        <w:t xml:space="preserve">*</w:t>
      </w:r>
      <w:hyperlink r:id="rId4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Теперь оценим работоспособность сети с помощью второй модели. Для этого требуется найти наихудшие пути в домене коллизий, определить сегменты. В нашей конфигурации все сегменты 100BASE-TX и используется витая пара категории 5. Рассчитаем время для двойного оборота на сегментах, умножая длину сегмента на удельное время двойного оборота 1,112 би/м, исходя из таблицы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  <w:r>
        <w:t xml:space="preserve"> </w:t>
      </w:r>
      <w:r>
        <w:t xml:space="preserve">*</w:t>
      </w:r>
      <w:hyperlink r:id="rId4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46" w:name="fig:5"/>
      <w:r>
        <w:drawing>
          <wp:inline>
            <wp:extent cx="4267200" cy="3127992"/>
            <wp:effectExtent b="0" l="0" r="0" t="0"/>
            <wp:docPr descr="Временные задержки компонентов сети Fast Ethernet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2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r>
        <w:t xml:space="preserve">*</w:t>
      </w:r>
      <w:hyperlink r:id="rId4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Для каждой строки перемножим значения сегментов наихудшего пути и удельное время двойного оборота сегментов, полученные значения сложим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  <w:r>
        <w:t xml:space="preserve"> </w:t>
      </w:r>
      <w:r>
        <w:t xml:space="preserve">*</w:t>
      </w:r>
      <w:hyperlink r:id="rId4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51" w:name="fig:6"/>
      <w:r>
        <w:drawing>
          <wp:inline>
            <wp:extent cx="4267200" cy="1510874"/>
            <wp:effectExtent b="0" l="0" r="0" t="0"/>
            <wp:docPr descr="Сумма длины сегментов умноженная на удельное время двойного оборота сегментов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1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r>
        <w:t xml:space="preserve">*</w:t>
      </w:r>
      <w:hyperlink r:id="rId4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Затем к получившейся сумме добавим время двойного оборота двух повторителей класса II (92 би/м для каждого) и пары терминалов с интерфейсами TX (100 би/м). Также добавим 4 битовых интервала для учета задержек и сравним результат с числом 512. Результаты меньше 512 указывают нам на работоспособные сети (выделены зеленым)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p>
      <w:pPr>
        <w:pStyle w:val="BodyText"/>
      </w:pPr>
      <w:bookmarkStart w:id="55" w:name="fig:7"/>
      <w:r>
        <w:drawing>
          <wp:inline>
            <wp:extent cx="4267200" cy="718494"/>
            <wp:effectExtent b="0" l="0" r="0" t="0"/>
            <wp:docPr descr="Проверка работоспособности по второй модели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1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r>
        <w:t xml:space="preserve">*</w:t>
      </w:r>
      <w:hyperlink r:id="rId5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результате рабочими остаются те же варианты сетей, что и по первой модели (сети 1, 3 и 4).</w:t>
      </w:r>
    </w:p>
    <w:bookmarkEnd w:id="57"/>
    <w:bookmarkStart w:id="5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принципы технологий Ethernet и Fast Ethernet. Также были практически освоены методики оценки работоспособности сети, построенной на базе технологии Fast Ethernet.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hyperlink" Id="rId25" Target="https://github.com/ArsenioPacavira99/study_2025-2026_net-teche/tree/master/labs/lab2/report/image/1.png" TargetMode="External" /><Relationship Type="http://schemas.openxmlformats.org/officeDocument/2006/relationships/hyperlink" Id="rId30" Target="https://github.com/ArsenioPacavira99/study_2025-2026_net-teche/tree/master/labs/lab2/report/image/2.png" TargetMode="External" /><Relationship Type="http://schemas.openxmlformats.org/officeDocument/2006/relationships/hyperlink" Id="rId36" Target="https://github.com/ArsenioPacavira99/study_2025-2026_net-teche/tree/master/labs/lab2/report/image/3.png" TargetMode="External" /><Relationship Type="http://schemas.openxmlformats.org/officeDocument/2006/relationships/hyperlink" Id="rId41" Target="https://github.com/ArsenioPacavira99/study_2025-2026_net-teche/tree/master/labs/lab2/report/image/4.png" TargetMode="External" /><Relationship Type="http://schemas.openxmlformats.org/officeDocument/2006/relationships/hyperlink" Id="rId42" Target="https://github.com/ArsenioPacavira99/study_2025-2026_net-teche/tree/master/labs/lab2/report/image/5.png" TargetMode="External" /><Relationship Type="http://schemas.openxmlformats.org/officeDocument/2006/relationships/hyperlink" Id="rId47" Target="https://github.com/ArsenioPacavira99/study_2025-2026_net-teche/tree/master/labs/lab2/report/image/6.png" TargetMode="External" /><Relationship Type="http://schemas.openxmlformats.org/officeDocument/2006/relationships/hyperlink" Id="rId56" Target="https://github.com/ArsenioPacavira99/study_2025-2026_net-teche/tree/master/labs/lab2/report/image/7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2/report/image/1.png" TargetMode="External" /><Relationship Type="http://schemas.openxmlformats.org/officeDocument/2006/relationships/hyperlink" Id="rId30" Target="https://github.com/ArsenioPacavira99/study_2025-2026_net-teche/tree/master/labs/lab2/report/image/2.png" TargetMode="External" /><Relationship Type="http://schemas.openxmlformats.org/officeDocument/2006/relationships/hyperlink" Id="rId36" Target="https://github.com/ArsenioPacavira99/study_2025-2026_net-teche/tree/master/labs/lab2/report/image/3.png" TargetMode="External" /><Relationship Type="http://schemas.openxmlformats.org/officeDocument/2006/relationships/hyperlink" Id="rId41" Target="https://github.com/ArsenioPacavira99/study_2025-2026_net-teche/tree/master/labs/lab2/report/image/4.png" TargetMode="External" /><Relationship Type="http://schemas.openxmlformats.org/officeDocument/2006/relationships/hyperlink" Id="rId42" Target="https://github.com/ArsenioPacavira99/study_2025-2026_net-teche/tree/master/labs/lab2/report/image/5.png" TargetMode="External" /><Relationship Type="http://schemas.openxmlformats.org/officeDocument/2006/relationships/hyperlink" Id="rId47" Target="https://github.com/ArsenioPacavira99/study_2025-2026_net-teche/tree/master/labs/lab2/report/image/6.png" TargetMode="External" /><Relationship Type="http://schemas.openxmlformats.org/officeDocument/2006/relationships/hyperlink" Id="rId56" Target="https://github.com/ArsenioPacavira99/study_2025-2026_net-teche/tree/master/labs/lab2/report/image/7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Пакавира Арсениу Висенте Луиш</dc:creator>
  <dc:language>ru-RU</dc:language>
  <cp:keywords/>
  <dcterms:created xsi:type="dcterms:W3CDTF">2026-03-24T00:21:51Z</dcterms:created>
  <dcterms:modified xsi:type="dcterms:W3CDTF">2026-03-24T00:21:51Z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