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48.png" ContentType="image/png"/>
  <Override PartName="/word/media/rId52.png" ContentType="image/png"/>
  <Override PartName="/word/media/rId56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16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ru-RU"/>
        </w:rPr>
        <w:t xml:space="preserve">Лабораторная работа № 4</w:t>
      </w:r>
    </w:p>
    <w:p>
      <w:pPr>
        <w:pStyle w:val="Subtitle"/>
      </w:pPr>
      <w:r>
        <w:rPr>
          <w:lang w:val="ru-RU"/>
        </w:rPr>
        <w:t xml:space="preserve">Линейная алгебра</w:t>
      </w:r>
    </w:p>
    <w:p>
      <w:pPr>
        <w:pStyle w:val="Author"/>
      </w:pPr>
      <w:r>
        <w:rPr>
          <w:lang w:val="ru-RU"/>
        </w:rPr>
        <w:t xml:space="preserve">Пакавира Арсениу Висенте Луиш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lang w:val="ru-RU"/>
            </w:rP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rPr>
              <w:lang w:val="ru-RU"/>
            </w:rP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rPr>
          <w:rStyle w:val="SectionNumber"/>
          <w:lang w:val="ru-RU"/>
        </w:rPr>
        <w:t xml:space="preserve">1</w:t>
      </w:r>
      <w:r>
        <w:tab/>
      </w:r>
      <w:r>
        <w:rPr>
          <w:lang w:val="ru-RU"/>
        </w:rPr>
        <w:t xml:space="preserve">Цель работы</w:t>
      </w:r>
    </w:p>
    <w:p>
      <w:pPr>
        <w:pStyle w:val="FirstParagraph"/>
      </w:pPr>
      <w:r>
        <w:rPr>
          <w:lang w:val="ru-RU"/>
        </w:rPr>
        <w:t xml:space="preserve">Основной целью работы является изучение возможностей специализированных пакетов Julia для выполнения и оценки эффективности операций над объектами линейной</w:t>
      </w:r>
      <w:r>
        <w:rPr>
          <w:lang w:val="ru-RU"/>
        </w:rPr>
        <w:t xml:space="preserve"> </w:t>
      </w:r>
      <w:r>
        <w:rPr>
          <w:lang w:val="ru-RU"/>
        </w:rPr>
        <w:t xml:space="preserve">алгебры.</w:t>
      </w:r>
    </w:p>
    <w:bookmarkEnd w:id="9"/>
    <w:bookmarkStart w:id="10" w:name="задание"/>
    <w:p>
      <w:pPr>
        <w:pStyle w:val="Heading1"/>
      </w:pPr>
      <w:r>
        <w:rPr>
          <w:rStyle w:val="SectionNumber"/>
          <w:lang w:val="ru-RU"/>
        </w:rPr>
        <w:t xml:space="preserve">2</w:t>
      </w:r>
      <w:r>
        <w:tab/>
      </w:r>
      <w:r>
        <w:rPr>
          <w:lang w:val="ru-RU"/>
        </w:rP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rPr>
          <w:lang w:val="ru-RU"/>
        </w:rPr>
        <w:t xml:space="preserve">Используя JupyterLab, повторите примеры.</w:t>
      </w:r>
    </w:p>
    <w:p>
      <w:pPr>
        <w:pStyle w:val="Compact"/>
        <w:numPr>
          <w:ilvl w:val="0"/>
          <w:numId w:val="1001"/>
        </w:numPr>
      </w:pPr>
      <w:r>
        <w:rPr>
          <w:lang w:val="ru-RU"/>
        </w:rPr>
        <w:t xml:space="preserve">Выполните задания для самостоятельной работы.</w:t>
      </w:r>
    </w:p>
    <w:bookmarkEnd w:id="10"/>
    <w:bookmarkStart w:id="11" w:name="теоретическое-введение"/>
    <w:p>
      <w:pPr>
        <w:pStyle w:val="Heading1"/>
      </w:pPr>
      <w:r>
        <w:rPr>
          <w:rStyle w:val="SectionNumber"/>
          <w:lang w:val="ru-RU"/>
        </w:rPr>
        <w:t xml:space="preserve">3</w:t>
      </w:r>
      <w:r>
        <w:tab/>
      </w:r>
      <w:r>
        <w:rPr>
          <w:lang w:val="ru-RU"/>
        </w:rPr>
        <w:t xml:space="preserve">Теоретическое введение</w:t>
      </w:r>
    </w:p>
    <w:p>
      <w:pPr>
        <w:pStyle w:val="FirstParagraph"/>
      </w:pPr>
      <w:r>
        <w:rPr>
          <w:lang w:val="ru-RU"/>
        </w:rPr>
        <w:t xml:space="preserve">Julia – высокоуровневый свободный язык программирования с динамической типизацией, созданный для математических вычислений</w:t>
      </w:r>
      <w:r>
        <w:rPr>
          <w:lang w:val="ru-RU"/>
        </w:rPr>
        <w:t xml:space="preserve"> </w:t>
      </w:r>
      <w:r>
        <w:rPr>
          <w:lang w:val="ru-RU"/>
        </w:rPr>
        <w:t xml:space="preserve">[1]</w:t>
      </w:r>
      <w:r>
        <w:rPr>
          <w:lang w:val="ru-RU"/>
        </w:rPr>
        <w:t xml:space="preserve">. Эффективен также и для написания программ общего назначения. Синтаксис языка схож с синтаксисом других математических языков, однако имеет некоторые существенные отличия.</w:t>
      </w:r>
    </w:p>
    <w:p>
      <w:pPr>
        <w:pStyle w:val="BodyText"/>
      </w:pPr>
      <w:r>
        <w:rPr>
          <w:lang w:val="ru-RU"/>
        </w:rPr>
        <w:t xml:space="preserve">Для выполнения заданий была использована официальная документация Julia</w:t>
      </w:r>
      <w:r>
        <w:rPr>
          <w:lang w:val="ru-RU"/>
        </w:rPr>
        <w:t xml:space="preserve"> </w:t>
      </w:r>
      <w:r>
        <w:rPr>
          <w:lang w:val="ru-RU"/>
        </w:rPr>
        <w:t xml:space="preserve">[2]</w:t>
      </w:r>
      <w:r>
        <w:rPr>
          <w:lang w:val="ru-RU"/>
        </w:rPr>
        <w:t xml:space="preserve">.</w:t>
      </w:r>
    </w:p>
    <w:bookmarkEnd w:id="11"/>
    <w:bookmarkStart w:id="85" w:name="выполнение-лабораторной-работы"/>
    <w:p>
      <w:pPr>
        <w:pStyle w:val="Heading1"/>
      </w:pPr>
      <w:r>
        <w:rPr>
          <w:rStyle w:val="SectionNumber"/>
          <w:lang w:val="ru-RU"/>
        </w:rPr>
        <w:t xml:space="preserve">4</w:t>
      </w:r>
      <w:r>
        <w:tab/>
      </w:r>
      <w:r>
        <w:rPr>
          <w:lang w:val="ru-RU"/>
        </w:rPr>
        <w:t xml:space="preserve">Выполнение лабораторной работы</w:t>
      </w:r>
    </w:p>
    <w:p>
      <w:pPr>
        <w:pStyle w:val="FirstParagraph"/>
      </w:pPr>
      <w:r>
        <w:rPr>
          <w:lang w:val="ru-RU"/>
        </w:rPr>
        <w:t xml:space="preserve">Выполним примеры из раздела про поэлементные операции над многомерными массивами (рис. 1-2).</w:t>
      </w:r>
    </w:p>
    <w:bookmarkStart w:id="15" w:name="fig:001"/>
    <w:p>
      <w:pPr>
        <w:pStyle w:val="CaptionedFigure"/>
      </w:pPr>
      <w:r>
        <w:drawing>
          <wp:inline>
            <wp:extent cx="3733800" cy="4868667"/>
            <wp:effectExtent b="0" l="0" r="0" t="0"/>
            <wp:docPr descr="Рис. 1: Поэлементные операции над многомерными массивами" title="" id="13" name="Picture"/>
            <a:graphic>
              <a:graphicData uri="http://schemas.openxmlformats.org/drawingml/2006/picture">
                <pic:pic>
                  <pic:nvPicPr>
                    <pic:cNvPr descr="image/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8686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1: Поэлементные операции над многомерными массивами</w:t>
      </w:r>
    </w:p>
    <w:bookmarkEnd w:id="15"/>
    <w:bookmarkStart w:id="19" w:name="fig:002"/>
    <w:p>
      <w:pPr>
        <w:pStyle w:val="CaptionedFigure"/>
      </w:pPr>
      <w:r>
        <w:drawing>
          <wp:inline>
            <wp:extent cx="3733800" cy="4866181"/>
            <wp:effectExtent b="0" l="0" r="0" t="0"/>
            <wp:docPr descr="Рис. 2: Поэлементные операции над многомерными массивами" title="" id="17" name="Picture"/>
            <a:graphic>
              <a:graphicData uri="http://schemas.openxmlformats.org/drawingml/2006/picture">
                <pic:pic>
                  <pic:nvPicPr>
                    <pic:cNvPr descr="image/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866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2: Поэлементные операции над многомерными массивами</w:t>
      </w:r>
    </w:p>
    <w:bookmarkEnd w:id="19"/>
    <w:p>
      <w:pPr>
        <w:pStyle w:val="BodyText"/>
      </w:pPr>
      <w:r>
        <w:rPr>
          <w:lang w:val="ru-RU"/>
        </w:rPr>
        <w:t xml:space="preserve">Выполним примеры из раздела про транспонирование,след,ранг,определительи инверсия матрицы (рис. 3).</w:t>
      </w:r>
    </w:p>
    <w:bookmarkStart w:id="23" w:name="fig:003"/>
    <w:p>
      <w:pPr>
        <w:pStyle w:val="CaptionedFigure"/>
      </w:pPr>
      <w:r>
        <w:drawing>
          <wp:inline>
            <wp:extent cx="3733800" cy="3882214"/>
            <wp:effectExtent b="0" l="0" r="0" t="0"/>
            <wp:docPr descr="Рис. 3: Транспонирование,след,ранг,определительи инверсия матрицы" title="" id="21" name="Picture"/>
            <a:graphic>
              <a:graphicData uri="http://schemas.openxmlformats.org/drawingml/2006/picture">
                <pic:pic>
                  <pic:nvPicPr>
                    <pic:cNvPr descr="image/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82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3: Транспонирование,след,ранг,определительи инверсия матрицы</w:t>
      </w:r>
    </w:p>
    <w:bookmarkEnd w:id="23"/>
    <w:p>
      <w:pPr>
        <w:pStyle w:val="BodyText"/>
      </w:pPr>
      <w:r>
        <w:rPr>
          <w:lang w:val="ru-RU"/>
        </w:rPr>
        <w:t xml:space="preserve">Выполним примеры из раздела про матричное умножение,единичная матрица,скалярное</w:t>
      </w:r>
      <w:r>
        <w:rPr>
          <w:lang w:val="ru-RU"/>
        </w:rPr>
        <w:t xml:space="preserve"> </w:t>
      </w:r>
      <w:r>
        <w:rPr>
          <w:lang w:val="ru-RU"/>
        </w:rPr>
        <w:t xml:space="preserve">произведение (рис. 4).</w:t>
      </w:r>
    </w:p>
    <w:bookmarkStart w:id="27" w:name="fig:004"/>
    <w:p>
      <w:pPr>
        <w:pStyle w:val="CaptionedFigure"/>
      </w:pPr>
      <w:r>
        <w:drawing>
          <wp:inline>
            <wp:extent cx="3733800" cy="4079383"/>
            <wp:effectExtent b="0" l="0" r="0" t="0"/>
            <wp:docPr descr="Рис. 4: Матричное умножение,единичная матрица,скалярное произведение" title="" id="25" name="Picture"/>
            <a:graphic>
              <a:graphicData uri="http://schemas.openxmlformats.org/drawingml/2006/picture">
                <pic:pic>
                  <pic:nvPicPr>
                    <pic:cNvPr descr="image/4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9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4: Матричное умножение,единичная матрица,скалярное произведение</w:t>
      </w:r>
    </w:p>
    <w:bookmarkEnd w:id="27"/>
    <w:p>
      <w:pPr>
        <w:pStyle w:val="BodyText"/>
      </w:pPr>
      <w:r>
        <w:rPr>
          <w:lang w:val="ru-RU"/>
        </w:rPr>
        <w:t xml:space="preserve">Выполним примеры из раздела про факторизацию и специальные матричные структуры (рис. 4-7).</w:t>
      </w:r>
    </w:p>
    <w:bookmarkStart w:id="31" w:name="fig:005"/>
    <w:p>
      <w:pPr>
        <w:pStyle w:val="CaptionedFigure"/>
      </w:pPr>
      <w:r>
        <w:drawing>
          <wp:inline>
            <wp:extent cx="3733800" cy="5180094"/>
            <wp:effectExtent b="0" l="0" r="0" t="0"/>
            <wp:docPr descr="Рис. 5: Факторизация.Специальные матричные структуры" title="" id="29" name="Picture"/>
            <a:graphic>
              <a:graphicData uri="http://schemas.openxmlformats.org/drawingml/2006/picture">
                <pic:pic>
                  <pic:nvPicPr>
                    <pic:cNvPr descr="image/5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1800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5: Факторизация.Специальные матричные структуры</w:t>
      </w:r>
    </w:p>
    <w:bookmarkEnd w:id="31"/>
    <w:bookmarkStart w:id="35" w:name="fig:006"/>
    <w:p>
      <w:pPr>
        <w:pStyle w:val="CaptionedFigure"/>
      </w:pPr>
      <w:r>
        <w:drawing>
          <wp:inline>
            <wp:extent cx="3733800" cy="4769346"/>
            <wp:effectExtent b="0" l="0" r="0" t="0"/>
            <wp:docPr descr="Рис. 6: Факторизация.Специальные матричные структуры" title="" id="33" name="Picture"/>
            <a:graphic>
              <a:graphicData uri="http://schemas.openxmlformats.org/drawingml/2006/picture">
                <pic:pic>
                  <pic:nvPicPr>
                    <pic:cNvPr descr="image/6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69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6: Факторизация.Специальные матричные структуры</w:t>
      </w:r>
    </w:p>
    <w:bookmarkEnd w:id="35"/>
    <w:bookmarkStart w:id="39" w:name="fig:007"/>
    <w:p>
      <w:pPr>
        <w:pStyle w:val="CaptionedFigure"/>
      </w:pPr>
      <w:r>
        <w:drawing>
          <wp:inline>
            <wp:extent cx="3733800" cy="4205990"/>
            <wp:effectExtent b="0" l="0" r="0" t="0"/>
            <wp:docPr descr="Рис. 7: Факторизация.Специальные матричные структуры" title="" id="37" name="Picture"/>
            <a:graphic>
              <a:graphicData uri="http://schemas.openxmlformats.org/drawingml/2006/picture">
                <pic:pic>
                  <pic:nvPicPr>
                    <pic:cNvPr descr="image/7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059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7: Факторизация.Специальные матричные структуры</w:t>
      </w:r>
    </w:p>
    <w:bookmarkEnd w:id="39"/>
    <w:p>
      <w:pPr>
        <w:pStyle w:val="BodyText"/>
      </w:pPr>
      <w:r>
        <w:rPr>
          <w:lang w:val="ru-RU"/>
        </w:rPr>
        <w:t xml:space="preserve">Выполним примеры из раздела про общую линейную алгебру (рис. 8).</w:t>
      </w:r>
    </w:p>
    <w:bookmarkStart w:id="43" w:name="fig:008"/>
    <w:p>
      <w:pPr>
        <w:pStyle w:val="CaptionedFigure"/>
      </w:pPr>
      <w:r>
        <w:drawing>
          <wp:inline>
            <wp:extent cx="3733800" cy="4115740"/>
            <wp:effectExtent b="0" l="0" r="0" t="0"/>
            <wp:docPr descr="Рис. 8: Общаялинейная алгебра" title="" id="41" name="Picture"/>
            <a:graphic>
              <a:graphicData uri="http://schemas.openxmlformats.org/drawingml/2006/picture">
                <pic:pic>
                  <pic:nvPicPr>
                    <pic:cNvPr descr="image/8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15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8: Общаялинейная алгебра</w:t>
      </w:r>
    </w:p>
    <w:bookmarkEnd w:id="43"/>
    <w:bookmarkStart w:id="84" w:name="заданиядля-самостоятельного-выполнения"/>
    <w:p>
      <w:pPr>
        <w:pStyle w:val="Heading2"/>
      </w:pPr>
      <w:r>
        <w:rPr>
          <w:rStyle w:val="SectionNumber"/>
          <w:lang w:val="ru-RU"/>
        </w:rPr>
        <w:t xml:space="preserve">4.1</w:t>
      </w:r>
      <w:r>
        <w:tab/>
      </w:r>
      <w:r>
        <w:rPr>
          <w:lang w:val="ru-RU"/>
        </w:rPr>
        <w:t xml:space="preserve">Заданиядля самостоятельного выполнения</w:t>
      </w:r>
    </w:p>
    <w:p>
      <w:pPr>
        <w:pStyle w:val="FirstParagraph"/>
      </w:pPr>
      <w:r>
        <w:rPr>
          <w:lang w:val="ru-RU"/>
        </w:rPr>
        <w:t xml:space="preserve">Зададим вектор v. Умножим вектор v скалярно сам на себя и сохраним результат</w:t>
      </w:r>
      <w:r>
        <w:rPr>
          <w:lang w:val="ru-RU"/>
        </w:rPr>
        <w:t xml:space="preserve"> </w:t>
      </w:r>
      <w:r>
        <w:rPr>
          <w:lang w:val="ru-RU"/>
        </w:rPr>
        <w:t xml:space="preserve">вdot_v (рис. 9).</w:t>
      </w:r>
    </w:p>
    <w:bookmarkStart w:id="47" w:name="fig:009"/>
    <w:p>
      <w:pPr>
        <w:pStyle w:val="CaptionedFigure"/>
      </w:pPr>
      <w:r>
        <w:drawing>
          <wp:inline>
            <wp:extent cx="3733800" cy="1636824"/>
            <wp:effectExtent b="0" l="0" r="0" t="0"/>
            <wp:docPr descr="Рис. 9: Произведение векторов" title="" id="45" name="Picture"/>
            <a:graphic>
              <a:graphicData uri="http://schemas.openxmlformats.org/drawingml/2006/picture">
                <pic:pic>
                  <pic:nvPicPr>
                    <pic:cNvPr descr="image/9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368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9: Произведение векторов</w:t>
      </w:r>
    </w:p>
    <w:bookmarkEnd w:id="47"/>
    <w:p>
      <w:pPr>
        <w:pStyle w:val="BodyText"/>
      </w:pPr>
      <w:r>
        <w:rPr>
          <w:lang w:val="ru-RU"/>
        </w:rPr>
        <w:t xml:space="preserve">Умножим v матрично на себя(внешнее произведение), присвоив результат переменной outer_v (рис. 10).</w:t>
      </w:r>
    </w:p>
    <w:bookmarkStart w:id="51" w:name="fig:010"/>
    <w:p>
      <w:pPr>
        <w:pStyle w:val="CaptionedFigure"/>
      </w:pPr>
      <w:r>
        <w:drawing>
          <wp:inline>
            <wp:extent cx="3733800" cy="872038"/>
            <wp:effectExtent b="0" l="0" r="0" t="0"/>
            <wp:docPr descr="Рис. 10: Произведение векторов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72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10: Произведение векторов</w:t>
      </w:r>
    </w:p>
    <w:bookmarkEnd w:id="51"/>
    <w:p>
      <w:pPr>
        <w:pStyle w:val="BodyText"/>
      </w:pPr>
      <w:r>
        <w:rPr>
          <w:lang w:val="ru-RU"/>
        </w:rPr>
        <w:t xml:space="preserve">Решим СЛАУ с двумя неизвестными (рис. 11-12).</w:t>
      </w:r>
    </w:p>
    <w:bookmarkStart w:id="55" w:name="fig:011"/>
    <w:p>
      <w:pPr>
        <w:pStyle w:val="CaptionedFigure"/>
      </w:pPr>
      <w:r>
        <w:drawing>
          <wp:inline>
            <wp:extent cx="3733800" cy="5875580"/>
            <wp:effectExtent b="0" l="0" r="0" t="0"/>
            <wp:docPr descr="Рис. 11: Системы линейных уравнений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875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11: Системы линейных уравнений</w:t>
      </w:r>
    </w:p>
    <w:bookmarkEnd w:id="55"/>
    <w:bookmarkStart w:id="59" w:name="fig:012"/>
    <w:p>
      <w:pPr>
        <w:pStyle w:val="CaptionedFigure"/>
      </w:pPr>
      <w:r>
        <w:drawing>
          <wp:inline>
            <wp:extent cx="3733800" cy="6122180"/>
            <wp:effectExtent b="0" l="0" r="0" t="0"/>
            <wp:docPr descr="Рис. 12: Систем линейных уравнений" title="" id="57" name="Picture"/>
            <a:graphic>
              <a:graphicData uri="http://schemas.openxmlformats.org/drawingml/2006/picture">
                <pic:pic>
                  <pic:nvPicPr>
                    <pic:cNvPr descr="image/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1221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12: Систем линейных уравнений</w:t>
      </w:r>
    </w:p>
    <w:bookmarkEnd w:id="59"/>
    <w:p>
      <w:pPr>
        <w:pStyle w:val="BodyText"/>
      </w:pPr>
      <w:r>
        <w:rPr>
          <w:lang w:val="ru-RU"/>
        </w:rPr>
        <w:t xml:space="preserve">Решим СЛАУ с тремя неизвестными (рис. 13).</w:t>
      </w:r>
    </w:p>
    <w:bookmarkStart w:id="63" w:name="fig:013"/>
    <w:p>
      <w:pPr>
        <w:pStyle w:val="CaptionedFigure"/>
      </w:pPr>
      <w:r>
        <w:drawing>
          <wp:inline>
            <wp:extent cx="3733800" cy="5437284"/>
            <wp:effectExtent b="0" l="0" r="0" t="0"/>
            <wp:docPr descr="Рис. 13: Систем линейных уравнений" title="" id="61" name="Picture"/>
            <a:graphic>
              <a:graphicData uri="http://schemas.openxmlformats.org/drawingml/2006/picture">
                <pic:pic>
                  <pic:nvPicPr>
                    <pic:cNvPr descr="image/13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437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13: Систем линейных уравнений</w:t>
      </w:r>
    </w:p>
    <w:bookmarkEnd w:id="63"/>
    <w:p>
      <w:pPr>
        <w:pStyle w:val="BodyText"/>
      </w:pPr>
      <w:r>
        <w:rPr>
          <w:lang w:val="ru-RU"/>
        </w:rPr>
        <w:t xml:space="preserve">Приведем матрицы к диагональному виду (рис. 14).</w:t>
      </w:r>
    </w:p>
    <w:bookmarkStart w:id="67" w:name="fig:014"/>
    <w:p>
      <w:pPr>
        <w:pStyle w:val="CaptionedFigure"/>
      </w:pPr>
      <w:r>
        <w:drawing>
          <wp:inline>
            <wp:extent cx="3733800" cy="5287868"/>
            <wp:effectExtent b="0" l="0" r="0" t="0"/>
            <wp:docPr descr="Рис. 14: Операции с матрицами" title="" id="65" name="Picture"/>
            <a:graphic>
              <a:graphicData uri="http://schemas.openxmlformats.org/drawingml/2006/picture">
                <pic:pic>
                  <pic:nvPicPr>
                    <pic:cNvPr descr="image/14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287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14: Операции с матрицами</w:t>
      </w:r>
    </w:p>
    <w:bookmarkEnd w:id="67"/>
    <w:p>
      <w:pPr>
        <w:pStyle w:val="BodyText"/>
      </w:pPr>
      <w:r>
        <w:rPr>
          <w:lang w:val="ru-RU"/>
        </w:rPr>
        <w:t xml:space="preserve">Вычислим (рис. 15).</w:t>
      </w:r>
    </w:p>
    <w:bookmarkStart w:id="71" w:name="fig:015"/>
    <w:p>
      <w:pPr>
        <w:pStyle w:val="CaptionedFigure"/>
      </w:pPr>
      <w:r>
        <w:drawing>
          <wp:inline>
            <wp:extent cx="3733800" cy="4418992"/>
            <wp:effectExtent b="0" l="0" r="0" t="0"/>
            <wp:docPr descr="Рис. 15: Операции с матрицами" title="" id="69" name="Picture"/>
            <a:graphic>
              <a:graphicData uri="http://schemas.openxmlformats.org/drawingml/2006/picture">
                <pic:pic>
                  <pic:nvPicPr>
                    <pic:cNvPr descr="image/15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189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15: Операции с матрицами</w:t>
      </w:r>
    </w:p>
    <w:bookmarkEnd w:id="71"/>
    <w:p>
      <w:pPr>
        <w:pStyle w:val="BodyText"/>
      </w:pPr>
      <w:r>
        <w:rPr>
          <w:lang w:val="ru-RU"/>
        </w:rPr>
        <w:t xml:space="preserve">Найдем собственные значения матрицы A. Создадим диагональную матрицу из собственных значений матрицы A. Создадим</w:t>
      </w:r>
      <w:r>
        <w:rPr>
          <w:lang w:val="ru-RU"/>
        </w:rPr>
        <w:t xml:space="preserve"> </w:t>
      </w:r>
      <w:r>
        <w:rPr>
          <w:lang w:val="ru-RU"/>
        </w:rPr>
        <w:t xml:space="preserve">нижнедиагональную матрицу из матрицы A. Оценим эффективность выполняемых</w:t>
      </w:r>
      <w:r>
        <w:rPr>
          <w:lang w:val="ru-RU"/>
        </w:rPr>
        <w:t xml:space="preserve"> </w:t>
      </w:r>
      <w:r>
        <w:rPr>
          <w:lang w:val="ru-RU"/>
        </w:rPr>
        <w:t xml:space="preserve">операций (рис. 16).</w:t>
      </w:r>
    </w:p>
    <w:bookmarkStart w:id="75" w:name="fig:016"/>
    <w:p>
      <w:pPr>
        <w:pStyle w:val="CaptionedFigure"/>
      </w:pPr>
      <w:r>
        <w:drawing>
          <wp:inline>
            <wp:extent cx="3733800" cy="3622779"/>
            <wp:effectExtent b="0" l="0" r="0" t="0"/>
            <wp:docPr descr="Рис. 16: Операции с матрицами" title="" id="73" name="Picture"/>
            <a:graphic>
              <a:graphicData uri="http://schemas.openxmlformats.org/drawingml/2006/picture">
                <pic:pic>
                  <pic:nvPicPr>
                    <pic:cNvPr descr="image/16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227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16: Операции с матрицами</w:t>
      </w:r>
    </w:p>
    <w:bookmarkEnd w:id="75"/>
    <w:p>
      <w:pPr>
        <w:pStyle w:val="BodyText"/>
      </w:pPr>
      <w:r>
        <w:rPr>
          <w:lang w:val="ru-RU"/>
        </w:rPr>
        <w:t xml:space="preserve">Линейная модель может быть записана как СЛАУ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A</m:t>
          </m:r>
          <m:r>
            <m:t>x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lang w:val="ru-RU"/>
        </w:rPr>
        <w:t xml:space="preserve">где элементы матрицы A и столбца y – неотрицательные числа. По своему смыслу в экономике элементы матрицы A и столбцов x, y не могут быть отрицательными числами.</w:t>
      </w:r>
    </w:p>
    <w:p>
      <w:pPr>
        <w:pStyle w:val="BodyText"/>
      </w:pPr>
      <w:r>
        <w:rPr>
          <w:lang w:val="ru-RU"/>
        </w:rPr>
        <w:t xml:space="preserve">Матрица A называется продуктивной,если решение x системы при любой неотрицательной правой части y имеет только неотрицательные элементы</w:t>
      </w:r>
      <w:r>
        <w:rPr>
          <w:lang w:val="ru-RU"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lang w:val="ru-RU"/>
        </w:rPr>
        <w:t xml:space="preserve">.Используя это</w:t>
      </w:r>
      <w:r>
        <w:rPr>
          <w:lang w:val="ru-RU"/>
        </w:rPr>
        <w:t xml:space="preserve"> </w:t>
      </w:r>
      <w:r>
        <w:rPr>
          <w:lang w:val="ru-RU"/>
        </w:rPr>
        <w:t xml:space="preserve">определение, проверим, являются ли матрицып родуктивными (рис. 17-18).</w:t>
      </w:r>
    </w:p>
    <w:bookmarkStart w:id="79" w:name="fig:017"/>
    <w:p>
      <w:pPr>
        <w:pStyle w:val="CaptionedFigure"/>
      </w:pPr>
      <w:r>
        <w:drawing>
          <wp:inline>
            <wp:extent cx="3733800" cy="3866360"/>
            <wp:effectExtent b="0" l="0" r="0" t="0"/>
            <wp:docPr descr="Рис. 17: Линейные модели экономики" title="" id="77" name="Picture"/>
            <a:graphic>
              <a:graphicData uri="http://schemas.openxmlformats.org/drawingml/2006/picture">
                <pic:pic>
                  <pic:nvPicPr>
                    <pic:cNvPr descr="image/17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66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17: Линейные модели экономики</w:t>
      </w:r>
    </w:p>
    <w:bookmarkEnd w:id="79"/>
    <w:bookmarkStart w:id="83" w:name="fig:018"/>
    <w:p>
      <w:pPr>
        <w:pStyle w:val="CaptionedFigure"/>
      </w:pPr>
      <w:r>
        <w:drawing>
          <wp:inline>
            <wp:extent cx="3733800" cy="4284237"/>
            <wp:effectExtent b="0" l="0" r="0" t="0"/>
            <wp:docPr descr="Рис. 18: Линейные модели экономики" title="" id="81" name="Picture"/>
            <a:graphic>
              <a:graphicData uri="http://schemas.openxmlformats.org/drawingml/2006/picture">
                <pic:pic>
                  <pic:nvPicPr>
                    <pic:cNvPr descr="image/18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842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-RU"/>
        </w:rPr>
        <w:t xml:space="preserve">Рис. 18: Линейные модели экономики</w:t>
      </w:r>
    </w:p>
    <w:bookmarkEnd w:id="83"/>
    <w:bookmarkEnd w:id="84"/>
    <w:bookmarkEnd w:id="85"/>
    <w:bookmarkStart w:id="86" w:name="выводы"/>
    <w:p>
      <w:pPr>
        <w:pStyle w:val="Heading1"/>
      </w:pPr>
      <w:r>
        <w:rPr>
          <w:rStyle w:val="SectionNumber"/>
          <w:lang w:val="ru-RU"/>
        </w:rPr>
        <w:t xml:space="preserve">5</w:t>
      </w:r>
      <w:r>
        <w:tab/>
      </w:r>
      <w:r>
        <w:rPr>
          <w:lang w:val="ru-RU"/>
        </w:rPr>
        <w:t xml:space="preserve">Выводы</w:t>
      </w:r>
    </w:p>
    <w:p>
      <w:pPr>
        <w:pStyle w:val="FirstParagraph"/>
      </w:pPr>
      <w:r>
        <w:rPr>
          <w:lang w:val="ru-RU"/>
        </w:rPr>
        <w:t xml:space="preserve">В процессе выполнения данной лабораторной работы я изучил возможности специализированных пакетов Julia для выполнения и оценки эффективности операций над объектами линейной</w:t>
      </w:r>
      <w:r>
        <w:rPr>
          <w:lang w:val="ru-RU"/>
        </w:rPr>
        <w:t xml:space="preserve"> </w:t>
      </w:r>
      <w:r>
        <w:rPr>
          <w:lang w:val="ru-RU"/>
        </w:rPr>
        <w:t xml:space="preserve">алгебры.</w:t>
      </w:r>
    </w:p>
    <w:bookmarkEnd w:id="86"/>
    <w:bookmarkStart w:id="92" w:name="список-литературы"/>
    <w:p>
      <w:pPr>
        <w:pStyle w:val="Heading1"/>
      </w:pPr>
      <w:r>
        <w:rPr>
          <w:lang w:val="ru-RU"/>
        </w:rPr>
        <w:t xml:space="preserve">Список литературы</w:t>
      </w:r>
    </w:p>
    <w:bookmarkStart w:id="91" w:name="refs"/>
    <w:bookmarkStart w:id="88" w:name="ref-julialang"/>
    <w:p>
      <w:pPr>
        <w:pStyle w:val="Bibliography"/>
      </w:pPr>
      <w:r>
        <w:rPr>
          <w:lang w:val="ru-RU"/>
        </w:rPr>
        <w:t xml:space="preserve">1.</w:t>
      </w:r>
      <w:r>
        <w:rPr>
          <w:lang w:val="ru-RU"/>
        </w:rPr>
        <w:t xml:space="preserve"> </w:t>
      </w:r>
      <w:r>
        <w:t xml:space="preserve">	</w:t>
      </w:r>
      <w:r>
        <w:rPr>
          <w:lang w:val="ru-RU"/>
        </w:rPr>
        <w:t xml:space="preserve">JuliaLang [Электронный ресурс]. 2024 JuliaLang.org contributors. URL:</w:t>
      </w:r>
      <w:r>
        <w:rPr>
          <w:lang w:val="ru-RU"/>
        </w:rPr>
        <w:t xml:space="preserve"> </w:t>
      </w:r>
      <w:hyperlink r:id="rId87">
        <w:r>
          <w:rPr>
            <w:rStyle w:val="Hyperlink"/>
            <w:lang w:val="ru-RU"/>
          </w:rPr>
          <w:t xml:space="preserve">https://julialang.org/</w:t>
        </w:r>
      </w:hyperlink>
      <w:r>
        <w:rPr>
          <w:lang w:val="ru-RU"/>
        </w:rPr>
        <w:t xml:space="preserve"> </w:t>
      </w:r>
      <w:r>
        <w:rPr>
          <w:lang w:val="ru-RU"/>
        </w:rPr>
        <w:t xml:space="preserve">(дата обращения: 11.10.2024).</w:t>
      </w:r>
    </w:p>
    <w:bookmarkEnd w:id="88"/>
    <w:bookmarkStart w:id="90" w:name="ref-juliadoc"/>
    <w:p>
      <w:pPr>
        <w:pStyle w:val="Bibliography"/>
      </w:pPr>
      <w:r>
        <w:rPr>
          <w:lang w:val="ru-RU"/>
        </w:rPr>
        <w:t xml:space="preserve">2.</w:t>
      </w:r>
      <w:r>
        <w:rPr>
          <w:lang w:val="ru-RU"/>
        </w:rPr>
        <w:t xml:space="preserve"> </w:t>
      </w:r>
      <w:r>
        <w:t xml:space="preserve">	</w:t>
      </w:r>
      <w:r>
        <w:rPr>
          <w:lang w:val="ru-RU"/>
        </w:rPr>
        <w:t xml:space="preserve">Julia 1.11 Documentation [Электронный ресурс]. 2024 JuliaLang.org contributors. URL:</w:t>
      </w:r>
      <w:r>
        <w:rPr>
          <w:lang w:val="ru-RU"/>
        </w:rPr>
        <w:t xml:space="preserve"> </w:t>
      </w:r>
      <w:hyperlink r:id="rId89">
        <w:r>
          <w:rPr>
            <w:rStyle w:val="Hyperlink"/>
            <w:lang w:val="ru-RU"/>
          </w:rPr>
          <w:t xml:space="preserve">https://docs.julialang.org/en/v1/</w:t>
        </w:r>
      </w:hyperlink>
      <w:r>
        <w:rPr>
          <w:lang w:val="ru-RU"/>
        </w:rPr>
        <w:t xml:space="preserve"> </w:t>
      </w:r>
      <w:r>
        <w:rPr>
          <w:lang w:val="ru-RU"/>
        </w:rPr>
        <w:t xml:space="preserve">(дата обращения: 11.10.2024).</w:t>
      </w:r>
    </w:p>
    <w:bookmarkEnd w:id="90"/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hyperlink" Id="rId89" Target="https://docs.julialang.org/en/v1/" TargetMode="External" /><Relationship Type="http://schemas.openxmlformats.org/officeDocument/2006/relationships/hyperlink" Id="rId87" Target="https://julialang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https://docs.julialang.org/en/v1/" TargetMode="External" /><Relationship Type="http://schemas.openxmlformats.org/officeDocument/2006/relationships/hyperlink" Id="rId87" Target="https://julialang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4</dc:title>
  <dc:creator>Пакавира Арсениу Висенте Луиш</dc:creator>
  <dc:language>ru-RU</dc:language>
  <cp:keywords/>
  <dcterms:created xsi:type="dcterms:W3CDTF">2026-10-17T13:43:39Z</dcterms:created>
  <dcterms:modified xsi:type="dcterms:W3CDTF">2026-10-17T13:43:39Z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OfMetadata">
    <vt:lpwstr>False</vt:lpwstr>
  </property>
  <property fmtid="{D5CDD505-2E9C-101B-9397-08002B2CF9AE}" pid="44" name="listingTemplate">
    <vt:lpwstr>listingTitle ititleDelim t</vt:lpwstr>
  </property>
  <property fmtid="{D5CDD505-2E9C-101B-9397-08002B2CF9AE}" pid="45" name="listingTitle">
    <vt:lpwstr>Листинг</vt:lpwstr>
  </property>
  <property fmtid="{D5CDD505-2E9C-101B-9397-08002B2CF9AE}" pid="46" name="listings">
    <vt:lpwstr>False</vt:lpwstr>
  </property>
  <property fmtid="{D5CDD505-2E9C-101B-9397-08002B2CF9AE}" pid="47" name="lof">
    <vt:lpwstr>True</vt:lpwstr>
  </property>
  <property fmtid="{D5CDD505-2E9C-101B-9397-08002B2CF9AE}" pid="48" name="lofItemTemplate">
    <vt:lpwstr>lofItemTitleilistItemTitleDelimt </vt:lpwstr>
  </property>
  <property fmtid="{D5CDD505-2E9C-101B-9397-08002B2CF9AE}" pid="49" name="lofItemTitle">
    <vt:lpwstr/>
  </property>
  <property fmtid="{D5CDD505-2E9C-101B-9397-08002B2CF9AE}" pid="50" name="lofTitle">
    <vt:lpwstr>Список иллюстраций</vt:lpwstr>
  </property>
  <property fmtid="{D5CDD505-2E9C-101B-9397-08002B2CF9AE}" pid="51" name="lolItemTemplate">
    <vt:lpwstr>lolItemTitleilistItemTitleDelimt </vt:lpwstr>
  </property>
  <property fmtid="{D5CDD505-2E9C-101B-9397-08002B2CF9AE}" pid="52" name="lolItemTitle">
    <vt:lpwstr/>
  </property>
  <property fmtid="{D5CDD505-2E9C-101B-9397-08002B2CF9AE}" pid="53" name="lolTitle">
    <vt:lpwstr>Листинги</vt:lpwstr>
  </property>
  <property fmtid="{D5CDD505-2E9C-101B-9397-08002B2CF9AE}" pid="54" name="lot">
    <vt:lpwstr>False</vt:lpwstr>
  </property>
  <property fmtid="{D5CDD505-2E9C-101B-9397-08002B2CF9AE}" pid="55" name="lotItemTemplate">
    <vt:lpwstr>lotItemTitleilistItemTitleDelimt </vt:lpwstr>
  </property>
  <property fmtid="{D5CDD505-2E9C-101B-9397-08002B2CF9AE}" pid="56" name="lotItemTitle">
    <vt:lpwstr/>
  </property>
  <property fmtid="{D5CDD505-2E9C-101B-9397-08002B2CF9AE}" pid="57" name="lotTitle">
    <vt:lpwstr>Список таблиц</vt:lpwstr>
  </property>
  <property fmtid="{D5CDD505-2E9C-101B-9397-08002B2CF9AE}" pid="58" name="lstLabels">
    <vt:lpwstr>arabic</vt:lpwstr>
  </property>
  <property fmtid="{D5CDD505-2E9C-101B-9397-08002B2CF9AE}" pid="59" name="lstPrefix">
    <vt:lpwstr/>
  </property>
  <property fmtid="{D5CDD505-2E9C-101B-9397-08002B2CF9AE}" pid="60" name="lstPrefixTemplate">
    <vt:lpwstr>p i</vt:lpwstr>
  </property>
  <property fmtid="{D5CDD505-2E9C-101B-9397-08002B2CF9AE}" pid="61" name="mainfont">
    <vt:lpwstr>IBM Plex Serif</vt:lpwstr>
  </property>
  <property fmtid="{D5CDD505-2E9C-101B-9397-08002B2CF9AE}" pid="62" name="mainfontoptions">
    <vt:lpwstr>Ligatures=Common,Ligatures=TeX,Scale=0.94</vt:lpwstr>
  </property>
  <property fmtid="{D5CDD505-2E9C-101B-9397-08002B2CF9AE}" pid="63" name="mathfont">
    <vt:lpwstr>STIX Two Math</vt:lpwstr>
  </property>
  <property fmtid="{D5CDD505-2E9C-101B-9397-08002B2CF9AE}" pid="64" name="mathfontoptions">
    <vt:lpwstr/>
  </property>
  <property fmtid="{D5CDD505-2E9C-101B-9397-08002B2CF9AE}" pid="65" name="monofont">
    <vt:lpwstr>IBM Plex Mono</vt:lpwstr>
  </property>
  <property fmtid="{D5CDD505-2E9C-101B-9397-08002B2CF9AE}" pid="66" name="monofontoptions">
    <vt:lpwstr>Scale=MatchLowercase,Scale=0.94,FakeStretch=0.9</vt:lpwstr>
  </property>
  <property fmtid="{D5CDD505-2E9C-101B-9397-08002B2CF9AE}" pid="67" name="nameInLink">
    <vt:lpwstr>False</vt:lpwstr>
  </property>
  <property fmtid="{D5CDD505-2E9C-101B-9397-08002B2CF9AE}" pid="68" name="numberSections">
    <vt:lpwstr>False</vt:lpwstr>
  </property>
  <property fmtid="{D5CDD505-2E9C-101B-9397-08002B2CF9AE}" pid="69" name="pairDelim">
    <vt:lpwstr>, </vt:lpwstr>
  </property>
  <property fmtid="{D5CDD505-2E9C-101B-9397-08002B2CF9AE}" pid="70" name="papersize">
    <vt:lpwstr>a4</vt:lpwstr>
  </property>
  <property fmtid="{D5CDD505-2E9C-101B-9397-08002B2CF9AE}" pid="71" name="polyglossia-lang">
    <vt:lpwstr/>
  </property>
  <property fmtid="{D5CDD505-2E9C-101B-9397-08002B2CF9AE}" pid="72" name="polyglossia-otherlangs">
    <vt:lpwstr/>
  </property>
  <property fmtid="{D5CDD505-2E9C-101B-9397-08002B2CF9AE}" pid="73" name="rangeDelim">
    <vt:lpwstr>-</vt:lpwstr>
  </property>
  <property fmtid="{D5CDD505-2E9C-101B-9397-08002B2CF9AE}" pid="74" name="refDelim">
    <vt:lpwstr>, </vt:lpwstr>
  </property>
  <property fmtid="{D5CDD505-2E9C-101B-9397-08002B2CF9AE}" pid="75" name="refIndexTemplate">
    <vt:lpwstr>isuf</vt:lpwstr>
  </property>
  <property fmtid="{D5CDD505-2E9C-101B-9397-08002B2CF9AE}" pid="76" name="romanfont">
    <vt:lpwstr>IBM Plex Serif</vt:lpwstr>
  </property>
  <property fmtid="{D5CDD505-2E9C-101B-9397-08002B2CF9AE}" pid="77" name="romanfontoptions">
    <vt:lpwstr>Ligatures=Common,Ligatures=TeX,Scale=0.94</vt:lpwstr>
  </property>
  <property fmtid="{D5CDD505-2E9C-101B-9397-08002B2CF9AE}" pid="78" name="sansfont">
    <vt:lpwstr>IBM Plex Sans</vt:lpwstr>
  </property>
  <property fmtid="{D5CDD505-2E9C-101B-9397-08002B2CF9AE}" pid="79" name="sansfontoptions">
    <vt:lpwstr>Ligatures=Common,Ligatures=TeX,Scale=MatchLowercase,Scale=0.94</vt:lpwstr>
  </property>
  <property fmtid="{D5CDD505-2E9C-101B-9397-08002B2CF9AE}" pid="80" name="secHeaderDelim">
    <vt:lpwstr> </vt:lpwstr>
  </property>
  <property fmtid="{D5CDD505-2E9C-101B-9397-08002B2CF9AE}" pid="81" name="secHeaderTemplate">
    <vt:lpwstr>isecHeaderDelim[n]t</vt:lpwstr>
  </property>
  <property fmtid="{D5CDD505-2E9C-101B-9397-08002B2CF9AE}" pid="82" name="secLabels">
    <vt:lpwstr>arabic</vt:lpwstr>
  </property>
  <property fmtid="{D5CDD505-2E9C-101B-9397-08002B2CF9AE}" pid="83" name="secPrefix">
    <vt:lpwstr/>
  </property>
  <property fmtid="{D5CDD505-2E9C-101B-9397-08002B2CF9AE}" pid="84" name="secPrefixTemplate">
    <vt:lpwstr>p i</vt:lpwstr>
  </property>
  <property fmtid="{D5CDD505-2E9C-101B-9397-08002B2CF9AE}" pid="85" name="sectionsDepth">
    <vt:lpwstr>0</vt:lpwstr>
  </property>
  <property fmtid="{D5CDD505-2E9C-101B-9397-08002B2CF9AE}" pid="86" name="subfigGrid">
    <vt:lpwstr>False</vt:lpwstr>
  </property>
  <property fmtid="{D5CDD505-2E9C-101B-9397-08002B2CF9AE}" pid="87" name="subfigLabels">
    <vt:lpwstr>alpha a</vt:lpwstr>
  </property>
  <property fmtid="{D5CDD505-2E9C-101B-9397-08002B2CF9AE}" pid="88" name="subfigureChildTemplate">
    <vt:lpwstr>i</vt:lpwstr>
  </property>
  <property fmtid="{D5CDD505-2E9C-101B-9397-08002B2CF9AE}" pid="89" name="subfigureRefIndexTemplate">
    <vt:lpwstr>isuf (s)</vt:lpwstr>
  </property>
  <property fmtid="{D5CDD505-2E9C-101B-9397-08002B2CF9AE}" pid="90" name="subfigureTemplate">
    <vt:lpwstr>figureTitle ititleDelim t. ccs</vt:lpwstr>
  </property>
  <property fmtid="{D5CDD505-2E9C-101B-9397-08002B2CF9AE}" pid="91" name="subtitle">
    <vt:lpwstr>Линейная алгебра</vt:lpwstr>
  </property>
  <property fmtid="{D5CDD505-2E9C-101B-9397-08002B2CF9AE}" pid="92" name="tableEqns">
    <vt:lpwstr>False</vt:lpwstr>
  </property>
  <property fmtid="{D5CDD505-2E9C-101B-9397-08002B2CF9AE}" pid="93" name="tableTemplate">
    <vt:lpwstr>tableTitle ititleDelim t</vt:lpwstr>
  </property>
  <property fmtid="{D5CDD505-2E9C-101B-9397-08002B2CF9AE}" pid="94" name="tableTitle">
    <vt:lpwstr>Таблица</vt:lpwstr>
  </property>
  <property fmtid="{D5CDD505-2E9C-101B-9397-08002B2CF9AE}" pid="95" name="tblLabels">
    <vt:lpwstr>arabic</vt:lpwstr>
  </property>
  <property fmtid="{D5CDD505-2E9C-101B-9397-08002B2CF9AE}" pid="96" name="tblPrefix">
    <vt:lpwstr/>
  </property>
  <property fmtid="{D5CDD505-2E9C-101B-9397-08002B2CF9AE}" pid="97" name="tblPrefixTemplate">
    <vt:lpwstr>p i</vt:lpwstr>
  </property>
  <property fmtid="{D5CDD505-2E9C-101B-9397-08002B2CF9AE}" pid="98" name="titleDelim">
    <vt:lpwstr>:</vt:lpwstr>
  </property>
  <property fmtid="{D5CDD505-2E9C-101B-9397-08002B2CF9AE}" pid="99" name="toc">
    <vt:lpwstr>True</vt:lpwstr>
  </property>
  <property fmtid="{D5CDD505-2E9C-101B-9397-08002B2CF9AE}" pid="100" name="toc-depth">
    <vt:lpwstr>2</vt:lpwstr>
  </property>
  <property fmtid="{D5CDD505-2E9C-101B-9397-08002B2CF9AE}" pid="101" name="toc-title">
    <vt:lpwstr>Содержание</vt:lpwstr>
  </property>
</Properties>
</file>