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68063492d14dcc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№8 (ПР8)</w:t>
      </w:r>
    </w:p>
    <w:p>
      <w:pPr>
        <w:jc w:val="center"/>
      </w:pPr>
      <w:r>
        <w:rPr>
          <w:b/>
        </w:rPr>
        <w:t xml:space="preserve">«Логическое проектирование локальной сети»</w:t>
      </w:r>
    </w:p>
    <w:p>
      <w:pPr>
        <w:jc w:val="center"/>
      </w:pPr>
      <w:r>
        <w:rPr/>
        <w:t xml:space="preserve">Вариант 7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Разработать структурную схему ЛВС офисного отдела, включающую общий сервер.</w:t>
      </w:r>
    </w:p>
    <w:p>
      <w:pPr>
        <w:pStyle w:val="Heading1"/>
      </w:pPr>
      <w:r>
        <w:t>Задание</w:t>
      </w:r>
    </w:p>
    <w:p>
      <w:pPr>
        <w:ind w:firstLine="709"/>
        <w:jc w:val="both"/>
      </w:pPr>
      <w:r>
        <w:t xml:space="preserve">Сделать проверку выполнения условия допустимой нагрузки данной ЛВС и, если нагрузка превышена, выполнить логическую реструктуризацию ЛВС. Создать схему новой сети. Задать тип кабеля и спецификацию Ethernet в каждом сегменте согласно расчёту. Провести проверочный расчёт времени двойного оборота PDV для доменов коллизий (логических сегментов), содержащих повторители. В качестве физической среды в каждом логическом сегменте изначально используется 10Base-T.</w:t>
      </w:r>
    </w:p>
    <w:p>
      <w:pPr>
        <w:ind w:firstLine="709"/>
        <w:jc w:val="both"/>
      </w:pPr>
      <w:r>
        <w:t xml:space="preserve">Исходные данные (вариант 7): M = 3 группы, N = 5 компьютеров в группе, L = 4 м, S = 150 м, сервер в одной из групп, K = 0,09, трафик к серверу s = 45%, между группами g = 65%. В сети часто теряются данные и иногда не распознаются коллизии.</w:t>
      </w:r>
    </w:p>
    <w:p>
      <w:pPr>
        <w:ind w:firstLine="709"/>
        <w:jc w:val="both"/>
      </w:pPr>
      <w:r>
        <w:t xml:space="preserve">Примечание: в варианте сумма долей трафика к серверу и между группами (45% + 65%) превышает 100%; в расчёте по формулам (9), (10) используются значения из задания, а в моделировании доли нормированы.</w:t>
      </w:r>
    </w:p>
    <w:p>
      <w:pPr>
        <w:pStyle w:val="Heading2"/>
      </w:pPr>
      <w:r>
        <w:t>1. Исходная сеть</w:t>
      </w:r>
    </w:p>
    <w:p>
      <w:pPr>
        <w:ind w:firstLine="709"/>
        <w:jc w:val="both"/>
      </w:pPr>
      <w:r>
        <w:t xml:space="preserve">Исходные данные варианта 7: количество групп сотрудников M = 3; компьютеров в группе N = 5; расстояние по кабелю между компьютерами в группе L = 4 м, между группами S = 150 м; сервер расположен в одной из групп; средняя интенсивность трафика одного компьютера K = 0,09 от Cmax; трафик к серверу — 45%, между группами — 65% от суммарного трафика неструктурированной сети. Базовая технология — Ethernet 10Base-T. Исходная сеть построена в NetSim: концентраторы групп соединены каскадом, вся сеть — один домен коллизий.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5fb7c1926ccb4f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Исходная структура сети малого офиса (вариант 7): 3 группы по 5 компьютеров на концентраторах 10Base-T, между группами — 150 м</w:t>
      </w:r>
    </w:p>
    <w:p>
      <w:pPr>
        <w:ind w:firstLine="709"/>
        <w:jc w:val="both"/>
      </w:pPr>
      <w:r>
        <w:t xml:space="preserve">Кнопка «Домены коллизий из проекта» калькулятора показывает, что все концентраторы, соединённые между собой, образуют один домен коллизий: 15 компьютеров и сервер делят полосу 10 Мбит/с.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4208ff4ced1e402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Анализ доменов коллизий исходной сети (кнопка «Домены коллизий из проекта»): все 16 станций — в одном домене 10 Мбит/с</w:t>
      </w:r>
    </w:p>
    <w:p>
      <w:pPr>
        <w:ind w:firstLine="709"/>
        <w:jc w:val="both"/>
      </w:pPr>
      <w:r>
        <w:t xml:space="preserve">Для проверки задан трафик по условию: каждый компьютер генерирует Ci = 0,9 Мбит/с, из них часть — к серверу, часть — компьютерам других групп (в задании доли 45% + 65% = 110%, поэтому для модели они нормированы: 41% и 59%). Результат моделирования: загрузка общего домена коллизий — 100.00%, потеряно 9140 пакетов, доставлено лишь 72% отправленных данных — это подтверждает жалобу «часто теряются данные».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fab6b6b67fc644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Моделирование исходной сети (30 с): домен коллизий загружен на 100% (линии подсвечены красным), очередь переполнена — пакеты теряются</w:t>
      </w:r>
    </w:p>
    <w:p>
      <w:pPr>
        <w:pStyle w:val="Heading1"/>
      </w:pPr>
      <w:r>
        <w:t>2. Расчёт нагрузки (формулы (5)–(11))</w:t>
      </w:r>
    </w:p>
    <w:p>
      <w:pPr>
        <w:pStyle w:val="Heading2"/>
      </w:pPr>
      <w:r>
        <w:t>2. Логическое проектирование: расчёт нагрузки</w:t>
      </w:r>
    </w:p>
    <w:p>
      <w:pPr>
        <w:ind w:firstLine="709"/>
        <w:jc w:val="both"/>
      </w:pPr>
      <w:r>
        <w:t xml:space="preserve">Расчёт выполнен в калькуляторе NetSim (Инструменты → Калькуляторы → «ПР8: нагрузка ЛВС»); полный текст расчёта приведён ниже.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7f731859ae764dc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Калькулятор ПР8 «Нагрузка ЛВС»: исходные данные варианта 7 и пошаговый расчёт по формулам (5)–(11)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1) Трафик одного компьютера (5)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Ci = K · Cmax = 0,09 · 10 = 0,9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2) Суммарный трафик неструктурированной сети (6)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CΣ = N · M · Ci = 3 · 5 · 0,9 = 13,5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3) Коэффициент нагрузки неструктурированной сети (7)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ρн = CΣ / Cmax = 13,5 / 10 = 1,35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4) Проверка допустимой нагрузки домена коллизий (8)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ρн(д.к.) = 1,35 &gt; ρEthernet =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Нагрузка превышена — требуется логическая реструктуризация: каждая группа выделяется в отдельный домен коллизий (группы соединяются коммутатором или мостом).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Нагрузка логических сегментов (групп)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ρгр1 = Ni · Ci / Cmax = 5 · 0,9 / 10 = 0,45 &gt;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ρгр2 = Ni · Ci / Cmax = 5 · 0,9 / 10 = 0,45 &gt;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ρгр3 = Ni · Ci / Cmax = 5 · 0,9 / 10 = 0,45 &gt;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Группа 1: нагрузка превышает допустимую при 10 Мбит/с — нужна технология 100Base-TX или дальнейшее деление группы.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Группа 2: нагрузка превышает допустимую при 10 Мбит/с — нужна технология 100Base-TX или дальнейшее деление группы.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Группа 3: нагрузка превышает допустимую при 10 Мбит/с — нужна технология 100Base-TX или дальнейшее деление группы.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5) Межгрупповой трафик и трафик к серверу (9), (10)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Cмеж.гр. = g · CΣ = 0,65 · 13,5 = 8,775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Cсерв = s · CΣ = 0,45 · 13,5 = 6,075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Условие корректной работы (11)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Cмеж.гр.серв. = Cмеж.гр. / Cmax = 8,775 / 10 = 0,878 &gt;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Cсерв / Cmax = 6,075 / 10 = 0,608 &gt; 0,35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Межгрупповой канал перегружен на базовой технологии — нужна 100Base-FX (ρ = 0,088).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Расстояние между группами S = 150 м превышает 100 м для витой пары — нужен оптоволоконный кабель (100Base-FX).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Рекомендуемые спецификации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Группа 1: 100Base-TX (100 Мбит/с), ρ = 0,045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Группа 2: 100Base-TX (100 Мбит/с), ρ = 0,045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Группа 3: 100Base-TX (100 Мбит/с), ρ = 0,045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Магистраль между группами: 100Base-FX (100 Мбит/с), ρ = 0,088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Линия к серверу: 100Base-TX (100 Мбит/с), ρ = 0,061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ind w:firstLine="709"/>
        <w:jc w:val="both"/>
      </w:pPr>
      <w:r>
        <w:t xml:space="preserve">Вывод по расчёту: коэффициент нагрузки неструктурированной сети ρн = 1,35 &gt; 0,35 — условие допустимой нагрузки не выполняется, требуется логическая реструктуризация. После разделения на группы нагрузка каждой группы на 10Base-T — 0,45 (&gt; 0,35), поэтому в группах нужна технология Fast Ethernet; межгрупповой трафик 8,775 Мбит/с на 10 Мбит/с даёт ρ = 0,878 &gt; 0,35, а расстояние между группами 150 м превышает 100 м для витой пары — магистраль нужна на оптоволокне 100Base-FX.</w:t>
      </w:r>
    </w:p>
    <w:p>
      <w:pPr>
        <w:keepNext/>
      </w:pPr>
      <w:r>
        <w:t xml:space="preserve">Таблица 1 — Спецификации сегментов новой сети (по результатам расчёта)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Сегмент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Трафик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Спецификация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Кабель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Коэффициент нагрузки 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Группа 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4,5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0,045 ≤ 0,35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Группа 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4,5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0,045 ≤ 0,35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Группа 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4,5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0,045 ≤ 0,35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Магистраль между группами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8,775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100Base-FX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многомодовое оптоволокно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0,088 ≤ 0,35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к серверу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6,075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0,061 ≤ 0,35</w:t>
            </w:r>
          </w:p>
        </w:tc>
      </w:tr>
    </w:tbl>
    <w:p/>
    <w:p>
      <w:pPr>
        <w:pStyle w:val="Heading1"/>
      </w:pPr>
      <w:r>
        <w:t>3. Расчёт времени двойного оборота (PDV)</w:t>
      </w:r>
    </w:p>
    <w:p>
      <w:pPr>
        <w:pStyle w:val="Heading2"/>
      </w:pPr>
      <w:r>
        <w:t>3. Расчёт времени двойного оборота (PDV)</w:t>
      </w:r>
    </w:p>
    <w:p>
      <w:pPr>
        <w:ind w:firstLine="709"/>
        <w:jc w:val="both"/>
      </w:pPr>
      <w:r>
        <w:t xml:space="preserve">PDV рассчитан для логического сегмента (группы) по формулам (12)–(14) и таблице 1 методички, а также для нового логического сегмента Fast Ethernet на концентраторе (повторитель класса II, предел 512 bt).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e31d2b3618d2482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Калькулятор ПР8 «PDV»: логический сегмент группы (левый и правый сегменты 10Base-T по 4 м) и проверка нового сегмента Fast Ethernet</w:t>
      </w:r>
    </w:p>
    <w:p>
      <w:pPr>
        <w:pStyle w:val="Heading2"/>
      </w:pPr>
      <w:r>
        <w:t>Логический сегмент (группа) по формулам (12)–(14)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Расчёт PDV (время двойного оборота)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лев.сегм. (10Base-T) = 15,3 + 4 · 0,113 = 15,75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пр.сегм. (10Base-T) = 165 + 4 · 0,113 = 165,45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= 15,75 + 165,45 = 181,2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PDV = 181,2 ≤ 575 bt — условие корректности сегмента Ethernet выполняется (сеть проходит по критерию времени двойного оборота).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pStyle w:val="Heading2"/>
      </w:pPr>
      <w:r>
        <w:t>Новый логический сегмент Fast Ethernet (концентратор — повторитель класса II)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Расчёт PDV для Fast Ethernet (100 Мбит/с)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= DTE(100) + 0·140 + 1·92 + 8·1,112 + 0·1,0 = 200,9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PDV ≤ 512 bt — домен коллизий корректен.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pStyle w:val="Heading2"/>
      </w:pPr>
      <w:r>
        <w:t>Причина потери данных в исходной сети</w:t>
      </w:r>
    </w:p>
    <w:p>
      <w:pPr>
        <w:ind w:firstLine="709"/>
        <w:jc w:val="both"/>
      </w:pPr>
      <w:r>
        <w:t xml:space="preserve">В исходной сети концентраторы соединены каскадом кабелем 10Base-T длиной 150 м, что больше допустимых 100 м для 10Base-T — это нарушение условий спецификации, из-за которого сигнал ослабляется и коллизии могут не распознаваться. Даже без учёта длины весь трафик 16 станций проходит через один домен коллизий 10 Мбит/с. PDV для самого длинного пути исходной сети (ПК — 3 концентратора — ПК):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Расчёт PDV (время двойного оборота)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лев.сегм. (10Base-T) = 15,3 + 4 · 0,113 = 15,75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✘ Длина сегмента 10Base-T 150 м больше допустимой 100 м.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пром.сегм.1 (10Base-T) = 42 + 150 · 0,113 = 58,95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✘ Длина сегмента 10Base-T 150 м больше допустимой 100 м.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пром.сегм.2 (10Base-T) = 42 + 150 · 0,113 = 58,95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пр.сегм. (10Base-T) = 165 + 4 · 0,113 = 165,45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PDV = 15,75 + 58,95 + 58,95 + 165,45 = 299,1 bt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PDV = 299,1 ≤ 575 bt — условие корректности сегмента Ethernet выполняется (сеть проходит по критерию времени двойного оборота).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pStyle w:val="Heading1"/>
      </w:pPr>
      <w:r>
        <w:t>4. Схема новой сети и проверка моделированием</w:t>
      </w:r>
    </w:p>
    <w:p>
      <w:pPr>
        <w:pStyle w:val="Heading2"/>
      </w:pPr>
      <w:r>
        <w:t>4. Новая сеть</w:t>
      </w:r>
    </w:p>
    <w:p>
      <w:pPr>
        <w:ind w:firstLine="709"/>
        <w:jc w:val="both"/>
      </w:pPr>
      <w:r>
        <w:t xml:space="preserve">По результатам расчёта выполнена логическая реструктуризация: каждая группа выделена в отдельный логический сегмент (домен коллизий) на концентраторе Fast Ethernet; группы соединены коммутатором, который разделяет домены коллизий. Спецификации выбраны по расчёту: в группах — 100Base-TX (UTP кат. 5, 4 м), между группами — 100Base-FX (оптоволокно — расстояние 150 м больше допустимых для витой пары 100 м), сервер подключён к отдельному порту коммутатора по 100Base-TX.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b9cdbba4dbc64be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Схема новой сети после логической реструктуризации: группы — отдельные домены коллизий на концентраторах 100Base-TX, магистраль — коммутатор и 100Base-FX (150 м), сервер — на порту коммутатора (100Base-TX)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bdf84207d8914a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Домены коллизий новой сети: три независимых домена по 5 станций, 100 Мбит/с</w:t>
      </w:r>
    </w:p>
    <w:p>
      <w:pPr>
        <w:ind w:firstLine="709"/>
        <w:jc w:val="both"/>
      </w:pPr>
      <w:r>
        <w:t xml:space="preserve">С тем же трафиком загрузка доменов коллизий групп — не более 7.36%, самая загруженная линия — «Концентратор группы 2» (7.36%), потеряно пакетов — 0. Сеть работает в допустимом режиме.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46a2ce0f69764af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Моделирование новой сети (30 с) с тем же трафиком: загрузка доменов групп и линий коммутатора (average utilization)</w:t>
      </w:r>
    </w:p>
    <w:p>
      <w:pPr>
        <w:keepNext/>
      </w:pPr>
      <w:r>
        <w:t xml:space="preserve">Таблица 2 — Сравнение сетей при одинаковом трафике (моделирование 30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Показатель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Исходная сеть (10Base-T)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Новая сеть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Число доменов коллизий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 (все 16 станций)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 (по 5 станций)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Макс. загрузка домена коллизий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100.00%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7.36%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Самая загруженная линия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Концентратор группы 1 + Концентратор группы 2 + Концентратор группы 3 — 100.00%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Концентратор группы 2 — 7.36%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Потеряно пакетов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9140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Доставлено данных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72%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100%</w:t>
            </w:r>
          </w:p>
        </w:tc>
      </w:tr>
    </w:tbl>
    <w:p/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Проверка показала, что условие допустимой нагрузки неструктурированной ЛВС (ρн ≤ 0,35) не выполняется: ρн = 1,35. Выполнена логическая реструктуризация: каждая группа выделена в отдельный домен коллизий на концентраторе Fast Ethernet 100Base-TX (ρ = 0,045), группы соединены коммутатором по оптоволоконным линиям 100Base-FX длиной 150 м (ρ = 0,088), сервер подключён к выделенному порту коммутатора по 100Base-TX.</w:t>
      </w:r>
    </w:p>
    <w:p>
      <w:pPr>
        <w:ind w:firstLine="709"/>
        <w:jc w:val="both"/>
      </w:pPr>
      <w:r>
        <w:t xml:space="preserve">Проверочный расчёт PDV подтвердил корректность логических сегментов: для группы по формулам методички PDV = 181,2 bt ≤ 575 bt, для сегмента Fast Ethernet с повторителем класса II — не более 512 bt. Моделирование с одинаковым трафиком подтвердило результат расчёта: исходная сеть: загрузка домена 100.00%, потеряно 9140 пакетов; новая сеть: загрузка доменов до 7.36%, потеряно 0 пакетов.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13083d4b00b4b31" /><Relationship Type="http://schemas.openxmlformats.org/officeDocument/2006/relationships/image" Target="/media/image.png" Id="R5fb7c1926ccb4f42" /><Relationship Type="http://schemas.openxmlformats.org/officeDocument/2006/relationships/image" Target="/media/image2.png" Id="R4208ff4ced1e402e" /><Relationship Type="http://schemas.openxmlformats.org/officeDocument/2006/relationships/image" Target="/media/image3.png" Id="Rfab6b6b67fc64426" /><Relationship Type="http://schemas.openxmlformats.org/officeDocument/2006/relationships/image" Target="/media/image4.png" Id="R7f731859ae764dca" /><Relationship Type="http://schemas.openxmlformats.org/officeDocument/2006/relationships/image" Target="/media/image5.png" Id="Re31d2b3618d2482d" /><Relationship Type="http://schemas.openxmlformats.org/officeDocument/2006/relationships/image" Target="/media/image6.png" Id="Rb9cdbba4dbc64bed" /><Relationship Type="http://schemas.openxmlformats.org/officeDocument/2006/relationships/image" Target="/media/image7.png" Id="Rbdf84207d8914a92" /><Relationship Type="http://schemas.openxmlformats.org/officeDocument/2006/relationships/image" Target="/media/image8.png" Id="R46a2ce0f69764af2" /></Relationships>
</file>