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Методические указания преподавателю по оцениванию блока 2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Основание и границы</w:t>
      </w:r>
    </w:p>
    <w:p>
      <w:r>
        <w:t>Оценивание строится от элемента РПД и уровня КРМ к наблюдаемому действию. Полный индикатор КРМ шире одного блока курса; запрещено объявлять его полностью сформированным на основании одного задания.</w:t>
      </w:r>
    </w:p>
    <w:p>
      <w:pPr>
        <w:pStyle w:val="Heading2"/>
      </w:pPr>
      <w:r>
        <w:t>2. Последовательность проверки</w:t>
      </w:r>
    </w:p>
    <w:p>
      <w:pPr>
        <w:pStyle w:val="ListNumber"/>
      </w:pPr>
      <w:r>
        <w:t>Определить код занятия и уровень Б/С.</w:t>
      </w:r>
    </w:p>
    <w:p>
      <w:pPr>
        <w:pStyle w:val="ListNumber"/>
      </w:pPr>
      <w:r>
        <w:t>Проверить наличие исполняемого артефакта и данных.</w:t>
      </w:r>
    </w:p>
    <w:p>
      <w:pPr>
        <w:pStyle w:val="ListNumber"/>
      </w:pPr>
      <w:r>
        <w:t>Проверить метрики и минимум один неудачный случай.</w:t>
      </w:r>
    </w:p>
    <w:p>
      <w:pPr>
        <w:pStyle w:val="ListNumber"/>
      </w:pPr>
      <w:r>
        <w:t>Провести короткую защиту и модификацию.</w:t>
      </w:r>
    </w:p>
    <w:p>
      <w:pPr>
        <w:pStyle w:val="ListNumber"/>
      </w:pPr>
      <w:r>
        <w:t>Начислить баллы по рубрике, не заменяя критерии общим впечатлением.</w:t>
      </w:r>
    </w:p>
    <w:p>
      <w:pPr>
        <w:pStyle w:val="ListNumber"/>
      </w:pPr>
      <w:r>
        <w:t>Зафиксировать обратную связь в терминах недостающего доказательства.</w:t>
      </w:r>
    </w:p>
    <w:p>
      <w:pPr>
        <w:pStyle w:val="Heading2"/>
      </w:pPr>
      <w:r>
        <w:t>3. Калибровка оценивания</w:t>
      </w:r>
    </w:p>
    <w:p>
      <w:r>
        <w:t>Перед первым потоком двум преподавателям рекомендуется независимо оценить три контрастных работы. Расхождение более 15% максимума КИМ требует обсуждения дескрипторов. После калибровки сохраняется эталонный пример на низком, среднем и высоком уровне.</w:t>
      </w:r>
    </w:p>
    <w:p>
      <w:pPr>
        <w:pStyle w:val="Heading2"/>
      </w:pPr>
      <w:r>
        <w:t>4. Работа с аппаратными ограничениями</w:t>
      </w:r>
    </w:p>
    <w:p>
      <w:r>
        <w:t>Наличие Hikrobot или стереориг не должно быть условием допуска. Для ЛР4 должен существовать программный набор стереопар и параметров. Аппаратный режим может повышать исследовательскую часть, но не заменяет проверяемый результат.</w:t>
      </w:r>
    </w:p>
    <w:p>
      <w:pPr>
        <w:pStyle w:val="Heading2"/>
      </w:pPr>
      <w:r>
        <w:t>5. Балльная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КИМ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Максимум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Порог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Д34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8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Д35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18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11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Д36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18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11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ЛР3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12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ЛР4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12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HW06-HW10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</w:t>
            </w:r>
          </w:p>
        </w:tc>
      </w:tr>
    </w:tbl>
    <w:p/>
    <w:p>
      <w:pPr>
        <w:pStyle w:val="Heading2"/>
      </w:pPr>
      <w:r>
        <w:t>6. Академическая добросовестность</w:t>
      </w:r>
    </w:p>
    <w:p>
      <w:r>
        <w:t>Признаком самостоятельного владения считается способность объяснить решение, вывести промежуточный результат и внести небольшое изменение. Сам факт использования ИИ не снижает балл; непонимание и невоспроизводимость снижают соответствующие критерии.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