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LR3. Трекинг объектов: методика проверки и рубрика</w:t>
      </w:r>
    </w:p>
    <w:p>
      <w:pPr>
        <w:jc w:val="center"/>
      </w:pPr>
      <w:r>
        <w:t>DL-3.1, DL-3.2, уровень С; максимум 20 баллов</w:t>
      </w:r>
    </w:p>
    <w:p>
      <w:pPr>
        <w:jc w:val="center"/>
      </w:pPr>
      <w:r>
        <w:t>ФОС дисциплины «Компьютерное зрение». Модуль 2. Редакция 3.0.</w:t>
      </w:r>
    </w:p>
    <w:p>
      <w:pPr>
        <w:pStyle w:val="Heading2"/>
      </w:pPr>
      <w:r>
        <w:t>1. Валидируемый результат</w:t>
      </w:r>
    </w:p>
    <w:p>
      <w:r>
        <w:t>Строит матрицу стоимостей, сравнивает жадное и венгерское назначения, объясняет ID-switch; реализует tracking-by-detection с IoU/центроидами и прогнозом фильтра Калмана, оценивает ошибки идентичности.</w:t>
      </w:r>
    </w:p>
    <w:p>
      <w:r>
        <w:t>Фрагмент РПД/КРМ: Применяет методы анализа видеопотока и выбирает алгоритмический стек; для устойчивого сопоставления использует геометрические признаки и RANSAC, при необходимости компенсирует движение камеры.</w:t>
      </w:r>
    </w:p>
    <w:p>
      <w:pPr>
        <w:pStyle w:val="Heading2"/>
      </w:pPr>
      <w:r>
        <w:t>2. Порядок проверки</w:t>
      </w:r>
    </w:p>
    <w:p>
      <w:pPr>
        <w:pStyle w:val="ListNumber"/>
      </w:pPr>
      <w:r>
        <w:t>Проверить репозиторий, данные, версии и команду запуска.</w:t>
      </w:r>
    </w:p>
    <w:p>
      <w:pPr>
        <w:pStyle w:val="ListNumber"/>
      </w:pPr>
      <w:r>
        <w:t>Запустить решение либо проверить видеодоказательство при аппаратно-зависимом режиме.</w:t>
      </w:r>
    </w:p>
    <w:p>
      <w:pPr>
        <w:pStyle w:val="ListNumber"/>
      </w:pPr>
      <w:r>
        <w:t>Сверить промежуточные артефакты и метрики; проверить неудачный пример.</w:t>
      </w:r>
    </w:p>
    <w:p>
      <w:pPr>
        <w:pStyle w:val="ListNumber"/>
      </w:pPr>
      <w:r>
        <w:t>Провести защиту: два вопроса по алгоритму и одна небольшая модификация.</w:t>
      </w:r>
    </w:p>
    <w:p>
      <w:pPr>
        <w:pStyle w:val="ListNumber"/>
      </w:pPr>
      <w:r>
        <w:t>Начислить баллы по аналитической рубрике; зафиксировать конкретные недостающие доказательства.</w:t>
      </w:r>
    </w:p>
    <w:p>
      <w:pPr>
        <w:pStyle w:val="Heading2"/>
      </w:pPr>
      <w:r>
        <w:t>3. Аналитическая рубрика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Критерий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Баллы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Дескриптор полного выполнения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Расчетная схема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Матрицы, оба назначения, суммы и объяснение ID-switch корректны.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Ассоциация детекций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5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Матрица стоимостей, пороги и венгерское назначение реализованы корректно.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Фильтр Калмана и жизненный цикл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5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Прогноз/коррекция, создание/удаление треков и пропуски реализованы.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Эксперимент и метрики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Есть сложные эпизоды, ID-switch/lost/FPS и содержательный анализ.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Защита и Git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Проект воспроизводим; студент объясняет матрицы и меняет параметр.</w:t>
            </w:r>
          </w:p>
        </w:tc>
      </w:tr>
    </w:tbl>
    <w:p/>
    <w:p>
      <w:r>
        <w:t>Максимум: 20 баллов. Рекомендуемый порог: 12 баллов.</w:t>
      </w:r>
    </w:p>
    <w:p>
      <w:r>
        <w:br w:type="page"/>
      </w:r>
    </w:p>
    <w:p>
      <w:pPr>
        <w:pStyle w:val="Heading2"/>
      </w:pPr>
      <w:r>
        <w:t>4. Градации качества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Доля баллов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Интерпретация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85-100%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Результат устойчив, воспроизводим, параметры аргументированы; защита без существенных ошибок.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70-84%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Обязательная часть выполнена, но анализ или устойчивость ограничены.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60-69%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Минимально работоспособный результат; имеются методические пробелы, но ключевое действие подтверждено.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&lt;60%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Результат не подтвержден либо критический дефект делает измерение недействительным.</w:t>
            </w:r>
          </w:p>
        </w:tc>
      </w:tr>
    </w:tbl>
    <w:p/>
    <w:p>
      <w:pPr>
        <w:pStyle w:val="Heading2"/>
      </w:pPr>
      <w:r>
        <w:t>5. Критические дефекты</w:t>
      </w:r>
    </w:p>
    <w:p>
      <w:r>
        <w:t>Схема движения не определена; русские названия «жадный алгоритм» и «венгерский алгоритм» не используются последовательно; ID присваивается заново в каждом кадре; фильтр Калмана назван, но прогноз не используется при ассоциации.</w:t>
      </w:r>
    </w:p>
    <w:p>
      <w:pPr>
        <w:pStyle w:val="Heading2"/>
      </w:pPr>
      <w:r>
        <w:t>6. Вопросы и проверочные модификации</w:t>
      </w:r>
    </w:p>
    <w:p>
      <w:pPr>
        <w:pStyle w:val="ListNumber"/>
      </w:pPr>
      <w:r>
        <w:t>Чем задача о назначениях отличается от максимального паросочетания?</w:t>
      </w:r>
    </w:p>
    <w:p>
      <w:pPr>
        <w:pStyle w:val="ListNumber"/>
      </w:pPr>
      <w:r>
        <w:t>Почему жадный алгоритм может быть неоптимальным?</w:t>
      </w:r>
    </w:p>
    <w:p>
      <w:pPr>
        <w:pStyle w:val="ListNumber"/>
      </w:pPr>
      <w:r>
        <w:t>Как формируется стоимость на основе расстояния, IoU и расстояния Махаланобиса?</w:t>
      </w:r>
    </w:p>
    <w:p>
      <w:pPr>
        <w:pStyle w:val="ListNumber"/>
      </w:pPr>
      <w:r>
        <w:t>Каковы этапы prediction и correction фильтра Калмана?</w:t>
      </w:r>
    </w:p>
    <w:p>
      <w:pPr>
        <w:pStyle w:val="ListNumber"/>
      </w:pPr>
      <w:r>
        <w:t>Какие причины приводят к ID-switch и как их уменьшить?</w:t>
      </w:r>
    </w:p>
    <w:p>
      <w:pPr>
        <w:pStyle w:val="ListBullet"/>
      </w:pPr>
      <w:r>
        <w:t>Изменить ключевой порог и предсказать направление изменения результата.</w:t>
      </w:r>
    </w:p>
    <w:p>
      <w:pPr>
        <w:pStyle w:val="ListBullet"/>
      </w:pPr>
      <w:r>
        <w:t>Вывести промежуточную матрицу/маску/форму тензора и объяснить ее размерность.</w:t>
      </w:r>
    </w:p>
    <w:p>
      <w:pPr>
        <w:pStyle w:val="ListBullet"/>
      </w:pPr>
      <w:r>
        <w:t>Запустить на одном заранее подготовленном неудачном примере.</w:t>
      </w:r>
    </w:p>
    <w:p>
      <w:pPr>
        <w:pStyle w:val="Heading2"/>
      </w:pPr>
      <w:r>
        <w:t>7. Эталон расчетной части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Этап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Эталон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Матрица без прогноза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[[9, 12], [1, 2]]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Жадное назначение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T2→D1, затем T1→D2; 13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Венгерское назначение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T1→D1, T2→D2; 11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Причина ID-switch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Локально минимальная пара забирает детекцию, соответствующую быстрому T1; история движения не учтена.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После прогноза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[[0, 3], [3, 0]]; обе диагональные пары имеют нулевую стоимость.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Роль Калмана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Предоставляет прогноз и ковариацию для gating/стоимости; не гарантирует отсутствие ошибок при неверной модели.</w:t>
            </w:r>
          </w:p>
        </w:tc>
      </w:tr>
    </w:tbl>
    <w:p/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