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Lorem ipsum dolor sit amet, consectetur adipiscing elit. Maecenas cursus ornare pretium.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ac enim sed leo luctus varius. Ut sed sem erat. Vestibulum eu consequat neque. </w:t>
      </w:r>
      <w:r>
        <w:rPr>
          <w:rFonts w:ascii="" w:hAnsi="" w:eastAsia=""/>
          <w:b w:val="0"/>
          <w:i w:val="0"/>
          <w:color w:val="000000"/>
          <w:sz w:val="21"/>
        </w:rPr>
        <w:t xml:space="preserve">Morbi volutpat, tellus in semper blandit, purus diam dapibus nunc, sed dictum dolor leo vel </w:t>
      </w:r>
      <w:r>
        <w:rPr>
          <w:rFonts w:ascii="" w:hAnsi="" w:eastAsia=""/>
          <w:b w:val="0"/>
          <w:i w:val="0"/>
          <w:color w:val="000000"/>
          <w:sz w:val="21"/>
        </w:rPr>
        <w:t xml:space="preserve">turpis. Vestibulum tempus tortor tellus. Praesent ultrices odio quam, sed maximus lacus dictum </w:t>
      </w:r>
      <w:r>
        <w:rPr>
          <w:rFonts w:ascii="" w:hAnsi="" w:eastAsia=""/>
          <w:b w:val="0"/>
          <w:i w:val="0"/>
          <w:color w:val="000000"/>
          <w:sz w:val="21"/>
        </w:rPr>
        <w:t xml:space="preserve">ac. </w:t>
      </w:r>
    </w:p>
    <w:p>
      <w:pPr>
        <w:autoSpaceDN w:val="0"/>
        <w:autoSpaceDE w:val="0"/>
        <w:widowControl/>
        <w:spacing w:line="286" w:lineRule="exact" w:before="222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luctus magna in justo dignissim dignissim. Nulla eu libero feugiat, scelerisque ante ut,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mi. Nullam eget augue pretium, ultrices ligula nec, scelerisque diam. Fusce dapibus </w:t>
      </w:r>
      <w:r>
        <w:rPr>
          <w:rFonts w:ascii="" w:hAnsi="" w:eastAsia=""/>
          <w:b w:val="0"/>
          <w:i w:val="0"/>
          <w:color w:val="000000"/>
          <w:sz w:val="21"/>
        </w:rPr>
        <w:t xml:space="preserve">porta sapien, molestie hendrerit nisi venenatis et. Nulla mollis pulvinar interdum. Quisque quis </w:t>
      </w:r>
      <w:r>
        <w:rPr>
          <w:rFonts w:ascii="" w:hAnsi="" w:eastAsia=""/>
          <w:b w:val="0"/>
          <w:i w:val="0"/>
          <w:color w:val="000000"/>
          <w:sz w:val="21"/>
        </w:rPr>
        <w:t xml:space="preserve">tristique enim. Sed non ullamcorper neque, nec cursus quam. Sed condimentum egestas mi. Ut </w:t>
      </w:r>
      <w:r>
        <w:rPr>
          <w:rFonts w:ascii="" w:hAnsi="" w:eastAsia=""/>
          <w:b w:val="0"/>
          <w:i w:val="0"/>
          <w:color w:val="000000"/>
          <w:sz w:val="21"/>
        </w:rPr>
        <w:t xml:space="preserve">mollis maximus sem, ut tempus diam malesuada id. Donec nunc dolor, dignissim vitae mi eu, </w:t>
      </w:r>
      <w:r>
        <w:rPr>
          <w:rFonts w:ascii="" w:hAnsi="" w:eastAsia=""/>
          <w:b w:val="0"/>
          <w:i w:val="0"/>
          <w:color w:val="000000"/>
          <w:sz w:val="21"/>
        </w:rPr>
        <w:t xml:space="preserve">blandit faucibus sem. Mauris lorem nisi, rhoncus sed lectus ut, condimentum iaculis elit. In nec </w:t>
      </w:r>
      <w:r>
        <w:rPr>
          <w:rFonts w:ascii="" w:hAnsi="" w:eastAsia=""/>
          <w:b w:val="0"/>
          <w:i w:val="0"/>
          <w:color w:val="000000"/>
          <w:sz w:val="21"/>
        </w:rPr>
        <w:t xml:space="preserve">tincidunt tellus. Nulla at fringilla orci. </w:t>
      </w:r>
    </w:p>
    <w:p>
      <w:pPr>
        <w:autoSpaceDN w:val="0"/>
        <w:autoSpaceDE w:val="0"/>
        <w:widowControl/>
        <w:spacing w:line="286" w:lineRule="exact" w:before="228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Ut congue lacus at dictum rhoncus. Maecenas et nisl nec sem vulputate facilisis. Ut quam arcu, </w:t>
      </w:r>
      <w:r>
        <w:rPr>
          <w:rFonts w:ascii="" w:hAnsi="" w:eastAsia=""/>
          <w:b w:val="0"/>
          <w:i w:val="0"/>
          <w:color w:val="000000"/>
          <w:sz w:val="21"/>
        </w:rPr>
        <w:t xml:space="preserve">lacinia quis consequat in, mollis viverra enim. Fusce rutrum luctus venenatis. Vestibulum ante </w:t>
      </w:r>
      <w:r>
        <w:rPr>
          <w:rFonts w:ascii="" w:hAnsi="" w:eastAsia=""/>
          <w:b w:val="0"/>
          <w:i w:val="0"/>
          <w:color w:val="000000"/>
          <w:sz w:val="21"/>
        </w:rPr>
        <w:t xml:space="preserve">ipsum primis in faucibus orci luctus et ultrices posuere cubilia curae; Curabitur id ante erat. Proin </w:t>
      </w:r>
      <w:r>
        <w:rPr>
          <w:rFonts w:ascii="" w:hAnsi="" w:eastAsia=""/>
          <w:b w:val="0"/>
          <w:i w:val="0"/>
          <w:color w:val="000000"/>
          <w:sz w:val="21"/>
        </w:rPr>
        <w:t xml:space="preserve">interdum nulla eget faucibus venenatis. Cras mollis ligula at vehicula iaculis. Donec non maximus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augue. Nulla in bibendum dolor. In sapien eros, bibendum non pharetra eu, faucibus non odio. </w:t>
      </w:r>
    </w:p>
    <w:p>
      <w:pPr>
        <w:autoSpaceDN w:val="0"/>
        <w:autoSpaceDE w:val="0"/>
        <w:widowControl/>
        <w:spacing w:line="288" w:lineRule="exact" w:before="220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Suspendisse potenti. Quisque dignissim justo lorem, sit amet tempus mauris vehicula ac.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quis eleifend nisi, at luctus libero. Curabitur bibendum metus eget neque venenatis, </w:t>
      </w:r>
      <w:r>
        <w:rPr>
          <w:rFonts w:ascii="" w:hAnsi="" w:eastAsia=""/>
          <w:b w:val="0"/>
          <w:i w:val="0"/>
          <w:color w:val="000000"/>
          <w:sz w:val="21"/>
        </w:rPr>
        <w:t xml:space="preserve">in ultricies neque facilisis. Praesent vulputate viverra dui quis lacinia. Aliquam erat volutpat. </w:t>
      </w:r>
      <w:r>
        <w:rPr>
          <w:rFonts w:ascii="" w:hAnsi="" w:eastAsia=""/>
          <w:b w:val="0"/>
          <w:i w:val="0"/>
          <w:color w:val="000000"/>
          <w:sz w:val="21"/>
        </w:rPr>
        <w:t xml:space="preserve">Vivamus ac luctus erat, sit amet euismod tortor. Suspendisse luctus arcu risus, nec sagittis purus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et. Vivamus vitae dui id eros congue faucibus. </w:t>
      </w:r>
    </w:p>
    <w:p>
      <w:pPr>
        <w:autoSpaceDN w:val="0"/>
        <w:autoSpaceDE w:val="0"/>
        <w:widowControl/>
        <w:spacing w:line="286" w:lineRule="exact" w:before="222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rutrum sit amet libero a dapibus. Donec gravida finibus justo nec eleifend. Phasellus eget </w:t>
      </w:r>
      <w:r>
        <w:rPr>
          <w:rFonts w:ascii="" w:hAnsi="" w:eastAsia=""/>
          <w:b w:val="0"/>
          <w:i w:val="0"/>
          <w:color w:val="000000"/>
          <w:sz w:val="21"/>
        </w:rPr>
        <w:t xml:space="preserve">venenatis erat, vitae pharetra ligula. Fusce ultricies, quam at scelerisque congue, eros justo </w:t>
      </w:r>
      <w:r>
        <w:rPr>
          <w:rFonts w:ascii="" w:hAnsi="" w:eastAsia=""/>
          <w:b w:val="0"/>
          <w:i w:val="0"/>
          <w:color w:val="000000"/>
          <w:sz w:val="21"/>
        </w:rPr>
        <w:t xml:space="preserve">vehicula quam, a ornare justo neque ac leo. Sed arcu eros, ultrices a commodo pharetra, porta a </w:t>
      </w:r>
      <w:r>
        <w:rPr>
          <w:rFonts w:ascii="" w:hAnsi="" w:eastAsia=""/>
          <w:b w:val="0"/>
          <w:i w:val="0"/>
          <w:color w:val="000000"/>
          <w:sz w:val="21"/>
        </w:rPr>
        <w:t xml:space="preserve">nunc. Etiam luctus, mauris a mattis tempus, quam turpis luctus turpis, vel suscipit purus ligula at </w:t>
      </w:r>
      <w:r>
        <w:rPr>
          <w:rFonts w:ascii="" w:hAnsi="" w:eastAsia=""/>
          <w:b w:val="0"/>
          <w:i w:val="0"/>
          <w:color w:val="000000"/>
          <w:sz w:val="21"/>
        </w:rPr>
        <w:t xml:space="preserve">nibh. Aenean tellus enim, maximus quis ante vel, aliquam gravida purus. Etiam ullamcorper mi </w:t>
      </w:r>
      <w:r>
        <w:rPr>
          <w:rFonts w:ascii="" w:hAnsi="" w:eastAsia=""/>
          <w:b w:val="0"/>
          <w:i w:val="0"/>
          <w:color w:val="000000"/>
          <w:sz w:val="21"/>
        </w:rPr>
        <w:t xml:space="preserve">suscipit, placerat metus vel, tincidunt felis. Maecenas efficitur est in nisi molestie suscipit. Mauris </w:t>
      </w:r>
      <w:r>
        <w:rPr>
          <w:rFonts w:ascii="" w:hAnsi="" w:eastAsia=""/>
          <w:b w:val="0"/>
          <w:i w:val="0"/>
          <w:color w:val="000000"/>
          <w:sz w:val="21"/>
        </w:rPr>
        <w:t xml:space="preserve">placerat bibendum scelerisque. Donec non iaculis nulla, bibendum faucibus nisi. Proin congue </w:t>
      </w:r>
      <w:r>
        <w:rPr>
          <w:rFonts w:ascii="" w:hAnsi="" w:eastAsia=""/>
          <w:b w:val="0"/>
          <w:i w:val="0"/>
          <w:color w:val="000000"/>
          <w:sz w:val="21"/>
        </w:rPr>
        <w:t xml:space="preserve">nulla dui, non vehicula ante pretium sed. Vestibulum pellentesque, nisi at molestie hendrerit, </w:t>
      </w:r>
      <w:r>
        <w:rPr>
          <w:rFonts w:ascii="" w:hAnsi="" w:eastAsia=""/>
          <w:b w:val="0"/>
          <w:i w:val="0"/>
          <w:color w:val="000000"/>
          <w:sz w:val="21"/>
        </w:rPr>
        <w:t xml:space="preserve">eros est dignissim erat, eu tincidunt ex dolor quis urna. </w:t>
      </w:r>
    </w:p>
    <w:p>
      <w:r>
        <w:br w:type="page"/>
      </w:r>
    </w:p>
    <w:p>
      <w:r>
        <w:t>Bibliography</w:t>
        <w:br/>
        <w:br/>
        <w:br/>
      </w:r>
    </w:p>
    <w:p>
      <w:r>
        <w:t>1. Andreff W. (2000). "The evolving European model of professional sports finance" Journal of Sports Economics, 1(3), 257–276.</w:t>
        <w:br/>
        <w:br/>
        <w:t>2. Bologna C. (2019, October 31). Why some people with anxiety love watching horror movies. Why some people with anxiety love watching horror movies. https://www.huffpost.com/entry/anxiety-love-watching-horror-movies_l_5d277587e4b02a5a5d57b59e</w:t>
        <w:br/>
        <w:br/>
        <w:t>3. Copleston, F. C. (1963). History of Philosophy, Volume VII: Fichte to Nietzsche. Paulist Press.</w:t>
        <w:br/>
        <w:br/>
        <w:t>4. Dillard, J. P. (2020). Currents in the study of persuasion. In Oliver, M. B., Raney, A. A. &amp; Bryant J. (Eds.), Media effects: Advances in theory and research (4 ed., pp. 115-129). Routledge.</w:t>
        <w:br/>
        <w:br/>
        <w:t>5. Dobrzański M. (2017). Begriff und Methode bei Arthur Schopenhauer. Dover Publications, Inc.</w:t>
        <w:br/>
        <w:br/>
        <w:t>6. Doggart J. (2007). "Minding the Gap: Realizing Our Ideal Community Writing Assistance Program" he Community Literacy Journal, 2(1), 71-80.</w:t>
        <w:br/>
        <w:br/>
        <w:t>7. Fischer K. (2011). Schopenhauers Leben, Werke und Lehre. Salzwasser Verlag.</w:t>
        <w:br/>
        <w:br/>
        <w:t>8. Nietzsche F. (1887). Unzeitgemässe Betrachtungen. Verlag von E.W. Fritzsch.</w:t>
        <w:br/>
        <w:br/>
        <w:t>9. Russel, B. A. (2009). History of Western Philosophy. Routledge.</w:t>
        <w:br/>
        <w:br/>
        <w:t>10. Sapolsky, R. M. (2017). Behave: The biology of humans at our best and worst. Penguin Books.</w:t>
        <w:br/>
        <w:br/>
        <w:t>11. Schopenhauer A. (1969). The World as Will and Representation. Dover Publications, Inc.</w:t>
        <w:br/>
        <w:br/>
        <w:t>12. Weinstein J. (2009). "The market in Plato’s Republic" Classical Philology, 104(4), 439-458.</w:t>
        <w:br/>
        <w:br/>
      </w:r>
    </w:p>
    <w:p>
      <w:r>
        <w:br w:type="page"/>
      </w:r>
    </w:p>
    <w:p>
      <w:r>
        <w:t>Bibliography</w:t>
        <w:br/>
        <w:br/>
        <w:br/>
      </w:r>
    </w:p>
    <w:p>
      <w:r>
        <w:t>1. Andreff W. (2000). "The evolving European model of professional sports finance" Journal of Sports Economics, 1(3), 257–276.</w:t>
        <w:br/>
        <w:br/>
        <w:t>2. Bologna C. (2019, October 31). Why some people with anxiety love watching horror movies. Why some people with anxiety love watching horror movies. https://www.huffpost.com/entry/anxiety-love-watching-horror-movies_l_5d277587e4b02a5a5d57b59e</w:t>
        <w:br/>
        <w:br/>
        <w:t>3. Copleston, F. C. (1963). History of Philosophy, Volume VII: Fichte to Nietzsche. Paulist Press.</w:t>
        <w:br/>
        <w:br/>
        <w:t>4. Dillard, J. P. (2020). Currents in the study of persuasion. In Oliver, M. B., Raney, A. A. &amp; Bryant J. (Eds.), Media effects: Advances in theory and research (4 ed., pp. 115-129). Routledge.</w:t>
        <w:br/>
        <w:br/>
        <w:t>5. Dobrzański M. (2017). Begriff und Methode bei Arthur Schopenhauer. Dover Publications, Inc.</w:t>
        <w:br/>
        <w:br/>
        <w:t>6. Doggart J. (2007). "Minding the Gap: Realizing Our Ideal Community Writing Assistance Program" he Community Literacy Journal, 2(1), 71-80.</w:t>
        <w:br/>
        <w:br/>
        <w:t>7. Fischer K. (2011). Schopenhauers Leben, Werke und Lehre. Salzwasser Verlag.</w:t>
        <w:br/>
        <w:br/>
        <w:t>8. Nietzsche F. (1887). Unzeitgemässe Betrachtungen. Verlag von E.W. Fritzsch.</w:t>
        <w:br/>
        <w:br/>
        <w:t>9. Russel, B. A. (2009). History of Western Philosophy. Routledge.</w:t>
        <w:br/>
        <w:br/>
        <w:t>10. Sapolsky, R. M. (2017). Behave: The biology of humans at our best and worst. Penguin Books.</w:t>
        <w:br/>
        <w:br/>
        <w:t>11. Schopenhauer A. (1969). The World as Will and Representation. Dover Publications, Inc.</w:t>
        <w:br/>
        <w:br/>
        <w:t>12. Weinstein J. (2009). "The market in Plato’s Republic" Classical Philology, 104(4), 439-458.</w:t>
        <w:br/>
        <w:br/>
      </w:r>
    </w:p>
    <w:p>
      <w:r>
        <w:br w:type="page"/>
      </w:r>
    </w:p>
    <w:p>
      <w:r>
        <w:t>Bibliography</w:t>
        <w:br/>
        <w:br/>
        <w:br/>
      </w:r>
    </w:p>
    <w:p>
      <w:r>
        <w:t>1. Andreff W. (2000). "The evolving European model of professional sports finance" Journal of Sports Economics, 1(3), 257–276.</w:t>
        <w:br/>
        <w:br/>
        <w:t>2. Bologna C. (2019, October 31). Why some people with anxiety love watching horror movies. Why some people with anxiety love watching horror movies. https://www.huffpost.com/entry/anxiety-love-watching-horror-movies_l_5d277587e4b02a5a5d57b59e</w:t>
        <w:br/>
        <w:br/>
        <w:t>3. Copleston, F. C. (1963). History of Philosophy, Volume VII: Fichte to Nietzsche. Paulist Press.</w:t>
        <w:br/>
        <w:br/>
        <w:t>4. Dillard, J. P. (2020). Currents in the study of persuasion. In Oliver, M. B., Raney, A. A. &amp; Bryant J. (Eds.), Media effects: Advances in theory and research (4 ed., pp. 115-129). Routledge.</w:t>
        <w:br/>
        <w:br/>
        <w:t>5. Dobrzański M. (2017). Begriff und Methode bei Arthur Schopenhauer. Dover Publications, Inc.</w:t>
        <w:br/>
        <w:br/>
        <w:t>6. Doggart J. (2007). "Minding the Gap: Realizing Our Ideal Community Writing Assistance Program" he Community Literacy Journal, 2(1), 71-80.</w:t>
        <w:br/>
        <w:br/>
        <w:t>7. Fischer K. (2011). Schopenhauers Leben, Werke und Lehre. Salzwasser Verlag.</w:t>
        <w:br/>
        <w:br/>
        <w:t>8. Nietzsche F. (1887). Unzeitgemässe Betrachtungen. Verlag von E.W. Fritzsch.</w:t>
        <w:br/>
        <w:br/>
        <w:t>9. Russel, B. A. (2009). History of Western Philosophy. Routledge.</w:t>
        <w:br/>
        <w:br/>
        <w:t>10. Sapolsky, R. M. (2017). Behave: The biology of humans at our best and worst. Penguin Books.</w:t>
        <w:br/>
        <w:br/>
        <w:t>11. Schopenhauer A. (1969). The World as Will and Representation. Dover Publications, Inc.</w:t>
        <w:br/>
        <w:br/>
        <w:t>12. Weinstein J. (2009). "The market in Plato’s Republic" Classical Philology, 104(4), 439-458.</w:t>
        <w:br/>
        <w:br/>
      </w:r>
    </w:p>
    <w:sectPr w:rsidR="00FC693F" w:rsidRPr="0006063C" w:rsidSect="00034616">
      <w:pgSz w:w="11904" w:h="16838"/>
      <w:pgMar w:top="566" w:right="77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