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808"/>
      </w:tblGrid>
      <w:tr>
        <w:tc>
          <w:tcPr>
            <w:tcW w:type="dxa" w:w="9808"/>
            <w:shd w:fill="17324D"/>
            <w:tcMar>
              <w:top w:w="780" w:type="dxa"/>
              <w:start w:w="520" w:type="dxa"/>
              <w:bottom w:w="780" w:type="dxa"/>
              <w:end w:w="520" w:type="dxa"/>
            </w:tcMar>
          </w:tcPr>
          <w:p>
            <w:pPr>
              <w:jc w:val="left"/>
            </w:pPr>
            <w:r>
              <w:rPr>
                <w:rFonts w:ascii="Noto Sans" w:hAnsi="Noto Sans" w:eastAsia="Noto Sans"/>
                <w:b/>
                <w:color w:val="BFD4DF"/>
                <w:sz w:val="24"/>
              </w:rPr>
              <w:t>GLOBAL INDEX RANKER / GIR</w:t>
            </w:r>
          </w:p>
          <w:p>
            <w:pPr>
              <w:jc w:val="left"/>
            </w:pPr>
            <w:r>
              <w:rPr>
                <w:rFonts w:ascii="Noto Sans" w:hAnsi="Noto Sans" w:eastAsia="Noto Sans"/>
                <w:b/>
                <w:color w:val="FFFFFF"/>
                <w:sz w:val="58"/>
              </w:rPr>
              <w:t>Методология проекта</w:t>
            </w:r>
          </w:p>
          <w:p>
            <w:pPr>
              <w:jc w:val="left"/>
            </w:pPr>
            <w:r>
              <w:rPr>
                <w:rFonts w:ascii="Noto Sans" w:hAnsi="Noto Sans" w:eastAsia="Noto Sans"/>
                <w:b w:val="0"/>
                <w:color w:val="E3EEF3"/>
                <w:sz w:val="30"/>
              </w:rPr>
              <w:t>Полное описание данных, индексов, расчётов, архитектуры, API и процедур проверки</w:t>
            </w:r>
          </w:p>
          <w:p>
            <w:pPr>
              <w:jc w:val="left"/>
            </w:pPr>
            <w:r>
              <w:rPr>
                <w:rFonts w:ascii="Noto Sans" w:hAnsi="Noto Sans" w:eastAsia="Noto Sans"/>
                <w:b w:val="0"/>
                <w:color w:val="BFD4DF"/>
                <w:sz w:val="21"/>
              </w:rPr>
              <w:t>Самостоятельный документ для экспертизы и последующего встраивания в страницу «Методология»</w:t>
            </w:r>
          </w:p>
        </w:tc>
      </w:tr>
    </w:tbl>
    <w:p/>
    <w:tbl>
      <w:tblPr>
        <w:tblStyle w:val="TableGrid"/>
        <w:tblW w:type="auto" w:w="0"/>
        <w:jc w:val="center"/>
        <w:tblLook w:firstColumn="1" w:firstRow="1" w:lastColumn="0" w:lastRow="0" w:noHBand="0" w:noVBand="1" w:val="04A0"/>
      </w:tblPr>
      <w:tblGrid>
        <w:gridCol w:w="4904"/>
        <w:gridCol w:w="4904"/>
      </w:tblGrid>
      <w:tr>
        <w:tc>
          <w:tcPr>
            <w:tcW w:type="dxa" w:w="4904"/>
            <w:shd w:fill="EEF3F6"/>
          </w:tcPr>
          <w:p>
            <w:pPr>
              <w:pStyle w:val="TableText"/>
            </w:pPr>
            <w:r>
              <w:rPr>
                <w:b/>
              </w:rPr>
              <w:t>Статус</w:t>
            </w:r>
          </w:p>
        </w:tc>
        <w:tc>
          <w:tcPr>
            <w:tcW w:type="dxa" w:w="4904"/>
          </w:tcPr>
          <w:p>
            <w:pPr>
              <w:pStyle w:val="TableText"/>
            </w:pPr>
            <w:r>
              <w:t>полная методологическая редакция по фактической релизной сборке</w:t>
            </w:r>
          </w:p>
        </w:tc>
      </w:tr>
      <w:tr>
        <w:tc>
          <w:tcPr>
            <w:tcW w:type="dxa" w:w="4904"/>
            <w:shd w:fill="EEF3F6"/>
          </w:tcPr>
          <w:p>
            <w:pPr>
              <w:pStyle w:val="TableText"/>
            </w:pPr>
            <w:r>
              <w:rPr>
                <w:b/>
              </w:rPr>
              <w:t>Дата среза</w:t>
            </w:r>
          </w:p>
        </w:tc>
        <w:tc>
          <w:tcPr>
            <w:tcW w:type="dxa" w:w="4904"/>
          </w:tcPr>
          <w:p>
            <w:pPr>
              <w:pStyle w:val="TableText"/>
            </w:pPr>
            <w:r>
              <w:t>12 июля 2026 г.</w:t>
            </w:r>
          </w:p>
        </w:tc>
      </w:tr>
      <w:tr>
        <w:tc>
          <w:tcPr>
            <w:tcW w:type="dxa" w:w="4904"/>
            <w:shd w:fill="EEF3F6"/>
          </w:tcPr>
          <w:p>
            <w:pPr>
              <w:pStyle w:val="TableText"/>
            </w:pPr>
            <w:r>
              <w:rPr>
                <w:b/>
              </w:rPr>
              <w:t>Основание</w:t>
            </w:r>
          </w:p>
        </w:tc>
        <w:tc>
          <w:tcPr>
            <w:tcW w:type="dxa" w:w="4904"/>
          </w:tcPr>
          <w:p>
            <w:pPr>
              <w:pStyle w:val="TableText"/>
            </w:pPr>
            <w:r>
              <w:t>архив global_index_platform_customer_final_20260712-132359.zip</w:t>
            </w:r>
          </w:p>
        </w:tc>
      </w:tr>
      <w:tr>
        <w:tc>
          <w:tcPr>
            <w:tcW w:type="dxa" w:w="4904"/>
            <w:shd w:fill="EEF3F6"/>
          </w:tcPr>
          <w:p>
            <w:pPr>
              <w:pStyle w:val="TableText"/>
            </w:pPr>
            <w:r>
              <w:rPr>
                <w:b/>
              </w:rPr>
              <w:t>Институциональная принадлежность</w:t>
            </w:r>
          </w:p>
        </w:tc>
        <w:tc>
          <w:tcPr>
            <w:tcW w:type="dxa" w:w="4904"/>
          </w:tcPr>
          <w:p>
            <w:pPr>
              <w:pStyle w:val="TableText"/>
            </w:pPr>
            <w:r>
              <w:t>GIR; технический namespace GIIP; MGIMO / FNISC RAS для HTEI</w:t>
            </w:r>
          </w:p>
        </w:tc>
      </w:tr>
      <w:tr>
        <w:tc>
          <w:tcPr>
            <w:tcW w:type="dxa" w:w="4904"/>
            <w:shd w:fill="EEF3F6"/>
          </w:tcPr>
          <w:p>
            <w:pPr>
              <w:pStyle w:val="TableText"/>
            </w:pPr>
            <w:r>
              <w:rPr>
                <w:b/>
              </w:rPr>
              <w:t>Назначение</w:t>
            </w:r>
          </w:p>
        </w:tc>
        <w:tc>
          <w:tcPr>
            <w:tcW w:type="dxa" w:w="4904"/>
          </w:tcPr>
          <w:p>
            <w:pPr>
              <w:pStyle w:val="TableText"/>
            </w:pPr>
            <w:r>
              <w:t>экспертная проверка, сопровождение, внедрение в веб-проект</w:t>
            </w:r>
          </w:p>
        </w:tc>
      </w:tr>
    </w:tbl>
    <w:p>
      <w:pPr>
        <w:jc w:val="center"/>
      </w:pPr>
      <w:r>
        <w:rPr>
          <w:rFonts w:ascii="Noto Sans" w:hAnsi="Noto Sans" w:eastAsia="Noto Sans"/>
          <w:b/>
          <w:color w:val="B5504D"/>
          <w:sz w:val="19"/>
        </w:rPr>
        <w:t>Важно: документ различает официальные индексы, официальные компоненты, диагностические преобразования платформы и авторские модели проекта.</w:t>
      </w:r>
    </w:p>
    <w:p>
      <w:r>
        <w:br w:type="page"/>
      </w:r>
    </w:p>
    <w:p>
      <w:bookmarkStart w:id="1006" w:name="status"/>
      <w:pPr>
        <w:pStyle w:val="Heading1"/>
      </w:pPr>
      <w:r>
        <w:t>Статус документа и правила чтения</w:t>
      </w:r>
      <w:bookmarkEnd w:id="1006"/>
    </w:p>
    <w:tbl>
      <w:tblPr>
        <w:tblW w:type="auto" w:w="0"/>
        <w:jc w:val="center"/>
        <w:tblLook w:firstColumn="1" w:firstRow="1" w:lastColumn="0" w:lastRow="0" w:noHBand="0" w:noVBand="1" w:val="04A0"/>
      </w:tblPr>
      <w:tblGrid>
        <w:gridCol w:w="9808"/>
      </w:tblGrid>
      <w:tr>
        <w:tc>
          <w:tcPr>
            <w:tcW w:type="dxa" w:w="9808"/>
            <w:shd w:fill="EEF3F6"/>
            <w:tcMar>
              <w:top w:w="120" w:type="dxa"/>
              <w:start w:w="170" w:type="dxa"/>
              <w:bottom w:w="120" w:type="dxa"/>
              <w:end w:w="170" w:type="dxa"/>
            </w:tcMar>
            <w:tcBorders>
              <w:top w:val="nil"/>
              <w:left w:val="single" w:sz="18" w:color="2F6B8A"/>
              <w:bottom w:val="nil"/>
              <w:right w:val="nil"/>
            </w:tcBorders>
          </w:tcPr>
          <w:p>
            <w:r>
              <w:rPr>
                <w:rFonts w:ascii="Noto Sans" w:hAnsi="Noto Sans" w:eastAsia="Noto Sans"/>
                <w:b/>
                <w:color w:val="2F6B8A"/>
                <w:sz w:val="18"/>
              </w:rPr>
              <w:t xml:space="preserve">Назначение — </w:t>
            </w:r>
            <w:r>
              <w:rPr>
                <w:rFonts w:ascii="Noto Sans" w:hAnsi="Noto Sans" w:eastAsia="Noto Sans"/>
                <w:color w:val="243746"/>
                <w:sz w:val="17"/>
              </w:rPr>
              <w:t>Документ описывает проект по фактическому содержимому переданного релизного архива и предназначен одновременно для научной экспертизы, технического сопровождения и последующей переработки веб-страницы «Методология».</w:t>
            </w:r>
          </w:p>
        </w:tc>
      </w:tr>
    </w:tbl>
    <w:p>
      <w:r>
        <w:rPr>
          <w:rFonts w:ascii="Noto Serif" w:hAnsi="Noto Serif" w:eastAsia="Noto Serif"/>
          <w:sz w:val="18"/>
        </w:rPr>
        <w:t>Платформа имеет публичное название Global Index Ranker (GIR), тогда как в исходном коде и структуре базы сохраняется исторический технический namespace GIIP. Это не две разные системы, а два уровня наименования одного продукта. В дальнейшем «GIR» обозначает проект и пользовательский интерфейс, а «GIIP» — технические модули, пути и идентификаторы, встречающиеся в коде.</w:t>
      </w:r>
    </w:p>
    <w:p>
      <w:r>
        <w:rPr>
          <w:rFonts w:ascii="Noto Serif" w:hAnsi="Noto Serif" w:eastAsia="Noto Serif"/>
          <w:sz w:val="18"/>
        </w:rPr>
        <w:t>Методология изложена по принципу «от смысла к реализации». Сначала объясняется, какую исследовательскую задачу решает платформа и чем отличаются типы показателей. Затем описываются данные, происхождение, преобразования и контроль качества. После этого приводятся паспорта индексов и авторских моделей, архитектура базы, API, программный стек, верификация и ограничения. Приложения содержат справочники, пригодные для прямого использования разработчиками и проверяющими.</w:t>
      </w:r>
    </w:p>
    <w:tbl>
      <w:tblPr>
        <w:tblW w:type="auto" w:w="0"/>
        <w:jc w:val="center"/>
        <w:tblLook w:firstColumn="1" w:firstRow="1" w:lastColumn="0" w:lastRow="0" w:noHBand="0" w:noVBand="1" w:val="04A0"/>
      </w:tblPr>
      <w:tblGrid>
        <w:gridCol w:w="9808"/>
      </w:tblGrid>
      <w:tr>
        <w:tc>
          <w:tcPr>
            <w:tcW w:type="dxa" w:w="9808"/>
            <w:shd w:fill="FCEFEF"/>
            <w:tcMar>
              <w:top w:w="120" w:type="dxa"/>
              <w:start w:w="170" w:type="dxa"/>
              <w:bottom w:w="120" w:type="dxa"/>
              <w:end w:w="170" w:type="dxa"/>
            </w:tcMar>
            <w:tcBorders>
              <w:top w:val="nil"/>
              <w:left w:val="single" w:sz="18" w:color="B5504D"/>
              <w:bottom w:val="nil"/>
              <w:right w:val="nil"/>
            </w:tcBorders>
          </w:tcPr>
          <w:p>
            <w:r>
              <w:rPr>
                <w:rFonts w:ascii="Noto Sans" w:hAnsi="Noto Sans" w:eastAsia="Noto Sans"/>
                <w:b/>
                <w:color w:val="B5504D"/>
                <w:sz w:val="18"/>
              </w:rPr>
              <w:t xml:space="preserve">Главное методологическое правило — </w:t>
            </w:r>
            <w:r>
              <w:rPr>
                <w:rFonts w:ascii="Noto Sans" w:hAnsi="Noto Sans" w:eastAsia="Noto Sans"/>
                <w:color w:val="243746"/>
                <w:sz w:val="17"/>
              </w:rPr>
              <w:t>Официальный индекс, официальный компонент, диагностическое преобразование GIR и авторский составной показатель — разные сущности. Они должны иметь разную маркировку, разные формулировки в интерфейсе и разный уровень допустимых выводов.</w:t>
            </w:r>
          </w:p>
        </w:tc>
      </w:tr>
    </w:tbl>
    <w:p>
      <w:pPr>
        <w:pStyle w:val="Caption"/>
      </w:pPr>
      <w:r>
        <w:t>Таблица 1. Ключевые характеристики анализируемой сборки</w:t>
      </w:r>
    </w:p>
    <w:tbl>
      <w:tblPr>
        <w:tblW w:type="auto" w:w="0"/>
        <w:jc w:val="center"/>
        <w:tblLayout w:type="autofit"/>
        <w:tblLook w:firstColumn="1" w:firstRow="1" w:lastColumn="0" w:lastRow="0" w:noHBand="0" w:noVBand="1" w:val="04A0"/>
      </w:tblPr>
      <w:tblGrid>
        <w:gridCol w:w="4904"/>
        <w:gridCol w:w="4904"/>
      </w:tblGrid>
      <w:tr>
        <w:trPr>
          <w:tblHeader w:val="true"/>
        </w:trPr>
        <w:tc>
          <w:tcPr>
            <w:tcW w:type="dxa" w:w="3402"/>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Параметр</w:t>
            </w:r>
          </w:p>
        </w:tc>
        <w:tc>
          <w:tcPr>
            <w:tcW w:type="dxa" w:w="5953"/>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Значение</w:t>
            </w:r>
          </w:p>
        </w:tc>
      </w:tr>
      <w:tr>
        <w:trPr>
          <w:cantSplit/>
        </w:trPr>
        <w:tc>
          <w:tcPr>
            <w:tcW w:type="dxa" w:w="3402"/>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Файлы в архиве</w:t>
            </w:r>
          </w:p>
        </w:tc>
        <w:tc>
          <w:tcPr>
            <w:tcW w:type="dxa" w:w="5953"/>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1 152</w:t>
            </w:r>
          </w:p>
        </w:tc>
      </w:tr>
      <w:tr>
        <w:trPr>
          <w:cantSplit/>
        </w:trPr>
        <w:tc>
          <w:tcPr>
            <w:tcW w:type="dxa" w:w="3402"/>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Распакованный объём</w:t>
            </w:r>
          </w:p>
        </w:tc>
        <w:tc>
          <w:tcPr>
            <w:tcW w:type="dxa" w:w="5953"/>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 890,4 МБ</w:t>
            </w:r>
          </w:p>
        </w:tc>
      </w:tr>
      <w:tr>
        <w:trPr>
          <w:cantSplit/>
        </w:trPr>
        <w:tc>
          <w:tcPr>
            <w:tcW w:type="dxa" w:w="3402"/>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База SQLite</w:t>
            </w:r>
          </w:p>
        </w:tc>
        <w:tc>
          <w:tcPr>
            <w:tcW w:type="dxa" w:w="5953"/>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187 400 192 байта (≈ 178,7 MiB)</w:t>
            </w:r>
          </w:p>
        </w:tc>
      </w:tr>
      <w:tr>
        <w:trPr>
          <w:cantSplit/>
        </w:trPr>
        <w:tc>
          <w:tcPr>
            <w:tcW w:type="dxa" w:w="3402"/>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Страны и территории</w:t>
            </w:r>
          </w:p>
        </w:tc>
        <w:tc>
          <w:tcPr>
            <w:tcW w:type="dxa" w:w="5953"/>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225</w:t>
            </w:r>
          </w:p>
        </w:tc>
      </w:tr>
      <w:tr>
        <w:trPr>
          <w:cantSplit/>
        </w:trPr>
        <w:tc>
          <w:tcPr>
            <w:tcW w:type="dxa" w:w="3402"/>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Таблицы базы данных</w:t>
            </w:r>
          </w:p>
        </w:tc>
        <w:tc>
          <w:tcPr>
            <w:tcW w:type="dxa" w:w="5953"/>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36</w:t>
            </w:r>
          </w:p>
        </w:tc>
      </w:tr>
      <w:tr>
        <w:trPr>
          <w:cantSplit/>
        </w:trPr>
        <w:tc>
          <w:tcPr>
            <w:tcW w:type="dxa" w:w="3402"/>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Публичные API-маршруты</w:t>
            </w:r>
          </w:p>
        </w:tc>
        <w:tc>
          <w:tcPr>
            <w:tcW w:type="dxa" w:w="5953"/>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47</w:t>
            </w:r>
          </w:p>
        </w:tc>
      </w:tr>
      <w:tr>
        <w:trPr>
          <w:cantSplit/>
        </w:trPr>
        <w:tc>
          <w:tcPr>
            <w:tcW w:type="dxa" w:w="3402"/>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Индексные оценки</w:t>
            </w:r>
          </w:p>
        </w:tc>
        <w:tc>
          <w:tcPr>
            <w:tcW w:type="dxa" w:w="5953"/>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10 076</w:t>
            </w:r>
          </w:p>
        </w:tc>
      </w:tr>
      <w:tr>
        <w:trPr>
          <w:cantSplit/>
        </w:trPr>
        <w:tc>
          <w:tcPr>
            <w:tcW w:type="dxa" w:w="3402"/>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Компонентные значения</w:t>
            </w:r>
          </w:p>
        </w:tc>
        <w:tc>
          <w:tcPr>
            <w:tcW w:type="dxa" w:w="5953"/>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36 945</w:t>
            </w:r>
          </w:p>
        </w:tc>
      </w:tr>
      <w:tr>
        <w:trPr>
          <w:cantSplit/>
        </w:trPr>
        <w:tc>
          <w:tcPr>
            <w:tcW w:type="dxa" w:w="3402"/>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Исходные наблюдения</w:t>
            </w:r>
          </w:p>
        </w:tc>
        <w:tc>
          <w:tcPr>
            <w:tcW w:type="dxa" w:w="5953"/>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18 569</w:t>
            </w:r>
          </w:p>
        </w:tc>
      </w:tr>
      <w:tr>
        <w:trPr>
          <w:cantSplit/>
        </w:trPr>
        <w:tc>
          <w:tcPr>
            <w:tcW w:type="dxa" w:w="3402"/>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Снимки источников</w:t>
            </w:r>
          </w:p>
        </w:tc>
        <w:tc>
          <w:tcPr>
            <w:tcW w:type="dxa" w:w="5953"/>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275</w:t>
            </w:r>
          </w:p>
        </w:tc>
      </w:tr>
      <w:tr>
        <w:trPr>
          <w:cantSplit/>
        </w:trPr>
        <w:tc>
          <w:tcPr>
            <w:tcW w:type="dxa" w:w="3402"/>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Артефакты воспроизводимости</w:t>
            </w:r>
          </w:p>
        </w:tc>
        <w:tc>
          <w:tcPr>
            <w:tcW w:type="dxa" w:w="5953"/>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376</w:t>
            </w:r>
          </w:p>
        </w:tc>
      </w:tr>
      <w:tr>
        <w:trPr>
          <w:cantSplit/>
        </w:trPr>
        <w:tc>
          <w:tcPr>
            <w:tcW w:type="dxa" w:w="3402"/>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Python-тесты</w:t>
            </w:r>
          </w:p>
        </w:tc>
        <w:tc>
          <w:tcPr>
            <w:tcW w:type="dxa" w:w="5953"/>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72 из 72 пройдены</w:t>
            </w:r>
          </w:p>
        </w:tc>
      </w:tr>
      <w:tr>
        <w:trPr>
          <w:cantSplit/>
        </w:trPr>
        <w:tc>
          <w:tcPr>
            <w:tcW w:type="dxa" w:w="3402"/>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Playwright-сценарии</w:t>
            </w:r>
          </w:p>
        </w:tc>
        <w:tc>
          <w:tcPr>
            <w:tcW w:type="dxa" w:w="5953"/>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640 из 640 пройдены</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Инвентаризация архива, SQLite и актуальные валидаторы сборки от 12.07.2026.</w:t>
      </w:r>
    </w:p>
    <w:p>
      <w:bookmarkStart w:id="1036" w:name="contents"/>
      <w:pPr>
        <w:pStyle w:val="Heading1"/>
      </w:pPr>
      <w:r>
        <w:t>Содержание</w:t>
      </w:r>
      <w:bookmarkEnd w:id="1036"/>
    </w:p>
    <w:tbl>
      <w:tblPr>
        <w:tblW w:type="auto" w:w="0"/>
        <w:jc w:val="center"/>
        <w:tblLayout w:type="autofit"/>
        <w:tblLook w:firstColumn="1" w:firstRow="1" w:lastColumn="0" w:lastRow="0" w:noHBand="0" w:noVBand="1" w:val="04A0"/>
      </w:tblPr>
      <w:tblGrid>
        <w:gridCol w:w="4904"/>
        <w:gridCol w:w="4904"/>
      </w:tblGrid>
      <w:tr>
        <w:tc>
          <w:tcPr>
            <w:tcW w:type="dxa" w:w="4904"/>
            <w:tcMar>
              <w:top w:w="35" w:type="dxa"/>
              <w:start w:w="70" w:type="dxa"/>
              <w:bottom w:w="35" w:type="dxa"/>
              <w:end w:w="70" w:type="dxa"/>
            </w:tcMar>
            <w:tcBorders>
              <w:top w:val="nil"/>
              <w:left w:val="nil"/>
              <w:bottom w:val="nil"/>
              <w:right w:val="nil"/>
            </w:tcBorders>
          </w:tcPr>
          <w:p>
            <w:pPr>
              <w:pStyle w:val="BodyCompact"/>
              <w:spacing w:after="0"/>
            </w:pPr>
            <w:hyperlink w:anchor="sec1">
              <w:r>
                <w:rPr>
                  <w:color w:val="2F6B8A"/>
                  <w:u w:val="single"/>
                </w:rPr>
                <w:t>1. Резюме проекта</w:t>
              </w:r>
            </w:hyperlink>
          </w:p>
        </w:tc>
        <w:tc>
          <w:tcPr>
            <w:tcW w:type="dxa" w:w="4904"/>
            <w:tcMar>
              <w:top w:w="35" w:type="dxa"/>
              <w:start w:w="70" w:type="dxa"/>
              <w:bottom w:w="35" w:type="dxa"/>
              <w:end w:w="70" w:type="dxa"/>
            </w:tcMar>
            <w:tcBorders>
              <w:top w:val="nil"/>
              <w:left w:val="nil"/>
              <w:bottom w:val="nil"/>
              <w:right w:val="nil"/>
            </w:tcBorders>
          </w:tcPr>
          <w:p>
            <w:pPr>
              <w:pStyle w:val="BodyCompact"/>
              <w:spacing w:after="0"/>
            </w:pPr>
            <w:hyperlink w:anchor="sec11">
              <w:r>
                <w:rPr>
                  <w:color w:val="2F6B8A"/>
                  <w:u w:val="single"/>
                </w:rPr>
                <w:t>11. Модель подготовки кадров</w:t>
              </w:r>
            </w:hyperlink>
          </w:p>
        </w:tc>
      </w:tr>
      <w:tr>
        <w:tc>
          <w:tcPr>
            <w:tcW w:type="dxa" w:w="4904"/>
            <w:tcMar>
              <w:top w:w="35" w:type="dxa"/>
              <w:start w:w="70" w:type="dxa"/>
              <w:bottom w:w="35" w:type="dxa"/>
              <w:end w:w="70" w:type="dxa"/>
            </w:tcMar>
            <w:tcBorders>
              <w:top w:val="nil"/>
              <w:left w:val="nil"/>
              <w:bottom w:val="nil"/>
              <w:right w:val="nil"/>
            </w:tcBorders>
          </w:tcPr>
          <w:p>
            <w:pPr>
              <w:pStyle w:val="BodyCompact"/>
              <w:spacing w:after="0"/>
            </w:pPr>
            <w:hyperlink w:anchor="sec2">
              <w:r>
                <w:rPr>
                  <w:color w:val="2F6B8A"/>
                  <w:u w:val="single"/>
                </w:rPr>
                <w:t>2. Цели, задачи и границы</w:t>
              </w:r>
            </w:hyperlink>
          </w:p>
        </w:tc>
        <w:tc>
          <w:tcPr>
            <w:tcW w:type="dxa" w:w="4904"/>
            <w:tcMar>
              <w:top w:w="35" w:type="dxa"/>
              <w:start w:w="70" w:type="dxa"/>
              <w:bottom w:w="35" w:type="dxa"/>
              <w:end w:w="70" w:type="dxa"/>
            </w:tcMar>
            <w:tcBorders>
              <w:top w:val="nil"/>
              <w:left w:val="nil"/>
              <w:bottom w:val="nil"/>
              <w:right w:val="nil"/>
            </w:tcBorders>
          </w:tcPr>
          <w:p>
            <w:pPr>
              <w:pStyle w:val="BodyCompact"/>
              <w:spacing w:after="0"/>
            </w:pPr>
            <w:hyperlink w:anchor="sec12">
              <w:r>
                <w:rPr>
                  <w:color w:val="2F6B8A"/>
                  <w:u w:val="single"/>
                </w:rPr>
                <w:t>12. Национальная и корпоративная статистика</w:t>
              </w:r>
            </w:hyperlink>
          </w:p>
        </w:tc>
      </w:tr>
      <w:tr>
        <w:tc>
          <w:tcPr>
            <w:tcW w:type="dxa" w:w="4904"/>
            <w:tcMar>
              <w:top w:w="35" w:type="dxa"/>
              <w:start w:w="70" w:type="dxa"/>
              <w:bottom w:w="35" w:type="dxa"/>
              <w:end w:w="70" w:type="dxa"/>
            </w:tcMar>
            <w:tcBorders>
              <w:top w:val="nil"/>
              <w:left w:val="nil"/>
              <w:bottom w:val="nil"/>
              <w:right w:val="nil"/>
            </w:tcBorders>
          </w:tcPr>
          <w:p>
            <w:pPr>
              <w:pStyle w:val="BodyCompact"/>
              <w:spacing w:after="0"/>
            </w:pPr>
            <w:hyperlink w:anchor="sec3">
              <w:r>
                <w:rPr>
                  <w:color w:val="2F6B8A"/>
                  <w:u w:val="single"/>
                </w:rPr>
                <w:t>3. Методологическая рамка</w:t>
              </w:r>
            </w:hyperlink>
          </w:p>
        </w:tc>
        <w:tc>
          <w:tcPr>
            <w:tcW w:type="dxa" w:w="4904"/>
            <w:tcMar>
              <w:top w:w="35" w:type="dxa"/>
              <w:start w:w="70" w:type="dxa"/>
              <w:bottom w:w="35" w:type="dxa"/>
              <w:end w:w="70" w:type="dxa"/>
            </w:tcMar>
            <w:tcBorders>
              <w:top w:val="nil"/>
              <w:left w:val="nil"/>
              <w:bottom w:val="nil"/>
              <w:right w:val="nil"/>
            </w:tcBorders>
          </w:tcPr>
          <w:p>
            <w:pPr>
              <w:pStyle w:val="BodyCompact"/>
              <w:spacing w:after="0"/>
            </w:pPr>
            <w:hyperlink w:anchor="sec13">
              <w:r>
                <w:rPr>
                  <w:color w:val="2F6B8A"/>
                  <w:u w:val="single"/>
                </w:rPr>
                <w:t>13. API и экспорт</w:t>
              </w:r>
            </w:hyperlink>
          </w:p>
        </w:tc>
      </w:tr>
      <w:tr>
        <w:tc>
          <w:tcPr>
            <w:tcW w:type="dxa" w:w="4904"/>
            <w:tcMar>
              <w:top w:w="35" w:type="dxa"/>
              <w:start w:w="70" w:type="dxa"/>
              <w:bottom w:w="35" w:type="dxa"/>
              <w:end w:w="70" w:type="dxa"/>
            </w:tcMar>
            <w:tcBorders>
              <w:top w:val="nil"/>
              <w:left w:val="nil"/>
              <w:bottom w:val="nil"/>
              <w:right w:val="nil"/>
            </w:tcBorders>
          </w:tcPr>
          <w:p>
            <w:pPr>
              <w:pStyle w:val="BodyCompact"/>
              <w:spacing w:after="0"/>
            </w:pPr>
            <w:hyperlink w:anchor="sec4">
              <w:r>
                <w:rPr>
                  <w:color w:val="2F6B8A"/>
                  <w:u w:val="single"/>
                </w:rPr>
                <w:t>4. Архитектура и жизненный цикл данных</w:t>
              </w:r>
            </w:hyperlink>
          </w:p>
        </w:tc>
        <w:tc>
          <w:tcPr>
            <w:tcW w:type="dxa" w:w="4904"/>
            <w:tcMar>
              <w:top w:w="35" w:type="dxa"/>
              <w:start w:w="70" w:type="dxa"/>
              <w:bottom w:w="35" w:type="dxa"/>
              <w:end w:w="70" w:type="dxa"/>
            </w:tcMar>
            <w:tcBorders>
              <w:top w:val="nil"/>
              <w:left w:val="nil"/>
              <w:bottom w:val="nil"/>
              <w:right w:val="nil"/>
            </w:tcBorders>
          </w:tcPr>
          <w:p>
            <w:pPr>
              <w:pStyle w:val="BodyCompact"/>
              <w:spacing w:after="0"/>
            </w:pPr>
            <w:hyperlink w:anchor="sec14">
              <w:r>
                <w:rPr>
                  <w:color w:val="2F6B8A"/>
                  <w:u w:val="single"/>
                </w:rPr>
                <w:t>14. Техническая архитектура</w:t>
              </w:r>
            </w:hyperlink>
          </w:p>
        </w:tc>
      </w:tr>
      <w:tr>
        <w:tc>
          <w:tcPr>
            <w:tcW w:type="dxa" w:w="4904"/>
            <w:tcMar>
              <w:top w:w="35" w:type="dxa"/>
              <w:start w:w="70" w:type="dxa"/>
              <w:bottom w:w="35" w:type="dxa"/>
              <w:end w:w="70" w:type="dxa"/>
            </w:tcMar>
            <w:tcBorders>
              <w:top w:val="nil"/>
              <w:left w:val="nil"/>
              <w:bottom w:val="nil"/>
              <w:right w:val="nil"/>
            </w:tcBorders>
          </w:tcPr>
          <w:p>
            <w:pPr>
              <w:pStyle w:val="BodyCompact"/>
              <w:spacing w:after="0"/>
            </w:pPr>
            <w:hyperlink w:anchor="sec5">
              <w:r>
                <w:rPr>
                  <w:color w:val="2F6B8A"/>
                  <w:u w:val="single"/>
                </w:rPr>
                <w:t>5. Состав и объём данных</w:t>
              </w:r>
            </w:hyperlink>
          </w:p>
        </w:tc>
        <w:tc>
          <w:tcPr>
            <w:tcW w:type="dxa" w:w="4904"/>
            <w:tcMar>
              <w:top w:w="35" w:type="dxa"/>
              <w:start w:w="70" w:type="dxa"/>
              <w:bottom w:w="35" w:type="dxa"/>
              <w:end w:w="70" w:type="dxa"/>
            </w:tcMar>
            <w:tcBorders>
              <w:top w:val="nil"/>
              <w:left w:val="nil"/>
              <w:bottom w:val="nil"/>
              <w:right w:val="nil"/>
            </w:tcBorders>
          </w:tcPr>
          <w:p>
            <w:pPr>
              <w:pStyle w:val="BodyCompact"/>
              <w:spacing w:after="0"/>
            </w:pPr>
            <w:hyperlink w:anchor="sec15">
              <w:r>
                <w:rPr>
                  <w:color w:val="2F6B8A"/>
                  <w:u w:val="single"/>
                </w:rPr>
                <w:t>15. Контроль качества и релиз</w:t>
              </w:r>
            </w:hyperlink>
          </w:p>
        </w:tc>
      </w:tr>
      <w:tr>
        <w:tc>
          <w:tcPr>
            <w:tcW w:type="dxa" w:w="4904"/>
            <w:tcMar>
              <w:top w:w="35" w:type="dxa"/>
              <w:start w:w="70" w:type="dxa"/>
              <w:bottom w:w="35" w:type="dxa"/>
              <w:end w:w="70" w:type="dxa"/>
            </w:tcMar>
            <w:tcBorders>
              <w:top w:val="nil"/>
              <w:left w:val="nil"/>
              <w:bottom w:val="nil"/>
              <w:right w:val="nil"/>
            </w:tcBorders>
          </w:tcPr>
          <w:p>
            <w:pPr>
              <w:pStyle w:val="BodyCompact"/>
              <w:spacing w:after="0"/>
            </w:pPr>
            <w:hyperlink w:anchor="sec6">
              <w:r>
                <w:rPr>
                  <w:color w:val="2F6B8A"/>
                  <w:u w:val="single"/>
                </w:rPr>
                <w:t>6. Источники, происхождение и правовой режим</w:t>
              </w:r>
            </w:hyperlink>
          </w:p>
        </w:tc>
        <w:tc>
          <w:tcPr>
            <w:tcW w:type="dxa" w:w="4904"/>
            <w:tcMar>
              <w:top w:w="35" w:type="dxa"/>
              <w:start w:w="70" w:type="dxa"/>
              <w:bottom w:w="35" w:type="dxa"/>
              <w:end w:w="70" w:type="dxa"/>
            </w:tcMar>
            <w:tcBorders>
              <w:top w:val="nil"/>
              <w:left w:val="nil"/>
              <w:bottom w:val="nil"/>
              <w:right w:val="nil"/>
            </w:tcBorders>
          </w:tcPr>
          <w:p>
            <w:pPr>
              <w:pStyle w:val="BodyCompact"/>
              <w:spacing w:after="0"/>
            </w:pPr>
            <w:hyperlink w:anchor="sec16">
              <w:r>
                <w:rPr>
                  <w:color w:val="2F6B8A"/>
                  <w:u w:val="single"/>
                </w:rPr>
                <w:t>16. Ограничения интерпретации</w:t>
              </w:r>
            </w:hyperlink>
          </w:p>
        </w:tc>
      </w:tr>
      <w:tr>
        <w:tc>
          <w:tcPr>
            <w:tcW w:type="dxa" w:w="4904"/>
            <w:tcMar>
              <w:top w:w="35" w:type="dxa"/>
              <w:start w:w="70" w:type="dxa"/>
              <w:bottom w:w="35" w:type="dxa"/>
              <w:end w:w="70" w:type="dxa"/>
            </w:tcMar>
            <w:tcBorders>
              <w:top w:val="nil"/>
              <w:left w:val="nil"/>
              <w:bottom w:val="nil"/>
              <w:right w:val="nil"/>
            </w:tcBorders>
          </w:tcPr>
          <w:p>
            <w:pPr>
              <w:pStyle w:val="BodyCompact"/>
              <w:spacing w:after="0"/>
            </w:pPr>
            <w:hyperlink w:anchor="sec7">
              <w:r>
                <w:rPr>
                  <w:color w:val="2F6B8A"/>
                  <w:u w:val="single"/>
                </w:rPr>
                <w:t>7. Структура базы данных</w:t>
              </w:r>
            </w:hyperlink>
          </w:p>
        </w:tc>
        <w:tc>
          <w:tcPr>
            <w:tcW w:type="dxa" w:w="4904"/>
            <w:tcMar>
              <w:top w:w="35" w:type="dxa"/>
              <w:start w:w="70" w:type="dxa"/>
              <w:bottom w:w="35" w:type="dxa"/>
              <w:end w:w="70" w:type="dxa"/>
            </w:tcMar>
            <w:tcBorders>
              <w:top w:val="nil"/>
              <w:left w:val="nil"/>
              <w:bottom w:val="nil"/>
              <w:right w:val="nil"/>
            </w:tcBorders>
          </w:tcPr>
          <w:p>
            <w:pPr>
              <w:pStyle w:val="BodyCompact"/>
              <w:spacing w:after="0"/>
            </w:pPr>
            <w:hyperlink w:anchor="sec17">
              <w:r>
                <w:rPr>
                  <w:color w:val="2F6B8A"/>
                  <w:u w:val="single"/>
                </w:rPr>
                <w:t>17. Несогласованности</w:t>
              </w:r>
            </w:hyperlink>
          </w:p>
        </w:tc>
      </w:tr>
      <w:tr>
        <w:tc>
          <w:tcPr>
            <w:tcW w:type="dxa" w:w="4904"/>
            <w:tcMar>
              <w:top w:w="35" w:type="dxa"/>
              <w:start w:w="70" w:type="dxa"/>
              <w:bottom w:w="35" w:type="dxa"/>
              <w:end w:w="70" w:type="dxa"/>
            </w:tcMar>
            <w:tcBorders>
              <w:top w:val="nil"/>
              <w:left w:val="nil"/>
              <w:bottom w:val="nil"/>
              <w:right w:val="nil"/>
            </w:tcBorders>
          </w:tcPr>
          <w:p>
            <w:pPr>
              <w:pStyle w:val="BodyCompact"/>
              <w:spacing w:after="0"/>
            </w:pPr>
            <w:hyperlink w:anchor="sec8">
              <w:r>
                <w:rPr>
                  <w:color w:val="2F6B8A"/>
                  <w:u w:val="single"/>
                </w:rPr>
                <w:t>8. Общие алгоритмы расчёта</w:t>
              </w:r>
            </w:hyperlink>
          </w:p>
        </w:tc>
        <w:tc>
          <w:tcPr>
            <w:tcW w:type="dxa" w:w="4904"/>
            <w:tcMar>
              <w:top w:w="35" w:type="dxa"/>
              <w:start w:w="70" w:type="dxa"/>
              <w:bottom w:w="35" w:type="dxa"/>
              <w:end w:w="70" w:type="dxa"/>
            </w:tcMar>
            <w:tcBorders>
              <w:top w:val="nil"/>
              <w:left w:val="nil"/>
              <w:bottom w:val="nil"/>
              <w:right w:val="nil"/>
            </w:tcBorders>
          </w:tcPr>
          <w:p>
            <w:pPr>
              <w:pStyle w:val="BodyCompact"/>
              <w:spacing w:after="0"/>
            </w:pPr>
            <w:hyperlink w:anchor="sec18">
              <w:r>
                <w:rPr>
                  <w:color w:val="2F6B8A"/>
                  <w:u w:val="single"/>
                </w:rPr>
                <w:t>18. Новая страница «Методология»</w:t>
              </w:r>
            </w:hyperlink>
          </w:p>
        </w:tc>
      </w:tr>
      <w:tr>
        <w:tc>
          <w:tcPr>
            <w:tcW w:type="dxa" w:w="4904"/>
            <w:tcMar>
              <w:top w:w="35" w:type="dxa"/>
              <w:start w:w="70" w:type="dxa"/>
              <w:bottom w:w="35" w:type="dxa"/>
              <w:end w:w="70" w:type="dxa"/>
            </w:tcMar>
            <w:tcBorders>
              <w:top w:val="nil"/>
              <w:left w:val="nil"/>
              <w:bottom w:val="nil"/>
              <w:right w:val="nil"/>
            </w:tcBorders>
          </w:tcPr>
          <w:p>
            <w:pPr>
              <w:pStyle w:val="BodyCompact"/>
              <w:spacing w:after="0"/>
            </w:pPr>
            <w:hyperlink w:anchor="sec9">
              <w:r>
                <w:rPr>
                  <w:color w:val="2F6B8A"/>
                  <w:u w:val="single"/>
                </w:rPr>
                <w:t>9. Паспорта индексных модулей</w:t>
              </w:r>
            </w:hyperlink>
          </w:p>
        </w:tc>
        <w:tc>
          <w:tcPr>
            <w:tcW w:type="dxa" w:w="4904"/>
            <w:tcMar>
              <w:top w:w="35" w:type="dxa"/>
              <w:start w:w="70" w:type="dxa"/>
              <w:bottom w:w="35" w:type="dxa"/>
              <w:end w:w="70" w:type="dxa"/>
            </w:tcMar>
            <w:tcBorders>
              <w:top w:val="nil"/>
              <w:left w:val="nil"/>
              <w:bottom w:val="nil"/>
              <w:right w:val="nil"/>
            </w:tcBorders>
          </w:tcPr>
          <w:p>
            <w:pPr>
              <w:pStyle w:val="BodyCompact"/>
              <w:spacing w:after="0"/>
            </w:pPr>
            <w:hyperlink w:anchor="sec19">
              <w:r>
                <w:rPr>
                  <w:color w:val="2F6B8A"/>
                  <w:u w:val="single"/>
                </w:rPr>
                <w:t>19. Заключение</w:t>
              </w:r>
            </w:hyperlink>
          </w:p>
        </w:tc>
      </w:tr>
      <w:tr>
        <w:tc>
          <w:tcPr>
            <w:tcW w:type="dxa" w:w="4904"/>
            <w:tcMar>
              <w:top w:w="35" w:type="dxa"/>
              <w:start w:w="70" w:type="dxa"/>
              <w:bottom w:w="35" w:type="dxa"/>
              <w:end w:w="70" w:type="dxa"/>
            </w:tcMar>
            <w:tcBorders>
              <w:top w:val="nil"/>
              <w:left w:val="nil"/>
              <w:bottom w:val="nil"/>
              <w:right w:val="nil"/>
            </w:tcBorders>
          </w:tcPr>
          <w:p>
            <w:pPr>
              <w:pStyle w:val="BodyCompact"/>
              <w:spacing w:after="0"/>
            </w:pPr>
            <w:hyperlink w:anchor="sec10">
              <w:r>
                <w:rPr>
                  <w:color w:val="2F6B8A"/>
                  <w:u w:val="single"/>
                </w:rPr>
                <w:t>10. Авторский индекс HTEI v6</w:t>
              </w:r>
            </w:hyperlink>
          </w:p>
        </w:tc>
        <w:tc>
          <w:tcPr>
            <w:tcW w:type="dxa" w:w="4904"/>
            <w:tcMar>
              <w:top w:w="35" w:type="dxa"/>
              <w:start w:w="70" w:type="dxa"/>
              <w:bottom w:w="35" w:type="dxa"/>
              <w:end w:w="70" w:type="dxa"/>
            </w:tcMar>
            <w:tcBorders>
              <w:top w:val="nil"/>
              <w:left w:val="nil"/>
              <w:bottom w:val="nil"/>
              <w:right w:val="nil"/>
            </w:tcBorders>
          </w:tcPr>
          <w:p>
            <w:pPr>
              <w:pStyle w:val="BodyCompact"/>
              <w:spacing w:after="0"/>
            </w:pPr>
            <w:hyperlink w:anchor="appendices">
              <w:r>
                <w:rPr>
                  <w:color w:val="2F6B8A"/>
                  <w:u w:val="single"/>
                </w:rPr>
                <w:t>Приложения</w:t>
              </w:r>
            </w:hyperlink>
          </w:p>
        </w:tc>
      </w:tr>
    </w:tbl>
    <w:p>
      <w:bookmarkStart w:id="1059" w:name="sec1"/>
      <w:pPr>
        <w:pStyle w:val="Heading1"/>
      </w:pPr>
      <w:r>
        <w:t>1. Резюме проекта</w:t>
      </w:r>
      <w:bookmarkEnd w:id="1059"/>
    </w:p>
    <w:p>
      <w:r>
        <w:rPr>
          <w:rFonts w:ascii="Noto Serif" w:hAnsi="Noto Serif" w:eastAsia="Noto Serif"/>
          <w:sz w:val="18"/>
        </w:rPr>
        <w:t>GIR — исследовательская и информационно-аналитическая платформа для сопоставления стран по человеческому развитию, человеческому капиталу, талантам, инновациям, цифровой связанности, инженерно-технологическому образованию и технологической занятости. Её ценность состоит не в механическом объединении разнородных рейтингов, а в единой системе происхождения данных, сопоставимых страновых профилей, компонентной диагностики, алгоритмов рекомендаций и воспроизводимого программного контура.</w:t>
      </w:r>
    </w:p>
    <w:p>
      <w:r>
        <w:rPr>
          <w:rFonts w:ascii="Noto Serif" w:hAnsi="Noto Serif" w:eastAsia="Noto Serif"/>
          <w:sz w:val="18"/>
        </w:rPr>
        <w:t>В текущей сборке представлены семь актуальных пользовательских модулей — HDI, HCI+ 2026, GTCI 2025, GII, IDI, страновая агрегация QS Engineering &amp; Technology, HTEI — и отдельный исторический модуль HCI 2010–2020. Из них шесть основаны на официальных индексах международных организаций, QS_ET является авторской страновой агрегацией официального университетского рейтинга, а HTEI — самостоятельным составным показателем проекта.</w:t>
      </w:r>
    </w:p>
    <w:p>
      <w:r>
        <w:rPr>
          <w:rFonts w:ascii="Noto Serif" w:hAnsi="Noto Serif" w:eastAsia="Noto Serif"/>
          <w:sz w:val="18"/>
        </w:rPr>
        <w:t>Платформа сохраняет первичные файлы или воспроизводимые рецепты их получения, фиксирует контрольные суммы SHA-256, преобразует географические идентификаторы к ISO3, хранит исходные и нормированные значения, версии формул и трансформаций, а затем публикует результаты через SQLite, FastAPI и двуязычный веб-интерфейс. Такой подход позволяет проверяющему двигаться от отображённого балла обратно к наблюдению, снимку источника и правилам расчёта.</w:t>
      </w:r>
    </w:p>
    <w:p>
      <w:pPr>
        <w:jc w:val="center"/>
      </w:pPr>
      <w:r>
        <w:drawing>
          <wp:inline xmlns:a="http://schemas.openxmlformats.org/drawingml/2006/main" xmlns:pic="http://schemas.openxmlformats.org/drawingml/2006/picture">
            <wp:extent cx="5976000" cy="3363287"/>
            <wp:docPr id="1" name="Picture 1" descr="Схема разделяет официальные индексы, официальные компоненты, диагностику платформы и авторские модели." title="Типология показателей и уровни методологической ответственности."/>
            <wp:cNvGraphicFramePr>
              <a:graphicFrameLocks noChangeAspect="1"/>
            </wp:cNvGraphicFramePr>
            <a:graphic>
              <a:graphicData uri="http://schemas.openxmlformats.org/drawingml/2006/picture">
                <pic:pic>
                  <pic:nvPicPr>
                    <pic:cNvPr id="0" name="01_methodology_taxonomy.png"/>
                    <pic:cNvPicPr/>
                  </pic:nvPicPr>
                  <pic:blipFill>
                    <a:blip r:embed="rId11"/>
                    <a:stretch>
                      <a:fillRect/>
                    </a:stretch>
                  </pic:blipFill>
                  <pic:spPr>
                    <a:xfrm>
                      <a:off x="0" y="0"/>
                      <a:ext cx="5976000" cy="3363287"/>
                    </a:xfrm>
                    <a:prstGeom prst="rect"/>
                  </pic:spPr>
                </pic:pic>
              </a:graphicData>
            </a:graphic>
          </wp:inline>
        </w:drawing>
      </w:r>
    </w:p>
    <w:p>
      <w:pPr>
        <w:pStyle w:val="Caption"/>
      </w:pPr>
      <w:r>
        <w:t>Рисунок 1. Типология показателей и уровни методологической ответственности.</w:t>
      </w:r>
    </w:p>
    <w:p>
      <w:pPr>
        <w:pStyle w:val="Caption"/>
      </w:pPr>
      <w:r>
        <w:t>Таблица 2. Что именно рассчитывает или импортирует GIR</w:t>
      </w:r>
    </w:p>
    <w:tbl>
      <w:tblPr>
        <w:tblW w:type="auto" w:w="0"/>
        <w:jc w:val="center"/>
        <w:tblLayout w:type="autofit"/>
        <w:tblLook w:firstColumn="1" w:firstRow="1" w:lastColumn="0" w:lastRow="0" w:noHBand="0" w:noVBand="1" w:val="04A0"/>
      </w:tblPr>
      <w:tblGrid>
        <w:gridCol w:w="2452"/>
        <w:gridCol w:w="2452"/>
        <w:gridCol w:w="2452"/>
        <w:gridCol w:w="2452"/>
      </w:tblGrid>
      <w:tr>
        <w:trPr>
          <w:tblHeader w:val="true"/>
        </w:trPr>
        <w:tc>
          <w:tcPr>
            <w:tcW w:type="dxa" w:w="141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Модуль</w:t>
            </w:r>
          </w:p>
        </w:tc>
        <w:tc>
          <w:tcPr>
            <w:tcW w:type="dxa" w:w="1871"/>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Природа итогового балла</w:t>
            </w:r>
          </w:p>
        </w:tc>
        <w:tc>
          <w:tcPr>
            <w:tcW w:type="dxa" w:w="3061"/>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Что делает платформа</w:t>
            </w:r>
          </w:p>
        </w:tc>
        <w:tc>
          <w:tcPr>
            <w:tcW w:type="dxa" w:w="3061"/>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Допустимая формулировка</w:t>
            </w:r>
          </w:p>
        </w:tc>
      </w:tr>
      <w:tr>
        <w:trPr>
          <w:cantSplit/>
        </w:trPr>
        <w:tc>
          <w:tcPr>
            <w:tcW w:type="dxa" w:w="141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HDI</w:t>
            </w:r>
          </w:p>
        </w:tc>
        <w:tc>
          <w:tcPr>
            <w:tcW w:type="dxa" w:w="187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официальный UNDP</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импортирует score; строит диагностику компонентов</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официальный HDI; диагностика GIR</w:t>
            </w:r>
          </w:p>
        </w:tc>
      </w:tr>
      <w:tr>
        <w:trPr>
          <w:cantSplit/>
        </w:trPr>
        <w:tc>
          <w:tcPr>
            <w:tcW w:type="dxa" w:w="141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HCI 2010–2020</w:t>
            </w:r>
          </w:p>
        </w:tc>
        <w:tc>
          <w:tcPr>
            <w:tcW w:type="dxa" w:w="187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официальный World Bank</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импортирует исторический score и доступные компоненты</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исторический официальный HCI</w:t>
            </w:r>
          </w:p>
        </w:tc>
      </w:tr>
      <w:tr>
        <w:trPr>
          <w:cantSplit/>
        </w:trPr>
        <w:tc>
          <w:tcPr>
            <w:tcW w:type="dxa" w:w="141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HCI+ 2026</w:t>
            </w:r>
          </w:p>
        </w:tc>
        <w:tc>
          <w:tcPr>
            <w:tcW w:type="dxa" w:w="187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официальный World Bank</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извлекает score и три пиллара из country briefs</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официальный HCI+; ранги GIR</w:t>
            </w:r>
          </w:p>
        </w:tc>
      </w:tr>
      <w:tr>
        <w:trPr>
          <w:cantSplit/>
        </w:trPr>
        <w:tc>
          <w:tcPr>
            <w:tcW w:type="dxa" w:w="141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GTCI 2025</w:t>
            </w:r>
          </w:p>
        </w:tc>
        <w:tc>
          <w:tcPr>
            <w:tcW w:type="dxa" w:w="187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официальный INSEAD / Portulans</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импортирует общий score; переводит pillar ranks в диагностическую шкалу</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официальный score; преобразованные ранги GIR</w:t>
            </w:r>
          </w:p>
        </w:tc>
      </w:tr>
      <w:tr>
        <w:trPr>
          <w:cantSplit/>
        </w:trPr>
        <w:tc>
          <w:tcPr>
            <w:tcW w:type="dxa" w:w="141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GII</w:t>
            </w:r>
          </w:p>
        </w:tc>
        <w:tc>
          <w:tcPr>
            <w:tcW w:type="dxa" w:w="187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официальный WIPO</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импортирует общий и pillar scores</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официальные значения WIPO</w:t>
            </w:r>
          </w:p>
        </w:tc>
      </w:tr>
      <w:tr>
        <w:trPr>
          <w:cantSplit/>
        </w:trPr>
        <w:tc>
          <w:tcPr>
            <w:tcW w:type="dxa" w:w="141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IDI</w:t>
            </w:r>
          </w:p>
        </w:tc>
        <w:tc>
          <w:tcPr>
            <w:tcW w:type="dxa" w:w="187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официальный ITU</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импортирует score/pillars; вычисляет места</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официальный score; место рассчитано GIR</w:t>
            </w:r>
          </w:p>
        </w:tc>
      </w:tr>
      <w:tr>
        <w:trPr>
          <w:cantSplit/>
        </w:trPr>
        <w:tc>
          <w:tcPr>
            <w:tcW w:type="dxa" w:w="141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QS_ET</w:t>
            </w:r>
          </w:p>
        </w:tc>
        <w:tc>
          <w:tcPr>
            <w:tcW w:type="dxa" w:w="187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авторская страновая агрегация</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агрегирует 2 185 строк организаций в 227 страногодов</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страновой показатель GIR по данным QS</w:t>
            </w:r>
          </w:p>
        </w:tc>
      </w:tr>
      <w:tr>
        <w:trPr>
          <w:cantSplit/>
        </w:trPr>
        <w:tc>
          <w:tcPr>
            <w:tcW w:type="dxa" w:w="141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w:t>
            </w:r>
          </w:p>
        </w:tc>
        <w:tc>
          <w:tcPr>
            <w:tcW w:type="dxa" w:w="187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авторский составной индекс</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нормирует, взвешивает, оценивает качество и устойчивость</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авторский индекс GIR</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Реестры indices, index_methodology_registry, index_formulas и код расчётов.</w:t>
      </w:r>
    </w:p>
    <w:tbl>
      <w:tblPr>
        <w:tblW w:type="auto" w:w="0"/>
        <w:jc w:val="center"/>
        <w:tblLook w:firstColumn="1" w:firstRow="1" w:lastColumn="0" w:lastRow="0" w:noHBand="0" w:noVBand="1" w:val="04A0"/>
      </w:tblPr>
      <w:tblGrid>
        <w:gridCol w:w="9808"/>
      </w:tblGrid>
      <w:tr>
        <w:tc>
          <w:tcPr>
            <w:tcW w:type="dxa" w:w="9808"/>
            <w:shd w:fill="EDF6EF"/>
            <w:tcMar>
              <w:top w:w="120" w:type="dxa"/>
              <w:start w:w="170" w:type="dxa"/>
              <w:bottom w:w="120" w:type="dxa"/>
              <w:end w:w="170" w:type="dxa"/>
            </w:tcMar>
            <w:tcBorders>
              <w:top w:val="nil"/>
              <w:left w:val="single" w:sz="18" w:color="4B8B5A"/>
              <w:bottom w:val="nil"/>
              <w:right w:val="nil"/>
            </w:tcBorders>
          </w:tcPr>
          <w:p>
            <w:r>
              <w:rPr>
                <w:rFonts w:ascii="Noto Sans" w:hAnsi="Noto Sans" w:eastAsia="Noto Sans"/>
                <w:b/>
                <w:color w:val="4B8B5A"/>
                <w:sz w:val="18"/>
              </w:rPr>
              <w:t xml:space="preserve">Ключевой вывод для новой страницы — </w:t>
            </w:r>
            <w:r>
              <w:rPr>
                <w:rFonts w:ascii="Noto Sans" w:hAnsi="Noto Sans" w:eastAsia="Noto Sans"/>
                <w:color w:val="243746"/>
                <w:sz w:val="17"/>
              </w:rPr>
              <w:t>Верхняя часть страницы должна сразу отвечать на четыре вопроса: что измеряется; кто автор исходной методики; что импортируется официально; что рассчитывается самой платформой. Только после этого следует показывать формулы, API и технические детали.</w:t>
            </w:r>
          </w:p>
        </w:tc>
      </w:tr>
    </w:tbl>
    <w:p>
      <w:bookmarkStart w:id="1086" w:name="sec2"/>
      <w:pPr>
        <w:pStyle w:val="Heading1"/>
      </w:pPr>
      <w:r>
        <w:t>2. Цели, задачи и границы проекта</w:t>
      </w:r>
      <w:bookmarkEnd w:id="1086"/>
    </w:p>
    <w:p>
      <w:pPr>
        <w:pStyle w:val="Heading2"/>
      </w:pPr>
      <w:r>
        <w:t>2.1. Исследовательская цель</w:t>
      </w:r>
    </w:p>
    <w:p>
      <w:r>
        <w:rPr>
          <w:rFonts w:ascii="Noto Serif" w:hAnsi="Noto Serif" w:eastAsia="Noto Serif"/>
          <w:sz w:val="18"/>
        </w:rPr>
        <w:t>Цель GIR — создать воспроизводимую международную систему мониторинга, которая связывает макропоказатели человеческого развития и инновационного потенциала с более прикладной задачей формирования технологических кадров. В отличие от одиночного рейтинга, платформа позволяет увидеть одновременно положение страны, внутреннюю структуру результата, дефициты по компонентам, качество исходных данных и возможные направления политики.</w:t>
      </w:r>
    </w:p>
    <w:p>
      <w:pPr>
        <w:pStyle w:val="Heading2"/>
      </w:pPr>
      <w:r>
        <w:t>2.2. Соответствие техническому заданию</w:t>
      </w:r>
    </w:p>
    <w:p>
      <w:pPr>
        <w:pStyle w:val="Caption"/>
      </w:pPr>
      <w:r>
        <w:t>Таблица 3. Связь блоков технического задания с результатами платформы</w:t>
      </w:r>
    </w:p>
    <w:tbl>
      <w:tblPr>
        <w:tblW w:type="auto" w:w="0"/>
        <w:jc w:val="center"/>
        <w:tblLayout w:type="autofit"/>
        <w:tblLook w:firstColumn="1" w:firstRow="1" w:lastColumn="0" w:lastRow="0" w:noHBand="0" w:noVBand="1" w:val="04A0"/>
      </w:tblPr>
      <w:tblGrid>
        <w:gridCol w:w="3269"/>
        <w:gridCol w:w="3269"/>
        <w:gridCol w:w="3269"/>
      </w:tblGrid>
      <w:tr>
        <w:trPr>
          <w:tblHeader w:val="true"/>
        </w:trPr>
        <w:tc>
          <w:tcPr>
            <w:tcW w:type="dxa" w:w="1701"/>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Блок ТЗ</w:t>
            </w:r>
          </w:p>
        </w:tc>
        <w:tc>
          <w:tcPr>
            <w:tcW w:type="dxa" w:w="3231"/>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Смысл задачи</w:t>
            </w:r>
          </w:p>
        </w:tc>
        <w:tc>
          <w:tcPr>
            <w:tcW w:type="dxa" w:w="4592"/>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Реализация в GIR</w:t>
            </w:r>
          </w:p>
        </w:tc>
      </w:tr>
      <w:tr>
        <w:trPr>
          <w:cantSplit/>
        </w:trPr>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2.1 → 3.1.2</w:t>
            </w:r>
          </w:p>
        </w:tc>
        <w:tc>
          <w:tcPr>
            <w:tcW w:type="dxa" w:w="323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интегрированная база международных индексов</w:t>
            </w:r>
          </w:p>
        </w:tc>
        <w:tc>
          <w:tcPr>
            <w:tcW w:type="dxa" w:w="4592"/>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единая SQLite-база, справочники индексов и стран, API, происхождение данных</w:t>
            </w:r>
          </w:p>
        </w:tc>
      </w:tr>
      <w:tr>
        <w:trPr>
          <w:cantSplit/>
        </w:trPr>
        <w:tc>
          <w:tcPr>
            <w:tcW w:type="dxa" w:w="170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2.2 → 3.2.1</w:t>
            </w:r>
          </w:p>
        </w:tc>
        <w:tc>
          <w:tcPr>
            <w:tcW w:type="dxa" w:w="323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мониторинг и индекс технологической занятости</w:t>
            </w:r>
          </w:p>
        </w:tc>
        <w:tc>
          <w:tcPr>
            <w:tcW w:type="dxa" w:w="4592"/>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 v6, четыре режима сопоставимости, компонентные профили и аудит</w:t>
            </w:r>
          </w:p>
        </w:tc>
      </w:tr>
      <w:tr>
        <w:trPr>
          <w:cantSplit/>
        </w:trPr>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2.3 → 3.3.1</w:t>
            </w:r>
          </w:p>
        </w:tc>
        <w:tc>
          <w:tcPr>
            <w:tcW w:type="dxa" w:w="323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модель конкурентоспособности системы подготовки</w:t>
            </w:r>
          </w:p>
        </w:tc>
        <w:tc>
          <w:tcPr>
            <w:tcW w:type="dxa" w:w="4592"/>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Training Model v2, четыре блока, страновые баллы и устойчивость</w:t>
            </w:r>
          </w:p>
        </w:tc>
      </w:tr>
      <w:tr>
        <w:trPr>
          <w:cantSplit/>
        </w:trPr>
        <w:tc>
          <w:tcPr>
            <w:tcW w:type="dxa" w:w="170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2.4 → 3.4.1</w:t>
            </w:r>
          </w:p>
        </w:tc>
        <w:tc>
          <w:tcPr>
            <w:tcW w:type="dxa" w:w="323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рекомендации для России</w:t>
            </w:r>
          </w:p>
        </w:tc>
        <w:tc>
          <w:tcPr>
            <w:tcW w:type="dxa" w:w="4592"/>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диагностика разрывов, policy brief, приоритеты и источники подтверждения</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Проектная документация и acceptance dossier в архиве.</w:t>
      </w:r>
    </w:p>
    <w:p>
      <w:pPr>
        <w:pStyle w:val="Heading2"/>
      </w:pPr>
      <w:r>
        <w:t>2.3. Что входит в предметную область</w:t>
      </w:r>
    </w:p>
    <w:p>
      <w:pPr>
        <w:pStyle w:val="ListBullet"/>
        <w:ind w:left="369" w:hanging="142"/>
      </w:pPr>
      <w:r>
        <w:rPr>
          <w:rFonts w:ascii="Noto Serif" w:hAnsi="Noto Serif" w:eastAsia="Noto Serif"/>
          <w:sz w:val="18"/>
        </w:rPr>
        <w:t>официальные страновые значения международных индексов и их официально опубликованные компоненты;</w:t>
      </w:r>
    </w:p>
    <w:p>
      <w:pPr>
        <w:pStyle w:val="ListBullet"/>
        <w:ind w:left="369" w:hanging="142"/>
      </w:pPr>
      <w:r>
        <w:rPr>
          <w:rFonts w:ascii="Noto Serif" w:hAnsi="Noto Serif" w:eastAsia="Noto Serif"/>
          <w:sz w:val="18"/>
        </w:rPr>
        <w:t>первичные международные ряды занятости, профессий, исследовательских кадров, STEM-выпуска и технологических результатов;</w:t>
      </w:r>
    </w:p>
    <w:p>
      <w:pPr>
        <w:pStyle w:val="ListBullet"/>
        <w:ind w:left="369" w:hanging="142"/>
      </w:pPr>
      <w:r>
        <w:rPr>
          <w:rFonts w:ascii="Noto Serif" w:hAnsi="Noto Serif" w:eastAsia="Noto Serif"/>
          <w:sz w:val="18"/>
        </w:rPr>
        <w:t>страновая агрегация университетских строк QS Engineering &amp; Technology;</w:t>
      </w:r>
    </w:p>
    <w:p>
      <w:pPr>
        <w:pStyle w:val="ListBullet"/>
        <w:ind w:left="369" w:hanging="142"/>
      </w:pPr>
      <w:r>
        <w:rPr>
          <w:rFonts w:ascii="Noto Serif" w:hAnsi="Noto Serif" w:eastAsia="Noto Serif"/>
          <w:sz w:val="18"/>
        </w:rPr>
        <w:t>авторские модели HTEI и конкурентоспособности системы подготовки технологических кадров;</w:t>
      </w:r>
    </w:p>
    <w:p>
      <w:pPr>
        <w:pStyle w:val="ListBullet"/>
        <w:ind w:left="369" w:hanging="142"/>
      </w:pPr>
      <w:r>
        <w:rPr>
          <w:rFonts w:ascii="Noto Serif" w:hAnsi="Noto Serif" w:eastAsia="Noto Serif"/>
          <w:sz w:val="18"/>
        </w:rPr>
        <w:t>происхождение, лицензии, снимки, трансформации, качество, диагностика и рекомендации;</w:t>
      </w:r>
    </w:p>
    <w:p>
      <w:pPr>
        <w:pStyle w:val="ListBullet"/>
        <w:ind w:left="369" w:hanging="142"/>
      </w:pPr>
      <w:r>
        <w:rPr>
          <w:rFonts w:ascii="Noto Serif" w:hAnsi="Noto Serif" w:eastAsia="Noto Serif"/>
          <w:sz w:val="18"/>
        </w:rPr>
        <w:t>публичное API, пользовательский интерфейс, экспорт и релизные доказательства.</w:t>
      </w:r>
    </w:p>
    <w:p>
      <w:pPr>
        <w:pStyle w:val="Heading2"/>
      </w:pPr>
      <w:r>
        <w:t>2.4. Что не следует приписывать платформе</w:t>
      </w:r>
    </w:p>
    <w:p>
      <w:pPr>
        <w:pStyle w:val="ListBullet"/>
        <w:ind w:left="369" w:hanging="142"/>
      </w:pPr>
      <w:r>
        <w:rPr>
          <w:rFonts w:ascii="Noto Serif" w:hAnsi="Noto Serif" w:eastAsia="Noto Serif"/>
          <w:sz w:val="18"/>
        </w:rPr>
        <w:t>GIR не является новой международной организацией, сертифицирующей официальные значения сторонних индексов;</w:t>
      </w:r>
    </w:p>
    <w:p>
      <w:pPr>
        <w:pStyle w:val="ListBullet"/>
        <w:ind w:left="369" w:hanging="142"/>
      </w:pPr>
      <w:r>
        <w:rPr>
          <w:rFonts w:ascii="Noto Serif" w:hAnsi="Noto Serif" w:eastAsia="Noto Serif"/>
          <w:sz w:val="18"/>
        </w:rPr>
        <w:t>диагностический компонент или визуальный вес не доказывает официальную формулу первоисточника;</w:t>
      </w:r>
    </w:p>
    <w:p>
      <w:pPr>
        <w:pStyle w:val="ListBullet"/>
        <w:ind w:left="369" w:hanging="142"/>
      </w:pPr>
      <w:r>
        <w:rPr>
          <w:rFonts w:ascii="Noto Serif" w:hAnsi="Noto Serif" w:eastAsia="Noto Serif"/>
          <w:sz w:val="18"/>
        </w:rPr>
        <w:t>место в рейтинге не является статистически значимым отличием от соседних стран без анализа неопределённости;</w:t>
      </w:r>
    </w:p>
    <w:p>
      <w:pPr>
        <w:pStyle w:val="ListBullet"/>
        <w:ind w:left="369" w:hanging="142"/>
      </w:pPr>
      <w:r>
        <w:rPr>
          <w:rFonts w:ascii="Noto Serif" w:hAnsi="Noto Serif" w:eastAsia="Noto Serif"/>
          <w:sz w:val="18"/>
        </w:rPr>
        <w:t>рекомендации не заменяют отраслевое исследование причинности, бюджетную оценку и институциональную экспертизу;</w:t>
      </w:r>
    </w:p>
    <w:p>
      <w:pPr>
        <w:pStyle w:val="ListBullet"/>
        <w:ind w:left="369" w:hanging="142"/>
      </w:pPr>
      <w:r>
        <w:rPr>
          <w:rFonts w:ascii="Noto Serif" w:hAnsi="Noto Serif" w:eastAsia="Noto Serif"/>
          <w:sz w:val="18"/>
        </w:rPr>
        <w:t>данные с разными годами наблюдения и режимами прокси не должны смешиваться без явной маркировки.</w:t>
      </w:r>
    </w:p>
    <w:p>
      <w:bookmarkStart w:id="1122" w:name="sec3"/>
      <w:pPr>
        <w:pStyle w:val="Heading1"/>
      </w:pPr>
      <w:r>
        <w:t>3. Методологическая рамка</w:t>
      </w:r>
      <w:bookmarkEnd w:id="1122"/>
    </w:p>
    <w:p>
      <w:pPr>
        <w:pStyle w:val="Heading2"/>
      </w:pPr>
      <w:r>
        <w:t>3.1. Четыре класса методологических объектов</w:t>
      </w:r>
    </w:p>
    <w:p>
      <w:r>
        <w:rPr>
          <w:rFonts w:ascii="Noto Serif" w:hAnsi="Noto Serif" w:eastAsia="Noto Serif"/>
          <w:sz w:val="18"/>
        </w:rPr>
        <w:t>Официальный индекс — итоговая величина, опубликованная организацией-автором и импортированная без изменения её содержательного смысла. Официальный компонент — опубликованный пиллар или индикатор официального индекса. Диагностика платформы — воспроизводимое преобразование для сопоставления, визуализации или рекомендаций. Авторская модель — показатель, формула и правила которого разработаны внутри проекта и поэтому должны быть раскрыты полностью.</w:t>
      </w:r>
    </w:p>
    <w:p>
      <w:pPr>
        <w:pStyle w:val="Caption"/>
      </w:pPr>
      <w:r>
        <w:t>Таблица 4. Маркировка происхождения и интерпретации</w:t>
      </w:r>
    </w:p>
    <w:tbl>
      <w:tblPr>
        <w:tblW w:type="auto" w:w="0"/>
        <w:jc w:val="center"/>
        <w:tblLayout w:type="autofit"/>
        <w:tblLook w:firstColumn="1" w:firstRow="1" w:lastColumn="0" w:lastRow="0" w:noHBand="0" w:noVBand="1" w:val="04A0"/>
      </w:tblPr>
      <w:tblGrid>
        <w:gridCol w:w="2452"/>
        <w:gridCol w:w="2452"/>
        <w:gridCol w:w="2452"/>
        <w:gridCol w:w="2452"/>
      </w:tblGrid>
      <w:tr>
        <w:trPr>
          <w:tblHeader w:val="true"/>
        </w:trPr>
        <w:tc>
          <w:tcPr>
            <w:tcW w:type="dxa" w:w="1701"/>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Класс</w:t>
            </w:r>
          </w:p>
        </w:tc>
        <w:tc>
          <w:tcPr>
            <w:tcW w:type="dxa" w:w="1928"/>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Пример</w:t>
            </w:r>
          </w:p>
        </w:tc>
        <w:tc>
          <w:tcPr>
            <w:tcW w:type="dxa" w:w="2381"/>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Обязательная маркировка</w:t>
            </w:r>
          </w:p>
        </w:tc>
        <w:tc>
          <w:tcPr>
            <w:tcW w:type="dxa" w:w="3402"/>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Что проверяется</w:t>
            </w:r>
          </w:p>
        </w:tc>
      </w:tr>
      <w:tr>
        <w:trPr>
          <w:cantSplit/>
        </w:trPr>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 value</w:t>
            </w:r>
          </w:p>
        </w:tc>
        <w:tc>
          <w:tcPr>
            <w:tcW w:type="dxa" w:w="192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HDI, GII, HCI+</w:t>
            </w:r>
          </w:p>
        </w:tc>
        <w:tc>
          <w:tcPr>
            <w:tcW w:type="dxa" w:w="238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официальное значение</w:t>
            </w:r>
          </w:p>
        </w:tc>
        <w:tc>
          <w:tcPr>
            <w:tcW w:type="dxa" w:w="3402"/>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совпадение с источником, дата и версия</w:t>
            </w:r>
          </w:p>
        </w:tc>
      </w:tr>
      <w:tr>
        <w:trPr>
          <w:cantSplit/>
        </w:trPr>
        <w:tc>
          <w:tcPr>
            <w:tcW w:type="dxa" w:w="170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 component</w:t>
            </w:r>
          </w:p>
        </w:tc>
        <w:tc>
          <w:tcPr>
            <w:tcW w:type="dxa" w:w="192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GII pillars, HCI+ pillars</w:t>
            </w:r>
          </w:p>
        </w:tc>
        <w:tc>
          <w:tcPr>
            <w:tcW w:type="dxa" w:w="238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официальный компонент</w:t>
            </w:r>
          </w:p>
        </w:tc>
        <w:tc>
          <w:tcPr>
            <w:tcW w:type="dxa" w:w="3402"/>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название, шкала, полнота и округление</w:t>
            </w:r>
          </w:p>
        </w:tc>
      </w:tr>
      <w:tr>
        <w:trPr>
          <w:cantSplit/>
        </w:trPr>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recomputed diagnostic</w:t>
            </w:r>
          </w:p>
        </w:tc>
        <w:tc>
          <w:tcPr>
            <w:tcW w:type="dxa" w:w="192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GTCI rank transform, дефицит</w:t>
            </w:r>
          </w:p>
        </w:tc>
        <w:tc>
          <w:tcPr>
            <w:tcW w:type="dxa" w:w="238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рассчитано GIR</w:t>
            </w:r>
          </w:p>
        </w:tc>
        <w:tc>
          <w:tcPr>
            <w:tcW w:type="dxa" w:w="3402"/>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формула, направление шкалы, входы</w:t>
            </w:r>
          </w:p>
        </w:tc>
      </w:tr>
      <w:tr>
        <w:trPr>
          <w:cantSplit/>
        </w:trPr>
        <w:tc>
          <w:tcPr>
            <w:tcW w:type="dxa" w:w="170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derived aggregation</w:t>
            </w:r>
          </w:p>
        </w:tc>
        <w:tc>
          <w:tcPr>
            <w:tcW w:type="dxa" w:w="192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QS_ET country score</w:t>
            </w:r>
          </w:p>
        </w:tc>
        <w:tc>
          <w:tcPr>
            <w:tcW w:type="dxa" w:w="238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авторская агрегация</w:t>
            </w:r>
          </w:p>
        </w:tc>
        <w:tc>
          <w:tcPr>
            <w:tcW w:type="dxa" w:w="3402"/>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состав, нормирование, веса, пропуски</w:t>
            </w:r>
          </w:p>
        </w:tc>
      </w:tr>
      <w:tr>
        <w:trPr>
          <w:cantSplit/>
        </w:trPr>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project index</w:t>
            </w:r>
          </w:p>
        </w:tc>
        <w:tc>
          <w:tcPr>
            <w:tcW w:type="dxa" w:w="192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w:t>
            </w:r>
          </w:p>
        </w:tc>
        <w:tc>
          <w:tcPr>
            <w:tcW w:type="dxa" w:w="238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авторский индекс</w:t>
            </w:r>
          </w:p>
        </w:tc>
        <w:tc>
          <w:tcPr>
            <w:tcW w:type="dxa" w:w="3402"/>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концепт, прокси, веса, устойчивость, границы</w:t>
            </w:r>
          </w:p>
        </w:tc>
      </w:tr>
      <w:tr>
        <w:trPr>
          <w:cantSplit/>
        </w:trPr>
        <w:tc>
          <w:tcPr>
            <w:tcW w:type="dxa" w:w="170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experimental model</w:t>
            </w:r>
          </w:p>
        </w:tc>
        <w:tc>
          <w:tcPr>
            <w:tcW w:type="dxa" w:w="192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training model</w:t>
            </w:r>
          </w:p>
        </w:tc>
        <w:tc>
          <w:tcPr>
            <w:tcW w:type="dxa" w:w="238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аналитическая модель</w:t>
            </w:r>
          </w:p>
        </w:tc>
        <w:tc>
          <w:tcPr>
            <w:tcW w:type="dxa" w:w="3402"/>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правило включения, качество, чувствительность</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quality_flags и index_methodology_registry.</w:t>
      </w:r>
    </w:p>
    <w:p>
      <w:pPr>
        <w:pStyle w:val="Heading2"/>
      </w:pPr>
      <w:r>
        <w:t>3.2. Единица наблюдения</w:t>
      </w:r>
    </w:p>
    <w:p>
      <w:r>
        <w:rPr>
          <w:rFonts w:ascii="Noto Serif" w:hAnsi="Noto Serif" w:eastAsia="Noto Serif"/>
          <w:sz w:val="18"/>
        </w:rPr>
        <w:t>Основная аналитическая единица — страна или территория, идентифицированная кодом ISO3, в конкретном году. Для официальных индексов год обычно совпадает с годом выпуска или наблюдения, но для HTEI дополнительно сохраняется source_data_year: год фактического исходного наблюдения. Это позволяет отделить «год профиля» от возраста данных и вычислять лаг.</w:t>
      </w:r>
    </w:p>
    <w:tbl>
      <w:tblPr>
        <w:tblW w:type="auto" w:w="0"/>
        <w:jc w:val="center"/>
        <w:tblLook w:firstColumn="1" w:firstRow="1" w:lastColumn="0" w:lastRow="0" w:noHBand="0" w:noVBand="1" w:val="04A0"/>
      </w:tblPr>
      <w:tblGrid>
        <w:gridCol w:w="9808"/>
      </w:tblGrid>
      <w:tr>
        <w:tc>
          <w:tcPr>
            <w:tcW w:type="dxa" w:w="9808"/>
            <w:shd w:fill="F5F7F8"/>
            <w:tcMar>
              <w:top w:w="140" w:type="dxa"/>
              <w:start w:w="220" w:type="dxa"/>
              <w:bottom w:w="140" w:type="dxa"/>
              <w:end w:w="220" w:type="dxa"/>
            </w:tcMar>
            <w:tcBorders>
              <w:top w:val="single" w:sz="6" w:color="CFDCE4"/>
              <w:left w:val="single" w:sz="6" w:color="CFDCE4"/>
              <w:bottom w:val="single" w:sz="6" w:color="CFDCE4"/>
              <w:right w:val="single" w:sz="6" w:color="CFDCE4"/>
            </w:tcBorders>
          </w:tcPr>
          <w:p>
            <w:pPr>
              <w:jc w:val="center"/>
            </w:pPr>
            <w:r>
              <w:rPr>
                <w:rFonts w:ascii="Noto Sans" w:hAnsi="Noto Sans" w:eastAsia="Noto Sans"/>
                <w:b/>
                <w:color w:val="2F6B8A"/>
                <w:sz w:val="16"/>
              </w:rPr>
              <w:t>Лаг исходного наблюдения</w:t>
            </w:r>
          </w:p>
          <w:p>
            <w:pPr>
              <w:jc w:val="center"/>
            </w:pPr>
            <w:r>
              <w:rPr>
                <w:rFonts w:ascii="DejaVu Serif" w:hAnsi="DejaVu Serif" w:eastAsia="DejaVu Serif"/>
                <w:b/>
                <w:color w:val="17324D"/>
                <w:sz w:val="22"/>
              </w:rPr>
              <w:t>lag_ic = profile_year_c − source_data_year_ic</w:t>
            </w:r>
          </w:p>
          <w:p>
            <w:pPr>
              <w:jc w:val="left"/>
            </w:pPr>
            <w:r>
              <w:rPr>
                <w:rFonts w:ascii="Noto Sans" w:hAnsi="Noto Sans" w:eastAsia="Noto Sans"/>
                <w:color w:val="5A6E7A"/>
                <w:sz w:val="16"/>
              </w:rPr>
              <w:t>Индекс i обозначает компонент, c — страновой профиль. Отрицательные лаги недопустимы; большие положительные лаги снижают свежесть и доверие.</w:t>
            </w:r>
          </w:p>
        </w:tc>
      </w:tr>
    </w:tbl>
    <w:p>
      <w:pPr>
        <w:pStyle w:val="Heading2"/>
      </w:pPr>
      <w:r>
        <w:t>3.3. Шкалы</w:t>
      </w:r>
    </w:p>
    <w:p>
      <w:r>
        <w:rPr>
          <w:rFonts w:ascii="Noto Serif" w:hAnsi="Noto Serif" w:eastAsia="Noto Serif"/>
          <w:sz w:val="18"/>
        </w:rPr>
        <w:t>Платформа стремится показывать большинство сравнимых диагностических величин на шкале 0–100, где больше означает более благоприятный результат. Это правило относится к интерфейсным и авторским показателям, но не меняет официальную шкалу источника. Например, HDI и исторический HCI официально публикуются на шкале 0–1, HCI+ — на шкале 0–325, а ранги GTCI имеют порядковую природу.</w:t>
      </w:r>
    </w:p>
    <w:tbl>
      <w:tblPr>
        <w:tblW w:type="auto" w:w="0"/>
        <w:jc w:val="center"/>
        <w:tblLook w:firstColumn="1" w:firstRow="1" w:lastColumn="0" w:lastRow="0" w:noHBand="0" w:noVBand="1" w:val="04A0"/>
      </w:tblPr>
      <w:tblGrid>
        <w:gridCol w:w="9808"/>
      </w:tblGrid>
      <w:tr>
        <w:tc>
          <w:tcPr>
            <w:tcW w:type="dxa" w:w="9808"/>
            <w:shd w:fill="F5F1F8"/>
            <w:tcMar>
              <w:top w:w="120" w:type="dxa"/>
              <w:start w:w="170" w:type="dxa"/>
              <w:bottom w:w="120" w:type="dxa"/>
              <w:end w:w="170" w:type="dxa"/>
            </w:tcMar>
            <w:tcBorders>
              <w:top w:val="nil"/>
              <w:left w:val="single" w:sz="18" w:color="705A8A"/>
              <w:bottom w:val="nil"/>
              <w:right w:val="nil"/>
            </w:tcBorders>
          </w:tcPr>
          <w:p>
            <w:r>
              <w:rPr>
                <w:rFonts w:ascii="Noto Sans" w:hAnsi="Noto Sans" w:eastAsia="Noto Sans"/>
                <w:b/>
                <w:color w:val="705A8A"/>
                <w:sz w:val="18"/>
              </w:rPr>
              <w:t xml:space="preserve">Предупреждение о шкалах — </w:t>
            </w:r>
            <w:r>
              <w:rPr>
                <w:rFonts w:ascii="Noto Sans" w:hAnsi="Noto Sans" w:eastAsia="Noto Sans"/>
                <w:color w:val="243746"/>
                <w:sz w:val="17"/>
              </w:rPr>
              <w:t>Отображение 0–1 как 0–100 является линейным форматированием, а не новым расчётом. Преобразование ранга в 0–100 меняет тип величины и всегда должно называться диагностическим.</w:t>
            </w:r>
          </w:p>
        </w:tc>
      </w:tr>
    </w:tbl>
    <w:p>
      <w:pPr>
        <w:pStyle w:val="Heading2"/>
      </w:pPr>
      <w:r>
        <w:t>3.4. Принцип воспроизводимости</w:t>
      </w:r>
    </w:p>
    <w:p>
      <w:r>
        <w:rPr>
          <w:rFonts w:ascii="Noto Serif" w:hAnsi="Noto Serif" w:eastAsia="Noto Serif"/>
          <w:sz w:val="18"/>
        </w:rPr>
        <w:t>Каждая значимая величина должна иметь минимальный паспорт: идентификатор источника, URL, время получения, год выпуска, путь или рецепт снимка, SHA-256, идентификатор трансформации, версию формулы, флаг качества и JSON происхождения. Отсутствие одного из этих элементов не всегда делает число неверным, но снижает его аудируемость и должно быть отражено в интерфейсе.</w:t>
      </w:r>
    </w:p>
    <w:p>
      <w:bookmarkStart w:id="1161" w:name="sec4"/>
      <w:pPr>
        <w:pStyle w:val="Heading1"/>
      </w:pPr>
      <w:r>
        <w:t>4. Архитектура и жизненный цикл данных</w:t>
      </w:r>
      <w:bookmarkEnd w:id="1161"/>
    </w:p>
    <w:p>
      <w:pPr>
        <w:jc w:val="center"/>
      </w:pPr>
      <w:r>
        <w:drawing>
          <wp:inline xmlns:a="http://schemas.openxmlformats.org/drawingml/2006/main" xmlns:pic="http://schemas.openxmlformats.org/drawingml/2006/picture">
            <wp:extent cx="5976000" cy="3363287"/>
            <wp:docPr id="2" name="Picture 2" descr="Семь последовательных этапов загрузки, обработки, контроля и публикации данных." title="Сквозной конвейер данных — от реестра источников до API и интерфейса."/>
            <wp:cNvGraphicFramePr>
              <a:graphicFrameLocks noChangeAspect="1"/>
            </wp:cNvGraphicFramePr>
            <a:graphic>
              <a:graphicData uri="http://schemas.openxmlformats.org/drawingml/2006/picture">
                <pic:pic>
                  <pic:nvPicPr>
                    <pic:cNvPr id="0" name="02_data_pipeline.png"/>
                    <pic:cNvPicPr/>
                  </pic:nvPicPr>
                  <pic:blipFill>
                    <a:blip r:embed="rId12"/>
                    <a:stretch>
                      <a:fillRect/>
                    </a:stretch>
                  </pic:blipFill>
                  <pic:spPr>
                    <a:xfrm>
                      <a:off x="0" y="0"/>
                      <a:ext cx="5976000" cy="3363287"/>
                    </a:xfrm>
                    <a:prstGeom prst="rect"/>
                  </pic:spPr>
                </pic:pic>
              </a:graphicData>
            </a:graphic>
          </wp:inline>
        </w:drawing>
      </w:r>
    </w:p>
    <w:p>
      <w:pPr>
        <w:pStyle w:val="Caption"/>
      </w:pPr>
      <w:r>
        <w:t>Рисунок 2. Сквозной конвейер данных — от реестра источников до API и интерфейса.</w:t>
      </w:r>
    </w:p>
    <w:p>
      <w:pPr>
        <w:pStyle w:val="Heading2"/>
      </w:pPr>
      <w:r>
        <w:t>4.1. Реестр источников</w:t>
      </w:r>
    </w:p>
    <w:p>
      <w:r>
        <w:rPr>
          <w:rFonts w:ascii="Noto Serif" w:hAnsi="Noto Serif" w:eastAsia="Noto Serif"/>
          <w:sz w:val="18"/>
        </w:rPr>
        <w:t>Работа начинается не с загрузки файла, а с регистрации источника. Таблица source_registry содержит владельца, официальное наименование, основной и фактический URL, способ доступа, частоту обновления, статус автоматизации, роль источника и сведения о последнем снимке. Таблица license_registry отдельно фиксирует правила хранения, преобразования и распространения.</w:t>
      </w:r>
    </w:p>
    <w:p>
      <w:pPr>
        <w:pStyle w:val="Heading2"/>
      </w:pPr>
      <w:r>
        <w:t>4.2. Снимок первичных данных</w:t>
      </w:r>
    </w:p>
    <w:p>
      <w:r>
        <w:rPr>
          <w:rFonts w:ascii="Noto Serif" w:hAnsi="Noto Serif" w:eastAsia="Noto Serif"/>
          <w:sz w:val="18"/>
        </w:rPr>
        <w:t>Снимок raw — неизменяемое свидетельство того, что именно было получено в конкретный момент. Для каждого объекта сохраняются размер, тип содержимого, путь, URL, время получения и SHA-256. Если правила источника не позволяют безопасно распространять raw-файл, релиз хранит производный экспорт и воспроизводимый download recipe.</w:t>
      </w:r>
    </w:p>
    <w:tbl>
      <w:tblPr>
        <w:tblW w:type="auto" w:w="0"/>
        <w:jc w:val="center"/>
        <w:tblLook w:firstColumn="1" w:firstRow="1" w:lastColumn="0" w:lastRow="0" w:noHBand="0" w:noVBand="1" w:val="04A0"/>
      </w:tblPr>
      <w:tblGrid>
        <w:gridCol w:w="9808"/>
      </w:tblGrid>
      <w:tr>
        <w:tc>
          <w:tcPr>
            <w:tcW w:type="dxa" w:w="9808"/>
            <w:shd w:fill="F5F7F8"/>
            <w:tcMar>
              <w:top w:w="140" w:type="dxa"/>
              <w:start w:w="220" w:type="dxa"/>
              <w:bottom w:w="140" w:type="dxa"/>
              <w:end w:w="220" w:type="dxa"/>
            </w:tcMar>
            <w:tcBorders>
              <w:top w:val="single" w:sz="6" w:color="CFDCE4"/>
              <w:left w:val="single" w:sz="6" w:color="CFDCE4"/>
              <w:bottom w:val="single" w:sz="6" w:color="CFDCE4"/>
              <w:right w:val="single" w:sz="6" w:color="CFDCE4"/>
            </w:tcBorders>
          </w:tcPr>
          <w:p>
            <w:pPr>
              <w:jc w:val="center"/>
            </w:pPr>
            <w:r>
              <w:rPr>
                <w:rFonts w:ascii="Noto Sans" w:hAnsi="Noto Sans" w:eastAsia="Noto Sans"/>
                <w:b/>
                <w:color w:val="2F6B8A"/>
                <w:sz w:val="16"/>
              </w:rPr>
              <w:t>Контрольная сумма снимка</w:t>
            </w:r>
          </w:p>
          <w:p>
            <w:pPr>
              <w:jc w:val="center"/>
            </w:pPr>
            <w:r>
              <w:rPr>
                <w:rFonts w:ascii="DejaVu Serif" w:hAnsi="DejaVu Serif" w:eastAsia="DejaVu Serif"/>
                <w:b/>
                <w:color w:val="17324D"/>
                <w:sz w:val="22"/>
              </w:rPr>
              <w:t>sha256 = SHA256(binary_content)</w:t>
            </w:r>
          </w:p>
          <w:p>
            <w:pPr>
              <w:jc w:val="left"/>
            </w:pPr>
            <w:r>
              <w:rPr>
                <w:rFonts w:ascii="Noto Sans" w:hAnsi="Noto Sans" w:eastAsia="Noto Sans"/>
                <w:color w:val="5A6E7A"/>
                <w:sz w:val="16"/>
              </w:rPr>
              <w:t>Совпадение контрольной суммы подтверждает побайтовую идентичность файла; оно не доказывает содержательную корректность источника, но исключает незаметную подмену.</w:t>
            </w:r>
          </w:p>
        </w:tc>
      </w:tr>
    </w:tbl>
    <w:p>
      <w:pPr>
        <w:pStyle w:val="Heading2"/>
      </w:pPr>
      <w:r>
        <w:t>4.3. Парсинг и нормализация</w:t>
      </w:r>
    </w:p>
    <w:p>
      <w:r>
        <w:rPr>
          <w:rFonts w:ascii="Noto Serif" w:hAnsi="Noto Serif" w:eastAsia="Noto Serif"/>
          <w:sz w:val="18"/>
        </w:rPr>
        <w:t>Парсеры обрабатывают CSV, XLSX, JSON, PDF и HTML. На этапе нормализации названия стран сопоставляются с ISO3; годы и единицы приводятся к явным полям; строки с агрегатами, регионами или неподдерживаемыми территориями отделяются; числовые значения очищаются; сохраняются исходный код показателя и измерения. PDF используется прежде всего для HCI+ и GTCI, поэтому для него особенно важны повторяемые шаблоны извлечения и контроль числа сопоставленных стран.</w:t>
      </w:r>
    </w:p>
    <w:p>
      <w:pPr>
        <w:pStyle w:val="Heading2"/>
      </w:pPr>
      <w:r>
        <w:t>4.4. Выбор наблюдения</w:t>
      </w:r>
    </w:p>
    <w:p>
      <w:r>
        <w:rPr>
          <w:rFonts w:ascii="Noto Serif" w:hAnsi="Noto Serif" w:eastAsia="Noto Serif"/>
          <w:sz w:val="18"/>
        </w:rPr>
        <w:t>Для многовариантных международных рядов необходимо выбрать одну строку для компонента, страны и года. В source_observations хранятся source_priority, dimensions_json и selection_rule. Это позволяет объяснить, почему использована конкретная комбинация пола, возраста, отрасли, статуса занятости или единицы измерения. В HTEI правило выбора также зависит от режима сопоставимости.</w:t>
      </w:r>
    </w:p>
    <w:p>
      <w:pPr>
        <w:pStyle w:val="Heading2"/>
      </w:pPr>
      <w:r>
        <w:t>4.5. Расчёт и публикация</w:t>
      </w:r>
    </w:p>
    <w:p>
      <w:r>
        <w:rPr>
          <w:rFonts w:ascii="Noto Serif" w:hAnsi="Noto Serif" w:eastAsia="Noto Serif"/>
          <w:sz w:val="18"/>
        </w:rPr>
        <w:t>После выбора наблюдений выполняются нормирование, агрегация и ранжирование. Результат записывается в специализированную таблицу модели и/или унифицированные index_scores и component_values. Диагностика и рекомендации формируются отдельным слоем. API не читает первичные файлы на лету: оно отдаёт подготовленное состояние базы, что делает ответы быстрыми и детерминированными.</w:t>
      </w:r>
    </w:p>
    <w:p>
      <w:pPr>
        <w:pStyle w:val="Heading2"/>
      </w:pPr>
      <w:r>
        <w:t>4.6. Обновление</w:t>
      </w:r>
    </w:p>
    <w:p>
      <w:r>
        <w:rPr>
          <w:rFonts w:ascii="Noto Serif" w:hAnsi="Noto Serif" w:eastAsia="Noto Serif"/>
          <w:sz w:val="18"/>
        </w:rPr>
        <w:t>Внешний API-маршрут POST /api/refresh/{source_code} имеет информационный характер и не запускает мутацию базы из браузера. Реальное обновление выполняется командными сценариями и production builder, после чего должны повторно пройти контроль происхождения, формул, переводов, тесты и релизный шлюз. Такое разделение уменьшает риск несанкционированного изменения публичной сборки.</w:t>
      </w:r>
    </w:p>
    <w:p>
      <w:bookmarkStart w:id="1195" w:name="sec5"/>
      <w:pPr>
        <w:pStyle w:val="Heading1"/>
      </w:pPr>
      <w:r>
        <w:t>5. Состав и объём данных</w:t>
      </w:r>
      <w:bookmarkEnd w:id="1195"/>
    </w:p>
    <w:p>
      <w:pPr>
        <w:jc w:val="center"/>
      </w:pPr>
      <w:r>
        <w:drawing>
          <wp:inline xmlns:a="http://schemas.openxmlformats.org/drawingml/2006/main" xmlns:pic="http://schemas.openxmlformats.org/drawingml/2006/picture">
            <wp:extent cx="5976000" cy="3363287"/>
            <wp:docPr id="3" name="Picture 3" descr="Столбчатая диаграмма числа оценок и стран по восьми индексным модулям." title="Охват индексных модулей в унифицированной таблице index_scores."/>
            <wp:cNvGraphicFramePr>
              <a:graphicFrameLocks noChangeAspect="1"/>
            </wp:cNvGraphicFramePr>
            <a:graphic>
              <a:graphicData uri="http://schemas.openxmlformats.org/drawingml/2006/picture">
                <pic:pic>
                  <pic:nvPicPr>
                    <pic:cNvPr id="0" name="06_index_coverage.png"/>
                    <pic:cNvPicPr/>
                  </pic:nvPicPr>
                  <pic:blipFill>
                    <a:blip r:embed="rId13"/>
                    <a:stretch>
                      <a:fillRect/>
                    </a:stretch>
                  </pic:blipFill>
                  <pic:spPr>
                    <a:xfrm>
                      <a:off x="0" y="0"/>
                      <a:ext cx="5976000" cy="3363287"/>
                    </a:xfrm>
                    <a:prstGeom prst="rect"/>
                  </pic:spPr>
                </pic:pic>
              </a:graphicData>
            </a:graphic>
          </wp:inline>
        </w:drawing>
      </w:r>
    </w:p>
    <w:p>
      <w:pPr>
        <w:pStyle w:val="Caption"/>
      </w:pPr>
      <w:r>
        <w:t>Рисунок 3. Охват индексных модулей в унифицированной таблице index_scores.</w:t>
      </w:r>
    </w:p>
    <w:p>
      <w:pPr>
        <w:pStyle w:val="Caption"/>
      </w:pPr>
      <w:r>
        <w:t>Таблица 5. Охват индексных модулей</w:t>
      </w:r>
    </w:p>
    <w:tbl>
      <w:tblPr>
        <w:tblW w:type="auto" w:w="0"/>
        <w:jc w:val="center"/>
        <w:tblLayout w:type="autofit"/>
        <w:tblLook w:firstColumn="1" w:firstRow="1" w:lastColumn="0" w:lastRow="0" w:noHBand="0" w:noVBand="1" w:val="04A0"/>
      </w:tblPr>
      <w:tblGrid>
        <w:gridCol w:w="1635"/>
        <w:gridCol w:w="1635"/>
        <w:gridCol w:w="1635"/>
        <w:gridCol w:w="1635"/>
        <w:gridCol w:w="1635"/>
        <w:gridCol w:w="1635"/>
      </w:tblGrid>
      <w:tr>
        <w:trPr>
          <w:tblHeader w:val="true"/>
        </w:trPr>
        <w:tc>
          <w:tcPr>
            <w:tcW w:type="dxa" w:w="113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Код</w:t>
            </w:r>
          </w:p>
        </w:tc>
        <w:tc>
          <w:tcPr>
            <w:tcW w:type="dxa" w:w="130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Оценки</w:t>
            </w:r>
          </w:p>
        </w:tc>
        <w:tc>
          <w:tcPr>
            <w:tcW w:type="dxa" w:w="113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Страны</w:t>
            </w:r>
          </w:p>
        </w:tc>
        <w:tc>
          <w:tcPr>
            <w:tcW w:type="dxa" w:w="147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Период</w:t>
            </w:r>
          </w:p>
        </w:tc>
        <w:tc>
          <w:tcPr>
            <w:tcW w:type="dxa" w:w="181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Компонентные строки</w:t>
            </w:r>
          </w:p>
        </w:tc>
        <w:tc>
          <w:tcPr>
            <w:tcW w:type="dxa" w:w="124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Компонентов</w:t>
            </w:r>
          </w:p>
        </w:tc>
      </w:tr>
      <w:tr>
        <w:trPr>
          <w:cantSplit/>
        </w:trPr>
        <w:tc>
          <w:tcPr>
            <w:tcW w:type="dxa" w:w="113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HDI</w:t>
            </w:r>
          </w:p>
        </w:tc>
        <w:tc>
          <w:tcPr>
            <w:tcW w:type="dxa" w:w="130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5 940</w:t>
            </w:r>
          </w:p>
        </w:tc>
        <w:tc>
          <w:tcPr>
            <w:tcW w:type="dxa" w:w="113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193</w:t>
            </w:r>
          </w:p>
        </w:tc>
        <w:tc>
          <w:tcPr>
            <w:tcW w:type="dxa" w:w="147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1990–2023</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17 820</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w:t>
            </w:r>
          </w:p>
        </w:tc>
      </w:tr>
      <w:tr>
        <w:trPr>
          <w:cantSplit/>
        </w:trPr>
        <w:tc>
          <w:tcPr>
            <w:tcW w:type="dxa" w:w="113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HCI</w:t>
            </w:r>
          </w:p>
        </w:tc>
        <w:tc>
          <w:tcPr>
            <w:tcW w:type="dxa" w:w="130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597</w:t>
            </w:r>
          </w:p>
        </w:tc>
        <w:tc>
          <w:tcPr>
            <w:tcW w:type="dxa" w:w="113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172</w:t>
            </w:r>
          </w:p>
        </w:tc>
        <w:tc>
          <w:tcPr>
            <w:tcW w:type="dxa" w:w="147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2010–2020</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2 137</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4</w:t>
            </w:r>
          </w:p>
        </w:tc>
      </w:tr>
      <w:tr>
        <w:trPr>
          <w:cantSplit/>
        </w:trPr>
        <w:tc>
          <w:tcPr>
            <w:tcW w:type="dxa" w:w="113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HCI_PLUS</w:t>
            </w:r>
          </w:p>
        </w:tc>
        <w:tc>
          <w:tcPr>
            <w:tcW w:type="dxa" w:w="130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158</w:t>
            </w:r>
          </w:p>
        </w:tc>
        <w:tc>
          <w:tcPr>
            <w:tcW w:type="dxa" w:w="113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158</w:t>
            </w:r>
          </w:p>
        </w:tc>
        <w:tc>
          <w:tcPr>
            <w:tcW w:type="dxa" w:w="147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2026–2026</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474</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w:t>
            </w:r>
          </w:p>
        </w:tc>
      </w:tr>
      <w:tr>
        <w:trPr>
          <w:cantSplit/>
        </w:trPr>
        <w:tc>
          <w:tcPr>
            <w:tcW w:type="dxa" w:w="113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GTCI</w:t>
            </w:r>
          </w:p>
        </w:tc>
        <w:tc>
          <w:tcPr>
            <w:tcW w:type="dxa" w:w="130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135</w:t>
            </w:r>
          </w:p>
        </w:tc>
        <w:tc>
          <w:tcPr>
            <w:tcW w:type="dxa" w:w="113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135</w:t>
            </w:r>
          </w:p>
        </w:tc>
        <w:tc>
          <w:tcPr>
            <w:tcW w:type="dxa" w:w="147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2025–2025</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804</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6</w:t>
            </w:r>
          </w:p>
        </w:tc>
      </w:tr>
      <w:tr>
        <w:trPr>
          <w:cantSplit/>
        </w:trPr>
        <w:tc>
          <w:tcPr>
            <w:tcW w:type="dxa" w:w="113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GII</w:t>
            </w:r>
          </w:p>
        </w:tc>
        <w:tc>
          <w:tcPr>
            <w:tcW w:type="dxa" w:w="130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536</w:t>
            </w:r>
          </w:p>
        </w:tc>
        <w:tc>
          <w:tcPr>
            <w:tcW w:type="dxa" w:w="113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141</w:t>
            </w:r>
          </w:p>
        </w:tc>
        <w:tc>
          <w:tcPr>
            <w:tcW w:type="dxa" w:w="147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2022–2025</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3 752</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7</w:t>
            </w:r>
          </w:p>
        </w:tc>
      </w:tr>
      <w:tr>
        <w:trPr>
          <w:cantSplit/>
        </w:trPr>
        <w:tc>
          <w:tcPr>
            <w:tcW w:type="dxa" w:w="113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IDI</w:t>
            </w:r>
          </w:p>
        </w:tc>
        <w:tc>
          <w:tcPr>
            <w:tcW w:type="dxa" w:w="130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503</w:t>
            </w:r>
          </w:p>
        </w:tc>
        <w:tc>
          <w:tcPr>
            <w:tcW w:type="dxa" w:w="113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175</w:t>
            </w:r>
          </w:p>
        </w:tc>
        <w:tc>
          <w:tcPr>
            <w:tcW w:type="dxa" w:w="147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2023–2025</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1 509</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w:t>
            </w:r>
          </w:p>
        </w:tc>
      </w:tr>
      <w:tr>
        <w:trPr>
          <w:cantSplit/>
        </w:trPr>
        <w:tc>
          <w:tcPr>
            <w:tcW w:type="dxa" w:w="113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QS_ET</w:t>
            </w:r>
          </w:p>
        </w:tc>
        <w:tc>
          <w:tcPr>
            <w:tcW w:type="dxa" w:w="130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227</w:t>
            </w:r>
          </w:p>
        </w:tc>
        <w:tc>
          <w:tcPr>
            <w:tcW w:type="dxa" w:w="113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61</w:t>
            </w:r>
          </w:p>
        </w:tc>
        <w:tc>
          <w:tcPr>
            <w:tcW w:type="dxa" w:w="147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2023–2026</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908</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4</w:t>
            </w:r>
          </w:p>
        </w:tc>
      </w:tr>
      <w:tr>
        <w:trPr>
          <w:cantSplit/>
        </w:trPr>
        <w:tc>
          <w:tcPr>
            <w:tcW w:type="dxa" w:w="113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w:t>
            </w:r>
          </w:p>
        </w:tc>
        <w:tc>
          <w:tcPr>
            <w:tcW w:type="dxa" w:w="130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1 980</w:t>
            </w:r>
          </w:p>
        </w:tc>
        <w:tc>
          <w:tcPr>
            <w:tcW w:type="dxa" w:w="113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214</w:t>
            </w:r>
          </w:p>
        </w:tc>
        <w:tc>
          <w:tcPr>
            <w:tcW w:type="dxa" w:w="147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1992–2026</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9 541</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6</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index_scores и component_values.</w:t>
      </w:r>
    </w:p>
    <w:p>
      <w:r>
        <w:rPr>
          <w:rFonts w:ascii="Noto Serif" w:hAnsi="Noto Serif" w:eastAsia="Noto Serif"/>
          <w:sz w:val="18"/>
        </w:rPr>
        <w:t>Наиболее длинный временной ряд — HDI: 5 940 оценок для 193 стран за 1990–2023 гг. HTEI имеет широкий охват и длинную ретроспективу исходных значений, но сравнимость профилей зависит от режима и возраста компонентов. GTCI 2025 и HCI+ 2026 являются поперечными срезами одного выпуска.</w:t>
      </w:r>
    </w:p>
    <w:p>
      <w:pPr>
        <w:jc w:val="center"/>
      </w:pPr>
      <w:r>
        <w:drawing>
          <wp:inline xmlns:a="http://schemas.openxmlformats.org/drawingml/2006/main" xmlns:pic="http://schemas.openxmlformats.org/drawingml/2006/picture">
            <wp:extent cx="5976000" cy="3363287"/>
            <wp:docPr id="4" name="Picture 4" descr="Кольцевая диаграмма показывает преобладание PDF и JSON в 275 снимках источников." title="Форматы и объём архива первичных источников."/>
            <wp:cNvGraphicFramePr>
              <a:graphicFrameLocks noChangeAspect="1"/>
            </wp:cNvGraphicFramePr>
            <a:graphic>
              <a:graphicData uri="http://schemas.openxmlformats.org/drawingml/2006/picture">
                <pic:pic>
                  <pic:nvPicPr>
                    <pic:cNvPr id="0" name="07_raw_archive.png"/>
                    <pic:cNvPicPr/>
                  </pic:nvPicPr>
                  <pic:blipFill>
                    <a:blip r:embed="rId14"/>
                    <a:stretch>
                      <a:fillRect/>
                    </a:stretch>
                  </pic:blipFill>
                  <pic:spPr>
                    <a:xfrm>
                      <a:off x="0" y="0"/>
                      <a:ext cx="5976000" cy="3363287"/>
                    </a:xfrm>
                    <a:prstGeom prst="rect"/>
                  </pic:spPr>
                </pic:pic>
              </a:graphicData>
            </a:graphic>
          </wp:inline>
        </w:drawing>
      </w:r>
    </w:p>
    <w:p>
      <w:pPr>
        <w:pStyle w:val="Caption"/>
      </w:pPr>
      <w:r>
        <w:t>Рисунок 4. Форматы и объём архива первичных источников.</w:t>
      </w:r>
    </w:p>
    <w:p>
      <w:pPr>
        <w:pStyle w:val="Caption"/>
      </w:pPr>
      <w:r>
        <w:t>Таблица 6. Снимки первичных источников по типам</w:t>
      </w:r>
    </w:p>
    <w:tbl>
      <w:tblPr>
        <w:tblW w:type="auto" w:w="0"/>
        <w:jc w:val="center"/>
        <w:tblLayout w:type="autofit"/>
        <w:tblLook w:firstColumn="1" w:firstRow="1" w:lastColumn="0" w:lastRow="0" w:noHBand="0" w:noVBand="1" w:val="04A0"/>
      </w:tblPr>
      <w:tblGrid>
        <w:gridCol w:w="3269"/>
        <w:gridCol w:w="3269"/>
        <w:gridCol w:w="3269"/>
      </w:tblGrid>
      <w:tr>
        <w:trPr>
          <w:tblHeader w:val="true"/>
        </w:trPr>
        <w:tc>
          <w:tcPr>
            <w:tcW w:type="dxa" w:w="5783"/>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MIME-тип</w:t>
            </w:r>
          </w:p>
        </w:tc>
        <w:tc>
          <w:tcPr>
            <w:tcW w:type="dxa" w:w="124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Снимков</w:t>
            </w:r>
          </w:p>
        </w:tc>
        <w:tc>
          <w:tcPr>
            <w:tcW w:type="dxa" w:w="181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Объём</w:t>
            </w:r>
          </w:p>
        </w:tc>
      </w:tr>
      <w:tr>
        <w:trPr>
          <w:cantSplit/>
        </w:trPr>
        <w:tc>
          <w:tcPr>
            <w:tcW w:type="dxa" w:w="5783"/>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application/pdf</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159</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379,2 МБ</w:t>
            </w:r>
          </w:p>
        </w:tc>
      </w:tr>
      <w:tr>
        <w:trPr>
          <w:cantSplit/>
        </w:trPr>
        <w:tc>
          <w:tcPr>
            <w:tcW w:type="dxa" w:w="5783"/>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application/json</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103</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99,5 МБ</w:t>
            </w:r>
          </w:p>
        </w:tc>
      </w:tr>
      <w:tr>
        <w:trPr>
          <w:cantSplit/>
        </w:trPr>
        <w:tc>
          <w:tcPr>
            <w:tcW w:type="dxa" w:w="5783"/>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application/vnd.openxmlformats-officedocument.spreadsheetml.sheet</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5</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3,8 МБ</w:t>
            </w:r>
          </w:p>
        </w:tc>
      </w:tr>
      <w:tr>
        <w:trPr>
          <w:cantSplit/>
        </w:trPr>
        <w:tc>
          <w:tcPr>
            <w:tcW w:type="dxa" w:w="5783"/>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text/csv</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1,9 МБ</w:t>
            </w:r>
          </w:p>
        </w:tc>
      </w:tr>
      <w:tr>
        <w:trPr>
          <w:cantSplit/>
        </w:trPr>
        <w:tc>
          <w:tcPr>
            <w:tcW w:type="dxa" w:w="5783"/>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text/html;charset=utf-8</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249,1 КБ</w:t>
            </w:r>
          </w:p>
        </w:tc>
      </w:tr>
      <w:tr>
        <w:trPr>
          <w:cantSplit/>
        </w:trPr>
        <w:tc>
          <w:tcPr>
            <w:tcW w:type="dxa" w:w="5783"/>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application/json;charset=utf-8</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110,9 КБ</w:t>
            </w:r>
          </w:p>
        </w:tc>
      </w:tr>
      <w:tr>
        <w:trPr>
          <w:cantSplit/>
        </w:trPr>
        <w:tc>
          <w:tcPr>
            <w:tcW w:type="dxa" w:w="5783"/>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application/json; charset=utf-8</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9,6 КБ</w:t>
            </w:r>
          </w:p>
        </w:tc>
      </w:tr>
      <w:tr>
        <w:trPr>
          <w:cantSplit/>
        </w:trPr>
        <w:tc>
          <w:tcPr>
            <w:tcW w:type="dxa" w:w="5783"/>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text/csv; charset=utf-8</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521,0 Б</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raw_snapshots и физическая инвентаризация файлов.</w:t>
      </w:r>
    </w:p>
    <w:p>
      <w:pPr>
        <w:pStyle w:val="Heading2"/>
      </w:pPr>
      <w:r>
        <w:t>5.1. HTEI и модель подготовки кадров</w:t>
      </w:r>
    </w:p>
    <w:p>
      <w:pPr>
        <w:pStyle w:val="Caption"/>
      </w:pPr>
      <w:r>
        <w:t>Таблица 7. Специализированные расчётные слои</w:t>
      </w:r>
    </w:p>
    <w:tbl>
      <w:tblPr>
        <w:tblW w:type="auto" w:w="0"/>
        <w:jc w:val="center"/>
        <w:tblLayout w:type="autofit"/>
        <w:tblLook w:firstColumn="1" w:firstRow="1" w:lastColumn="0" w:lastRow="0" w:noHBand="0" w:noVBand="1" w:val="04A0"/>
      </w:tblPr>
      <w:tblGrid>
        <w:gridCol w:w="3269"/>
        <w:gridCol w:w="3269"/>
        <w:gridCol w:w="3269"/>
      </w:tblGrid>
      <w:tr>
        <w:trPr>
          <w:tblHeader w:val="true"/>
        </w:trPr>
        <w:tc>
          <w:tcPr>
            <w:tcW w:type="dxa" w:w="3061"/>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Набор</w:t>
            </w:r>
          </w:p>
        </w:tc>
        <w:tc>
          <w:tcPr>
            <w:tcW w:type="dxa" w:w="181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Строки/профили</w:t>
            </w:r>
          </w:p>
        </w:tc>
        <w:tc>
          <w:tcPr>
            <w:tcW w:type="dxa" w:w="4082"/>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Назначение</w:t>
            </w:r>
          </w:p>
        </w:tc>
      </w:tr>
      <w:tr>
        <w:trPr>
          <w:cantSplit/>
        </w:trPr>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 v6 profiles</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431</w:t>
            </w:r>
          </w:p>
        </w:tc>
        <w:tc>
          <w:tcPr>
            <w:tcW w:type="dxa" w:w="4082"/>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профили четырёх режимов</w:t>
            </w:r>
          </w:p>
        </w:tc>
      </w:tr>
      <w:tr>
        <w:trPr>
          <w:cantSplit/>
        </w:trPr>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 v6 component values</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1 909</w:t>
            </w:r>
          </w:p>
        </w:tc>
        <w:tc>
          <w:tcPr>
            <w:tcW w:type="dxa" w:w="4082"/>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выбранные компоненты, веса, лаги, provenance</w:t>
            </w:r>
          </w:p>
        </w:tc>
      </w:tr>
      <w:tr>
        <w:trPr>
          <w:cantSplit/>
        </w:trPr>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 v6 missingness audit</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34</w:t>
            </w:r>
          </w:p>
        </w:tc>
        <w:tc>
          <w:tcPr>
            <w:tcW w:type="dxa" w:w="4082"/>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контроль отсутствующих обязательных компонентов</w:t>
            </w:r>
          </w:p>
        </w:tc>
      </w:tr>
      <w:tr>
        <w:trPr>
          <w:cantSplit/>
        </w:trPr>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 v5 profiles</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404</w:t>
            </w:r>
          </w:p>
        </w:tc>
        <w:tc>
          <w:tcPr>
            <w:tcW w:type="dxa" w:w="4082"/>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сохранённая предшествующая версия для аудита</w:t>
            </w:r>
          </w:p>
        </w:tc>
      </w:tr>
      <w:tr>
        <w:trPr>
          <w:cantSplit/>
        </w:trPr>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Training model scores</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508</w:t>
            </w:r>
          </w:p>
        </w:tc>
        <w:tc>
          <w:tcPr>
            <w:tcW w:type="dxa" w:w="4082"/>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страновые баллы 2023–2026</w:t>
            </w:r>
          </w:p>
        </w:tc>
      </w:tr>
      <w:tr>
        <w:trPr>
          <w:cantSplit/>
        </w:trPr>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Training model components</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4 943</w:t>
            </w:r>
          </w:p>
        </w:tc>
        <w:tc>
          <w:tcPr>
            <w:tcW w:type="dxa" w:w="4082"/>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входы четырёх блоков</w:t>
            </w:r>
          </w:p>
        </w:tc>
      </w:tr>
      <w:tr>
        <w:trPr>
          <w:cantSplit/>
        </w:trPr>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Methodology audit runs</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w:t>
            </w:r>
          </w:p>
        </w:tc>
        <w:tc>
          <w:tcPr>
            <w:tcW w:type="dxa" w:w="4082"/>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устойчивость HTEI и training model</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Специализированные таблицы SQLite.</w:t>
      </w:r>
    </w:p>
    <w:p>
      <w:pPr>
        <w:pStyle w:val="Heading2"/>
      </w:pPr>
      <w:r>
        <w:t>5.2. QS, HCI+ и дополнительные слои</w:t>
      </w:r>
    </w:p>
    <w:p>
      <w:pPr>
        <w:pStyle w:val="Caption"/>
      </w:pPr>
      <w:r>
        <w:t>Таблица 8. Дополнительные специализированные массивы</w:t>
      </w:r>
    </w:p>
    <w:tbl>
      <w:tblPr>
        <w:tblW w:type="auto" w:w="0"/>
        <w:jc w:val="center"/>
        <w:tblLayout w:type="autofit"/>
        <w:tblLook w:firstColumn="1" w:firstRow="1" w:lastColumn="0" w:lastRow="0" w:noHBand="0" w:noVBand="1" w:val="04A0"/>
      </w:tblPr>
      <w:tblGrid>
        <w:gridCol w:w="3269"/>
        <w:gridCol w:w="3269"/>
        <w:gridCol w:w="3269"/>
      </w:tblGrid>
      <w:tr>
        <w:trPr>
          <w:tblHeader w:val="true"/>
        </w:trPr>
        <w:tc>
          <w:tcPr>
            <w:tcW w:type="dxa" w:w="2835"/>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Набор</w:t>
            </w:r>
          </w:p>
        </w:tc>
        <w:tc>
          <w:tcPr>
            <w:tcW w:type="dxa" w:w="1701"/>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Объём</w:t>
            </w:r>
          </w:p>
        </w:tc>
        <w:tc>
          <w:tcPr>
            <w:tcW w:type="dxa" w:w="4422"/>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Комментарий</w:t>
            </w:r>
          </w:p>
        </w:tc>
      </w:tr>
      <w:tr>
        <w:trPr>
          <w:cantSplit/>
        </w:trPr>
        <w:tc>
          <w:tcPr>
            <w:tcW w:type="dxa" w:w="28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QS institution rankings</w:t>
            </w:r>
          </w:p>
        </w:tc>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2 185 строк</w:t>
            </w:r>
          </w:p>
        </w:tc>
        <w:tc>
          <w:tcPr>
            <w:tcW w:type="dxa" w:w="4422"/>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2023–2026; 528–556 организаций в год</w:t>
            </w:r>
          </w:p>
        </w:tc>
      </w:tr>
      <w:tr>
        <w:trPr>
          <w:cantSplit/>
        </w:trPr>
        <w:tc>
          <w:tcPr>
            <w:tcW w:type="dxa" w:w="283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HCI+ country scores</w:t>
            </w:r>
          </w:p>
        </w:tc>
        <w:tc>
          <w:tcPr>
            <w:tcW w:type="dxa" w:w="170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158 строк</w:t>
            </w:r>
          </w:p>
        </w:tc>
        <w:tc>
          <w:tcPr>
            <w:tcW w:type="dxa" w:w="4422"/>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официальные country briefs, выпуск 2026</w:t>
            </w:r>
          </w:p>
        </w:tc>
      </w:tr>
      <w:tr>
        <w:trPr>
          <w:cantSplit/>
        </w:trPr>
        <w:tc>
          <w:tcPr>
            <w:tcW w:type="dxa" w:w="28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National statistics metrics</w:t>
            </w:r>
          </w:p>
        </w:tc>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94 строки</w:t>
            </w:r>
          </w:p>
        </w:tc>
        <w:tc>
          <w:tcPr>
            <w:tcW w:type="dxa" w:w="4422"/>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Дания, Финляндия, Норвегия, Швеция</w:t>
            </w:r>
          </w:p>
        </w:tc>
      </w:tr>
      <w:tr>
        <w:trPr>
          <w:cantSplit/>
        </w:trPr>
        <w:tc>
          <w:tcPr>
            <w:tcW w:type="dxa" w:w="283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Corporate metrics</w:t>
            </w:r>
          </w:p>
        </w:tc>
        <w:tc>
          <w:tcPr>
            <w:tcW w:type="dxa" w:w="170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26 строк</w:t>
            </w:r>
          </w:p>
        </w:tc>
        <w:tc>
          <w:tcPr>
            <w:tcW w:type="dxa" w:w="4422"/>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8 компаний, SEC EDGAR</w:t>
            </w:r>
          </w:p>
        </w:tc>
      </w:tr>
      <w:tr>
        <w:trPr>
          <w:cantSplit/>
        </w:trPr>
        <w:tc>
          <w:tcPr>
            <w:tcW w:type="dxa" w:w="28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Policy brief items</w:t>
            </w:r>
          </w:p>
        </w:tc>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8 строк</w:t>
            </w:r>
          </w:p>
        </w:tc>
        <w:tc>
          <w:tcPr>
            <w:tcW w:type="dxa" w:w="4422"/>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структурированные рекомендации для России</w:t>
            </w:r>
          </w:p>
        </w:tc>
      </w:tr>
      <w:tr>
        <w:trPr>
          <w:cantSplit/>
        </w:trPr>
        <w:tc>
          <w:tcPr>
            <w:tcW w:type="dxa" w:w="283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Operational runs</w:t>
            </w:r>
          </w:p>
        </w:tc>
        <w:tc>
          <w:tcPr>
            <w:tcW w:type="dxa" w:w="170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4 записи</w:t>
            </w:r>
          </w:p>
        </w:tc>
        <w:tc>
          <w:tcPr>
            <w:tcW w:type="dxa" w:w="4422"/>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журнал задач обновления</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SQLite и project_inventory.json.</w:t>
      </w:r>
    </w:p>
    <w:tbl>
      <w:tblPr>
        <w:tblW w:type="auto" w:w="0"/>
        <w:jc w:val="center"/>
        <w:tblLook w:firstColumn="1" w:firstRow="1" w:lastColumn="0" w:lastRow="0" w:noHBand="0" w:noVBand="1" w:val="04A0"/>
      </w:tblPr>
      <w:tblGrid>
        <w:gridCol w:w="9808"/>
      </w:tblGrid>
      <w:tr>
        <w:tc>
          <w:tcPr>
            <w:tcW w:type="dxa" w:w="9808"/>
            <w:shd w:fill="F7F2E8"/>
            <w:tcMar>
              <w:top w:w="120" w:type="dxa"/>
              <w:start w:w="170" w:type="dxa"/>
              <w:bottom w:w="120" w:type="dxa"/>
              <w:end w:w="170" w:type="dxa"/>
            </w:tcMar>
            <w:tcBorders>
              <w:top w:val="nil"/>
              <w:left w:val="single" w:sz="18" w:color="D39B39"/>
              <w:bottom w:val="nil"/>
              <w:right w:val="nil"/>
            </w:tcBorders>
          </w:tcPr>
          <w:p>
            <w:r>
              <w:rPr>
                <w:rFonts w:ascii="Noto Sans" w:hAnsi="Noto Sans" w:eastAsia="Noto Sans"/>
                <w:b/>
                <w:color w:val="D39B39"/>
                <w:sz w:val="18"/>
              </w:rPr>
              <w:t xml:space="preserve">Как читать объём — </w:t>
            </w:r>
            <w:r>
              <w:rPr>
                <w:rFonts w:ascii="Noto Sans" w:hAnsi="Noto Sans" w:eastAsia="Noto Sans"/>
                <w:color w:val="243746"/>
                <w:sz w:val="17"/>
              </w:rPr>
              <w:t>Число строк не равно числу независимых фактов: одно официальное значение может иметь итог, несколько компонентов, ранг, диагностику и запись происхождения. Поэтому объёмы следует рассматривать по слоям, а не суммировать как «число показателей».</w:t>
            </w:r>
          </w:p>
        </w:tc>
      </w:tr>
    </w:tbl>
    <w:p>
      <w:bookmarkStart w:id="1266" w:name="sec6"/>
      <w:pPr>
        <w:pStyle w:val="Heading1"/>
      </w:pPr>
      <w:r>
        <w:t>6. Источники, происхождение и правовой режим</w:t>
      </w:r>
      <w:bookmarkEnd w:id="1266"/>
    </w:p>
    <w:p>
      <w:pPr>
        <w:pStyle w:val="Heading2"/>
      </w:pPr>
      <w:r>
        <w:t>6.1. Принцип приоритета первоисточника</w:t>
      </w:r>
    </w:p>
    <w:p>
      <w:r>
        <w:rPr>
          <w:rFonts w:ascii="Noto Serif" w:hAnsi="Noto Serif" w:eastAsia="Noto Serif"/>
          <w:sz w:val="18"/>
        </w:rPr>
        <w:t>Для официального индекса приоритет имеет источник организации-автора: официальный CSV/XLSX, API, отчёт или страновой brief. Вторичные агрегаторы не используются как замена, если первичный источник доступен. Для HTEI приоритет источников задаётся отдельно по компонентам: прямые сопоставимые наблюдения имеют преимущество перед широкими прокси, а официальная международная статистика — перед ограниченными национальными и корпоративными рядами.</w:t>
      </w:r>
    </w:p>
    <w:p>
      <w:pPr>
        <w:pStyle w:val="Heading2"/>
      </w:pPr>
      <w:r>
        <w:t>6.2. Реестр источников</w:t>
      </w:r>
    </w:p>
    <w:p>
      <w:pPr>
        <w:pStyle w:val="Caption"/>
      </w:pPr>
      <w:r>
        <w:t>Таблица 9. Зарегистрированные источники</w:t>
      </w:r>
    </w:p>
    <w:tbl>
      <w:tblPr>
        <w:tblW w:type="auto" w:w="0"/>
        <w:jc w:val="center"/>
        <w:tblLayout w:type="autofit"/>
        <w:tblLook w:firstColumn="1" w:firstRow="1" w:lastColumn="0" w:lastRow="0" w:noHBand="0" w:noVBand="1" w:val="04A0"/>
      </w:tblPr>
      <w:tblGrid>
        <w:gridCol w:w="1635"/>
        <w:gridCol w:w="1635"/>
        <w:gridCol w:w="1635"/>
        <w:gridCol w:w="1635"/>
        <w:gridCol w:w="1635"/>
        <w:gridCol w:w="1635"/>
      </w:tblGrid>
      <w:tr>
        <w:trPr>
          <w:tblHeader w:val="true"/>
        </w:trPr>
        <w:tc>
          <w:tcPr>
            <w:tcW w:type="dxa" w:w="141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ID</w:t>
            </w:r>
          </w:p>
        </w:tc>
        <w:tc>
          <w:tcPr>
            <w:tcW w:type="dxa" w:w="147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Владелец</w:t>
            </w:r>
          </w:p>
        </w:tc>
        <w:tc>
          <w:tcPr>
            <w:tcW w:type="dxa" w:w="1701"/>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Доступ</w:t>
            </w:r>
          </w:p>
        </w:tc>
        <w:tc>
          <w:tcPr>
            <w:tcW w:type="dxa" w:w="79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Выпуск</w:t>
            </w:r>
          </w:p>
        </w:tc>
        <w:tc>
          <w:tcPr>
            <w:tcW w:type="dxa" w:w="181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Автоматизация</w:t>
            </w:r>
          </w:p>
        </w:tc>
        <w:tc>
          <w:tcPr>
            <w:tcW w:type="dxa" w:w="2835"/>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Фактический URL</w:t>
            </w:r>
          </w:p>
        </w:tc>
      </w:tr>
      <w:tr>
        <w:trPr>
          <w:cantSplit/>
        </w:trPr>
        <w:tc>
          <w:tcPr>
            <w:tcW w:type="dxa" w:w="141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UNDP_HDR</w:t>
            </w:r>
          </w:p>
        </w:tc>
        <w:tc>
          <w:tcPr>
            <w:tcW w:type="dxa" w:w="147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UNDP</w:t>
            </w:r>
          </w:p>
        </w:tc>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 downloadable CSV</w:t>
            </w:r>
          </w:p>
        </w:tc>
        <w:tc>
          <w:tcPr>
            <w:tcW w:type="dxa" w:w="79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2025</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implemented_official_download</w:t>
            </w:r>
          </w:p>
        </w:tc>
        <w:tc>
          <w:tcPr>
            <w:tcW w:type="dxa" w:w="28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https://hdr.undp.org/sites/default/files/2025_HDR/HDR25_Composite_indices_complete_time_series.csv</w:t>
            </w:r>
          </w:p>
        </w:tc>
      </w:tr>
      <w:tr>
        <w:trPr>
          <w:cantSplit/>
        </w:trPr>
        <w:tc>
          <w:tcPr>
            <w:tcW w:type="dxa" w:w="141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WORLD_BANK_HCI</w:t>
            </w:r>
          </w:p>
        </w:tc>
        <w:tc>
          <w:tcPr>
            <w:tcW w:type="dxa" w:w="147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World Bank</w:t>
            </w:r>
          </w:p>
        </w:tc>
        <w:tc>
          <w:tcPr>
            <w:tcW w:type="dxa" w:w="170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 REST API</w:t>
            </w:r>
          </w:p>
        </w:tc>
        <w:tc>
          <w:tcPr>
            <w:tcW w:type="dxa" w:w="79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2020</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implemented_official_api</w:t>
            </w:r>
          </w:p>
        </w:tc>
        <w:tc>
          <w:tcPr>
            <w:tcW w:type="dxa" w:w="283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https://api.worldbank.org/v2/source/63</w:t>
            </w:r>
          </w:p>
        </w:tc>
      </w:tr>
      <w:tr>
        <w:trPr>
          <w:cantSplit/>
        </w:trPr>
        <w:tc>
          <w:tcPr>
            <w:tcW w:type="dxa" w:w="141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WORLD_BANK_COUNTRIES</w:t>
            </w:r>
          </w:p>
        </w:tc>
        <w:tc>
          <w:tcPr>
            <w:tcW w:type="dxa" w:w="147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World Bank</w:t>
            </w:r>
          </w:p>
        </w:tc>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 REST API</w:t>
            </w:r>
          </w:p>
        </w:tc>
        <w:tc>
          <w:tcPr>
            <w:tcW w:type="dxa" w:w="79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2026</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implemented_official_api</w:t>
            </w:r>
          </w:p>
        </w:tc>
        <w:tc>
          <w:tcPr>
            <w:tcW w:type="dxa" w:w="28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https://api.worldbank.org/v2/country?format=json&amp;per_page=400</w:t>
            </w:r>
          </w:p>
        </w:tc>
      </w:tr>
      <w:tr>
        <w:trPr>
          <w:cantSplit/>
        </w:trPr>
        <w:tc>
          <w:tcPr>
            <w:tcW w:type="dxa" w:w="141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PORTULANS_GTCI</w:t>
            </w:r>
          </w:p>
        </w:tc>
        <w:tc>
          <w:tcPr>
            <w:tcW w:type="dxa" w:w="147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INSEAD / Portulans Institute</w:t>
            </w:r>
          </w:p>
        </w:tc>
        <w:tc>
          <w:tcPr>
            <w:tcW w:type="dxa" w:w="170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 PDF report extraction</w:t>
            </w:r>
          </w:p>
        </w:tc>
        <w:tc>
          <w:tcPr>
            <w:tcW w:type="dxa" w:w="79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2025</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implemented_official_pdf_extract</w:t>
            </w:r>
          </w:p>
        </w:tc>
        <w:tc>
          <w:tcPr>
            <w:tcW w:type="dxa" w:w="283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https://portulansinstitute.org/wp-content/uploads/2025/11/GTCI_2025_report.pdf</w:t>
            </w:r>
          </w:p>
        </w:tc>
      </w:tr>
      <w:tr>
        <w:trPr>
          <w:cantSplit/>
        </w:trPr>
        <w:tc>
          <w:tcPr>
            <w:tcW w:type="dxa" w:w="141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WIPO_GII</w:t>
            </w:r>
          </w:p>
        </w:tc>
        <w:tc>
          <w:tcPr>
            <w:tcW w:type="dxa" w:w="147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WIPO</w:t>
            </w:r>
          </w:p>
        </w:tc>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 downloadable XLSX</w:t>
            </w:r>
          </w:p>
        </w:tc>
        <w:tc>
          <w:tcPr>
            <w:tcW w:type="dxa" w:w="79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2025</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implemented_official_download</w:t>
            </w:r>
          </w:p>
        </w:tc>
        <w:tc>
          <w:tcPr>
            <w:tcW w:type="dxa" w:w="28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https://tind.wipo.int/record/58882/files/wipo-pub-2000-2025-gii-tech1.xlsx</w:t>
            </w:r>
          </w:p>
        </w:tc>
      </w:tr>
      <w:tr>
        <w:trPr>
          <w:cantSplit/>
        </w:trPr>
        <w:tc>
          <w:tcPr>
            <w:tcW w:type="dxa" w:w="141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ITU_IDI</w:t>
            </w:r>
          </w:p>
        </w:tc>
        <w:tc>
          <w:tcPr>
            <w:tcW w:type="dxa" w:w="147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ITU</w:t>
            </w:r>
          </w:p>
        </w:tc>
        <w:tc>
          <w:tcPr>
            <w:tcW w:type="dxa" w:w="170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 downloadable XLSX</w:t>
            </w:r>
          </w:p>
        </w:tc>
        <w:tc>
          <w:tcPr>
            <w:tcW w:type="dxa" w:w="79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2025</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implemented_official_download</w:t>
            </w:r>
          </w:p>
        </w:tc>
        <w:tc>
          <w:tcPr>
            <w:tcW w:type="dxa" w:w="283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https://www.itu.int/itu-d/reports/statistics/wp-content/uploads/sites/5/2025/06/IDIDataset_2025.xlsx</w:t>
            </w:r>
          </w:p>
        </w:tc>
      </w:tr>
      <w:tr>
        <w:trPr>
          <w:cantSplit/>
        </w:trPr>
        <w:tc>
          <w:tcPr>
            <w:tcW w:type="dxa" w:w="141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WORLD_BANK_HTEI</w:t>
            </w:r>
          </w:p>
        </w:tc>
        <w:tc>
          <w:tcPr>
            <w:tcW w:type="dxa" w:w="147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World Bank</w:t>
            </w:r>
          </w:p>
        </w:tc>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 REST API</w:t>
            </w:r>
          </w:p>
        </w:tc>
        <w:tc>
          <w:tcPr>
            <w:tcW w:type="dxa" w:w="79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2025</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implemented_official_api</w:t>
            </w:r>
          </w:p>
        </w:tc>
        <w:tc>
          <w:tcPr>
            <w:tcW w:type="dxa" w:w="28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https://api.worldbank.org/v2/indicator</w:t>
            </w:r>
          </w:p>
        </w:tc>
      </w:tr>
      <w:tr>
        <w:trPr>
          <w:cantSplit/>
        </w:trPr>
        <w:tc>
          <w:tcPr>
            <w:tcW w:type="dxa" w:w="141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UIS_HTEI</w:t>
            </w:r>
          </w:p>
        </w:tc>
        <w:tc>
          <w:tcPr>
            <w:tcW w:type="dxa" w:w="147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UNESCO Institute for Statistics</w:t>
            </w:r>
          </w:p>
        </w:tc>
        <w:tc>
          <w:tcPr>
            <w:tcW w:type="dxa" w:w="170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 version-pinned UIS Data API</w:t>
            </w:r>
          </w:p>
        </w:tc>
        <w:tc>
          <w:tcPr>
            <w:tcW w:type="dxa" w:w="79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2026</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implemented_official_api</w:t>
            </w:r>
          </w:p>
        </w:tc>
        <w:tc>
          <w:tcPr>
            <w:tcW w:type="dxa" w:w="283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https://api.uis.unesco.org/api/public/data/indicators</w:t>
            </w:r>
          </w:p>
        </w:tc>
      </w:tr>
      <w:tr>
        <w:trPr>
          <w:cantSplit/>
        </w:trPr>
        <w:tc>
          <w:tcPr>
            <w:tcW w:type="dxa" w:w="141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ILOSTAT_HTEI</w:t>
            </w:r>
          </w:p>
        </w:tc>
        <w:tc>
          <w:tcPr>
            <w:tcW w:type="dxa" w:w="147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International Labour Organization</w:t>
            </w:r>
          </w:p>
        </w:tc>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 bulk CSV API</w:t>
            </w:r>
          </w:p>
        </w:tc>
        <w:tc>
          <w:tcPr>
            <w:tcW w:type="dxa" w:w="79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2025</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implemented_official_bulk_csv</w:t>
            </w:r>
          </w:p>
        </w:tc>
        <w:tc>
          <w:tcPr>
            <w:tcW w:type="dxa" w:w="28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https://rplumber.ilo.org/files/website/bulk/indicator.html</w:t>
            </w:r>
          </w:p>
        </w:tc>
      </w:tr>
      <w:tr>
        <w:trPr>
          <w:cantSplit/>
        </w:trPr>
        <w:tc>
          <w:tcPr>
            <w:tcW w:type="dxa" w:w="141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OECD_HTEI</w:t>
            </w:r>
          </w:p>
        </w:tc>
        <w:tc>
          <w:tcPr>
            <w:tcW w:type="dxa" w:w="147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OECD</w:t>
            </w:r>
          </w:p>
        </w:tc>
        <w:tc>
          <w:tcPr>
            <w:tcW w:type="dxa" w:w="170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 SDMX CSV API</w:t>
            </w:r>
          </w:p>
        </w:tc>
        <w:tc>
          <w:tcPr>
            <w:tcW w:type="dxa" w:w="79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2025</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implemented_official_sdmx_api</w:t>
            </w:r>
          </w:p>
        </w:tc>
        <w:tc>
          <w:tcPr>
            <w:tcW w:type="dxa" w:w="283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https://sdmx.oecd.org/public/rest/v1/</w:t>
            </w:r>
          </w:p>
        </w:tc>
      </w:tr>
      <w:tr>
        <w:trPr>
          <w:cantSplit/>
        </w:trPr>
        <w:tc>
          <w:tcPr>
            <w:tcW w:type="dxa" w:w="141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EUROSTAT_HTEC</w:t>
            </w:r>
          </w:p>
        </w:tc>
        <w:tc>
          <w:tcPr>
            <w:tcW w:type="dxa" w:w="147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Eurostat</w:t>
            </w:r>
          </w:p>
        </w:tc>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 Eurostat Statistics API</w:t>
            </w:r>
          </w:p>
        </w:tc>
        <w:tc>
          <w:tcPr>
            <w:tcW w:type="dxa" w:w="79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2025</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implemented_official_json_api</w:t>
            </w:r>
          </w:p>
        </w:tc>
        <w:tc>
          <w:tcPr>
            <w:tcW w:type="dxa" w:w="28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https://ec.europa.eu/eurostat/api/dissemination/statistics/1.0/data/</w:t>
            </w:r>
          </w:p>
        </w:tc>
      </w:tr>
      <w:tr>
        <w:trPr>
          <w:cantSplit/>
        </w:trPr>
        <w:tc>
          <w:tcPr>
            <w:tcW w:type="dxa" w:w="141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NATIONAL_STATS_HTEI</w:t>
            </w:r>
          </w:p>
        </w:tc>
        <w:tc>
          <w:tcPr>
            <w:tcW w:type="dxa" w:w="147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National statistical offices</w:t>
            </w:r>
          </w:p>
        </w:tc>
        <w:tc>
          <w:tcPr>
            <w:tcW w:type="dxa" w:w="170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checksum-verified official-file register</w:t>
            </w:r>
          </w:p>
        </w:tc>
        <w:tc>
          <w:tcPr>
            <w:tcW w:type="dxa" w:w="79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2026</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implemented_audit_register</w:t>
            </w:r>
          </w:p>
        </w:tc>
        <w:tc>
          <w:tcPr>
            <w:tcW w:type="dxa" w:w="283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local:methodology/national-statistics-register</w:t>
            </w:r>
          </w:p>
        </w:tc>
      </w:tr>
      <w:tr>
        <w:trPr>
          <w:cantSplit/>
        </w:trPr>
        <w:tc>
          <w:tcPr>
            <w:tcW w:type="dxa" w:w="141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CORPORATE_REPORTS_HTEI</w:t>
            </w:r>
          </w:p>
        </w:tc>
        <w:tc>
          <w:tcPr>
            <w:tcW w:type="dxa" w:w="147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Public companies and reporting issuers</w:t>
            </w:r>
          </w:p>
        </w:tc>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checksum-verified official report register</w:t>
            </w:r>
          </w:p>
        </w:tc>
        <w:tc>
          <w:tcPr>
            <w:tcW w:type="dxa" w:w="79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2026</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implemented_audit_register</w:t>
            </w:r>
          </w:p>
        </w:tc>
        <w:tc>
          <w:tcPr>
            <w:tcW w:type="dxa" w:w="28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local:methodology/corporate-report-register</w:t>
            </w:r>
          </w:p>
        </w:tc>
      </w:tr>
      <w:tr>
        <w:trPr>
          <w:cantSplit/>
        </w:trPr>
        <w:tc>
          <w:tcPr>
            <w:tcW w:type="dxa" w:w="141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SPECIALIZED_RATINGS_HTEI</w:t>
            </w:r>
          </w:p>
        </w:tc>
        <w:tc>
          <w:tcPr>
            <w:tcW w:type="dxa" w:w="147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QS, WIPO, Portulans and other official ranking publishers</w:t>
            </w:r>
          </w:p>
        </w:tc>
        <w:tc>
          <w:tcPr>
            <w:tcW w:type="dxa" w:w="170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derived from archived official ranking snapshots</w:t>
            </w:r>
          </w:p>
        </w:tc>
        <w:tc>
          <w:tcPr>
            <w:tcW w:type="dxa" w:w="79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2026</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implemented_audit_register</w:t>
            </w:r>
          </w:p>
        </w:tc>
        <w:tc>
          <w:tcPr>
            <w:tcW w:type="dxa" w:w="283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local:methodology/specialized-ratings-register</w:t>
            </w:r>
          </w:p>
        </w:tc>
      </w:tr>
      <w:tr>
        <w:trPr>
          <w:cantSplit/>
        </w:trPr>
        <w:tc>
          <w:tcPr>
            <w:tcW w:type="dxa" w:w="141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HTEI_MULTI_SOURCE</w:t>
            </w:r>
          </w:p>
        </w:tc>
        <w:tc>
          <w:tcPr>
            <w:tcW w:type="dxa" w:w="147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MGIMO / FNISC RAS</w:t>
            </w:r>
          </w:p>
        </w:tc>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computed manifest from official archived snapshots</w:t>
            </w:r>
          </w:p>
        </w:tc>
        <w:tc>
          <w:tcPr>
            <w:tcW w:type="dxa" w:w="79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2026</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implemented_reproducible_transform</w:t>
            </w:r>
          </w:p>
        </w:tc>
        <w:tc>
          <w:tcPr>
            <w:tcW w:type="dxa" w:w="28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local:methodology/htei-observation-staging-v3</w:t>
            </w:r>
          </w:p>
        </w:tc>
      </w:tr>
      <w:tr>
        <w:trPr>
          <w:cantSplit/>
        </w:trPr>
        <w:tc>
          <w:tcPr>
            <w:tcW w:type="dxa" w:w="141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QS_ET</w:t>
            </w:r>
          </w:p>
        </w:tc>
        <w:tc>
          <w:tcPr>
            <w:tcW w:type="dxa" w:w="147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QS Quacquarelli Symonds</w:t>
            </w:r>
          </w:p>
        </w:tc>
        <w:tc>
          <w:tcPr>
            <w:tcW w:type="dxa" w:w="170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 public JSON endpoint archive</w:t>
            </w:r>
          </w:p>
        </w:tc>
        <w:tc>
          <w:tcPr>
            <w:tcW w:type="dxa" w:w="79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2026</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implemented_official_web_endpoint</w:t>
            </w:r>
          </w:p>
        </w:tc>
        <w:tc>
          <w:tcPr>
            <w:tcW w:type="dxa" w:w="283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https://www.topuniversities.com/university-subject-rankings/engineering-technology</w:t>
            </w:r>
          </w:p>
        </w:tc>
      </w:tr>
      <w:tr>
        <w:trPr>
          <w:cantSplit/>
        </w:trPr>
        <w:tc>
          <w:tcPr>
            <w:tcW w:type="dxa" w:w="141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HTEI_SCIENTIFIC_V5</w:t>
            </w:r>
          </w:p>
        </w:tc>
        <w:tc>
          <w:tcPr>
            <w:tcW w:type="dxa" w:w="147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MGIMO / FNISC RAS project team</w:t>
            </w:r>
          </w:p>
        </w:tc>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local reproducible transform</w:t>
            </w:r>
          </w:p>
        </w:tc>
        <w:tc>
          <w:tcPr>
            <w:tcW w:type="dxa" w:w="79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2026</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implemented_reproducible_scientific_transform</w:t>
            </w:r>
          </w:p>
        </w:tc>
        <w:tc>
          <w:tcPr>
            <w:tcW w:type="dxa" w:w="28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local:docs/HTEI_METHODOLOGY_V5.md</w:t>
            </w:r>
          </w:p>
        </w:tc>
      </w:tr>
      <w:tr>
        <w:trPr>
          <w:cantSplit/>
        </w:trPr>
        <w:tc>
          <w:tcPr>
            <w:tcW w:type="dxa" w:w="141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HTEI_FINAL_V6</w:t>
            </w:r>
          </w:p>
        </w:tc>
        <w:tc>
          <w:tcPr>
            <w:tcW w:type="dxa" w:w="147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MGIMO / FNISC RAS</w:t>
            </w:r>
          </w:p>
        </w:tc>
        <w:tc>
          <w:tcPr>
            <w:tcW w:type="dxa" w:w="170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derived from archived official observations</w:t>
            </w:r>
          </w:p>
        </w:tc>
        <w:tc>
          <w:tcPr>
            <w:tcW w:type="dxa" w:w="79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2026</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automated</w:t>
            </w:r>
          </w:p>
        </w:tc>
        <w:tc>
          <w:tcPr>
            <w:tcW w:type="dxa" w:w="283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local:docs/HTEI_METHODOLOGY_V6.md</w:t>
            </w:r>
          </w:p>
        </w:tc>
      </w:tr>
      <w:tr>
        <w:trPr>
          <w:cantSplit/>
        </w:trPr>
        <w:tc>
          <w:tcPr>
            <w:tcW w:type="dxa" w:w="141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WORLD_BANK_HCIPLUS</w:t>
            </w:r>
          </w:p>
        </w:tc>
        <w:tc>
          <w:tcPr>
            <w:tcW w:type="dxa" w:w="147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World Bank</w:t>
            </w:r>
          </w:p>
        </w:tc>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 country-brief PDFs</w:t>
            </w:r>
          </w:p>
        </w:tc>
        <w:tc>
          <w:tcPr>
            <w:tcW w:type="dxa" w:w="79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2026</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automated</w:t>
            </w:r>
          </w:p>
        </w:tc>
        <w:tc>
          <w:tcPr>
            <w:tcW w:type="dxa" w:w="28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https://humancapital.worldbank.org/en/country-briefs</w:t>
            </w:r>
          </w:p>
        </w:tc>
      </w:tr>
      <w:tr>
        <w:trPr>
          <w:cantSplit/>
        </w:trPr>
        <w:tc>
          <w:tcPr>
            <w:tcW w:type="dxa" w:w="141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NATIONAL_STATS_NUMERIC</w:t>
            </w:r>
          </w:p>
        </w:tc>
        <w:tc>
          <w:tcPr>
            <w:tcW w:type="dxa" w:w="147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National statistical offices</w:t>
            </w:r>
          </w:p>
        </w:tc>
        <w:tc>
          <w:tcPr>
            <w:tcW w:type="dxa" w:w="170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 CSV/JSON endpoints</w:t>
            </w:r>
          </w:p>
        </w:tc>
        <w:tc>
          <w:tcPr>
            <w:tcW w:type="dxa" w:w="79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2024</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configured</w:t>
            </w:r>
          </w:p>
        </w:tc>
        <w:tc>
          <w:tcPr>
            <w:tcW w:type="dxa" w:w="283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local:configs/national_statistics_sources.release.json</w:t>
            </w:r>
          </w:p>
        </w:tc>
      </w:tr>
      <w:tr>
        <w:trPr>
          <w:cantSplit/>
        </w:trPr>
        <w:tc>
          <w:tcPr>
            <w:tcW w:type="dxa" w:w="141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SEC_EDGAR_CORPORATE_NUMERIC</w:t>
            </w:r>
          </w:p>
        </w:tc>
        <w:tc>
          <w:tcPr>
            <w:tcW w:type="dxa" w:w="147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U.S. Securities and Exchange Commission</w:t>
            </w:r>
          </w:p>
        </w:tc>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 JSON API</w:t>
            </w:r>
          </w:p>
        </w:tc>
        <w:tc>
          <w:tcPr>
            <w:tcW w:type="dxa" w:w="79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2026</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automated</w:t>
            </w:r>
          </w:p>
        </w:tc>
        <w:tc>
          <w:tcPr>
            <w:tcW w:type="dxa" w:w="28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https://www.sec.gov/search-filings/edgar-application-programming-interfaces</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source_registry; URL приведены как активные ссылки в разделе источников и приложении.</w:t>
      </w:r>
    </w:p>
    <w:p>
      <w:pPr>
        <w:pStyle w:val="Heading2"/>
      </w:pPr>
      <w:r>
        <w:t>6.3. Сквозное происхождение значения</w:t>
      </w:r>
    </w:p>
    <w:p>
      <w:r>
        <w:rPr>
          <w:rFonts w:ascii="Noto Serif" w:hAnsi="Noto Serif" w:eastAsia="Noto Serif"/>
          <w:sz w:val="18"/>
        </w:rPr>
        <w:t>Поле provenance_json используется как машиночитаемый контейнер дополнительного контекста. Базовые элементы происхождения вынесены в отдельные колонки, чтобы их можно было фильтровать и проверять SQL-запросами. Это важное архитектурное решение: критические идентификаторы не должны существовать только внутри неструктурированного JSON.</w:t>
      </w:r>
    </w:p>
    <w:p>
      <w:pPr>
        <w:pStyle w:val="Caption"/>
      </w:pPr>
      <w:r>
        <w:t>Таблица 10. Минимальная цепочка происхождения</w:t>
      </w:r>
    </w:p>
    <w:tbl>
      <w:tblPr>
        <w:tblW w:type="auto" w:w="0"/>
        <w:jc w:val="center"/>
        <w:tblLayout w:type="autofit"/>
        <w:tblLook w:firstColumn="1" w:firstRow="1" w:lastColumn="0" w:lastRow="0" w:noHBand="0" w:noVBand="1" w:val="04A0"/>
      </w:tblPr>
      <w:tblGrid>
        <w:gridCol w:w="3269"/>
        <w:gridCol w:w="3269"/>
        <w:gridCol w:w="3269"/>
      </w:tblGrid>
      <w:tr>
        <w:trPr>
          <w:tblHeader w:val="true"/>
        </w:trPr>
        <w:tc>
          <w:tcPr>
            <w:tcW w:type="dxa" w:w="141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Уровень</w:t>
            </w:r>
          </w:p>
        </w:tc>
        <w:tc>
          <w:tcPr>
            <w:tcW w:type="dxa" w:w="3685"/>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Основные поля</w:t>
            </w:r>
          </w:p>
        </w:tc>
        <w:tc>
          <w:tcPr>
            <w:tcW w:type="dxa" w:w="4082"/>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Проверяемый вопрос</w:t>
            </w:r>
          </w:p>
        </w:tc>
      </w:tr>
      <w:tr>
        <w:trPr>
          <w:cantSplit/>
        </w:trPr>
        <w:tc>
          <w:tcPr>
            <w:tcW w:type="dxa" w:w="141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Источник</w:t>
            </w:r>
          </w:p>
        </w:tc>
        <w:tc>
          <w:tcPr>
            <w:tcW w:type="dxa" w:w="368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source_id, owner, source_url, release_year</w:t>
            </w:r>
          </w:p>
        </w:tc>
        <w:tc>
          <w:tcPr>
            <w:tcW w:type="dxa" w:w="4082"/>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кто и где опубликовал данные?</w:t>
            </w:r>
          </w:p>
        </w:tc>
      </w:tr>
      <w:tr>
        <w:trPr>
          <w:cantSplit/>
        </w:trPr>
        <w:tc>
          <w:tcPr>
            <w:tcW w:type="dxa" w:w="141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Снимок</w:t>
            </w:r>
          </w:p>
        </w:tc>
        <w:tc>
          <w:tcPr>
            <w:tcW w:type="dxa" w:w="368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snapshot_id, retrieved_at, path, SHA-256, bytes</w:t>
            </w:r>
          </w:p>
        </w:tc>
        <w:tc>
          <w:tcPr>
            <w:tcW w:type="dxa" w:w="4082"/>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какой именно файл был получен?</w:t>
            </w:r>
          </w:p>
        </w:tc>
      </w:tr>
      <w:tr>
        <w:trPr>
          <w:cantSplit/>
        </w:trPr>
        <w:tc>
          <w:tcPr>
            <w:tcW w:type="dxa" w:w="141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Наблюдение</w:t>
            </w:r>
          </w:p>
        </w:tc>
        <w:tc>
          <w:tcPr>
            <w:tcW w:type="dxa" w:w="368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indicator_code, dimensions, raw_value, source_data_year</w:t>
            </w:r>
          </w:p>
        </w:tc>
        <w:tc>
          <w:tcPr>
            <w:tcW w:type="dxa" w:w="4082"/>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какая строка и единица использованы?</w:t>
            </w:r>
          </w:p>
        </w:tc>
      </w:tr>
      <w:tr>
        <w:trPr>
          <w:cantSplit/>
        </w:trPr>
        <w:tc>
          <w:tcPr>
            <w:tcW w:type="dxa" w:w="141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Трансформация</w:t>
            </w:r>
          </w:p>
        </w:tc>
        <w:tc>
          <w:tcPr>
            <w:tcW w:type="dxa" w:w="368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transform_id, transformation_run_id, selection_rule</w:t>
            </w:r>
          </w:p>
        </w:tc>
        <w:tc>
          <w:tcPr>
            <w:tcW w:type="dxa" w:w="4082"/>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как строка была выбрана и преобразована?</w:t>
            </w:r>
          </w:p>
        </w:tc>
      </w:tr>
      <w:tr>
        <w:trPr>
          <w:cantSplit/>
        </w:trPr>
        <w:tc>
          <w:tcPr>
            <w:tcW w:type="dxa" w:w="141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Значение</w:t>
            </w:r>
          </w:p>
        </w:tc>
        <w:tc>
          <w:tcPr>
            <w:tcW w:type="dxa" w:w="368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value_id, score, formula_version, quality_flag</w:t>
            </w:r>
          </w:p>
        </w:tc>
        <w:tc>
          <w:tcPr>
            <w:tcW w:type="dxa" w:w="4082"/>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какой результат опубликован и по какой версии?</w:t>
            </w:r>
          </w:p>
        </w:tc>
      </w:tr>
      <w:tr>
        <w:trPr>
          <w:cantSplit/>
        </w:trPr>
        <w:tc>
          <w:tcPr>
            <w:tcW w:type="dxa" w:w="141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Интерфейс/API</w:t>
            </w:r>
          </w:p>
        </w:tc>
        <w:tc>
          <w:tcPr>
            <w:tcW w:type="dxa" w:w="368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endpoint, параметры, язык, год</w:t>
            </w:r>
          </w:p>
        </w:tc>
        <w:tc>
          <w:tcPr>
            <w:tcW w:type="dxa" w:w="4082"/>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как результат доставляется пользователю?</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source_registry, raw_snapshots, source_observations, transformation_runs, расчётные таблицы.</w:t>
      </w:r>
    </w:p>
    <w:p>
      <w:pPr>
        <w:pStyle w:val="Heading2"/>
      </w:pPr>
      <w:r>
        <w:t>6.4. Лицензии и распространение</w:t>
      </w:r>
    </w:p>
    <w:p>
      <w:r>
        <w:rPr>
          <w:rFonts w:ascii="Noto Serif" w:hAnsi="Noto Serif" w:eastAsia="Noto Serif"/>
          <w:sz w:val="18"/>
        </w:rPr>
        <w:t>Реестр лицензий носит характер консервативной внутренней политики распространения и прямо оговаривает, что не является юридическим заключением. Для каждого источника фиксируются возможность хранения, трансформации и перераспространения, обязательность атрибуции и решение о включении raw-файла в архив.</w:t>
      </w:r>
    </w:p>
    <w:p>
      <w:pPr>
        <w:pStyle w:val="Caption"/>
      </w:pPr>
      <w:r>
        <w:t>Таблица 11. Решения о распространении</w:t>
      </w:r>
    </w:p>
    <w:tbl>
      <w:tblPr>
        <w:tblW w:type="auto" w:w="0"/>
        <w:jc w:val="center"/>
        <w:tblLayout w:type="autofit"/>
        <w:tblLook w:firstColumn="1" w:firstRow="1" w:lastColumn="0" w:lastRow="0" w:noHBand="0" w:noVBand="1" w:val="04A0"/>
      </w:tblPr>
      <w:tblGrid>
        <w:gridCol w:w="3269"/>
        <w:gridCol w:w="3269"/>
        <w:gridCol w:w="3269"/>
      </w:tblGrid>
      <w:tr>
        <w:trPr>
          <w:tblHeader w:val="true"/>
        </w:trPr>
        <w:tc>
          <w:tcPr>
            <w:tcW w:type="dxa" w:w="2948"/>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Решение</w:t>
            </w:r>
          </w:p>
        </w:tc>
        <w:tc>
          <w:tcPr>
            <w:tcW w:type="dxa" w:w="124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Источников</w:t>
            </w:r>
          </w:p>
        </w:tc>
        <w:tc>
          <w:tcPr>
            <w:tcW w:type="dxa" w:w="4989"/>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Смысл</w:t>
            </w:r>
          </w:p>
        </w:tc>
      </w:tr>
      <w:tr>
        <w:trPr>
          <w:cantSplit/>
        </w:trPr>
        <w:tc>
          <w:tcPr>
            <w:tcW w:type="dxa" w:w="294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include</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11</w:t>
            </w:r>
          </w:p>
        </w:tc>
        <w:tc>
          <w:tcPr>
            <w:tcW w:type="dxa" w:w="4989"/>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raw-файл допускается в релизном архиве по политике проекта</w:t>
            </w:r>
          </w:p>
        </w:tc>
      </w:tr>
      <w:tr>
        <w:trPr>
          <w:cantSplit/>
        </w:trPr>
        <w:tc>
          <w:tcPr>
            <w:tcW w:type="dxa" w:w="294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exclude_raw_keep_derived</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10</w:t>
            </w:r>
          </w:p>
        </w:tc>
        <w:tc>
          <w:tcPr>
            <w:tcW w:type="dxa" w:w="4989"/>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raw не распространяется; сохраняются производные данные и рецепт</w:t>
            </w:r>
          </w:p>
        </w:tc>
      </w:tr>
      <w:tr>
        <w:trPr>
          <w:cantSplit/>
        </w:trPr>
        <w:tc>
          <w:tcPr>
            <w:tcW w:type="dxa" w:w="294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pending</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w:t>
            </w:r>
          </w:p>
        </w:tc>
        <w:tc>
          <w:tcPr>
            <w:tcW w:type="dxa" w:w="4989"/>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требуется дополнительная проверка</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license_registry.</w:t>
      </w:r>
    </w:p>
    <w:p>
      <w:r>
        <w:rPr>
          <w:rFonts w:ascii="Noto Serif" w:hAnsi="Noto Serif" w:eastAsia="Noto Serif"/>
          <w:sz w:val="18"/>
        </w:rPr>
        <w:t>В реестре воспроизводимости 174 артефакта относятся к включённым raw-файлам, 101 — к download recipe и 101 — к производным экспортам. Производные экспорты охватывают 14 352 строки. Такая схема особенно важна для источников с ограничительными условиями, включая отдельные материалы QS.</w:t>
      </w:r>
    </w:p>
    <w:tbl>
      <w:tblPr>
        <w:tblW w:type="auto" w:w="0"/>
        <w:jc w:val="center"/>
        <w:tblLook w:firstColumn="1" w:firstRow="1" w:lastColumn="0" w:lastRow="0" w:noHBand="0" w:noVBand="1" w:val="04A0"/>
      </w:tblPr>
      <w:tblGrid>
        <w:gridCol w:w="9808"/>
      </w:tblGrid>
      <w:tr>
        <w:tc>
          <w:tcPr>
            <w:tcW w:type="dxa" w:w="9808"/>
            <w:shd w:fill="EDF6EF"/>
            <w:tcMar>
              <w:top w:w="120" w:type="dxa"/>
              <w:start w:w="170" w:type="dxa"/>
              <w:bottom w:w="120" w:type="dxa"/>
              <w:end w:w="170" w:type="dxa"/>
            </w:tcMar>
            <w:tcBorders>
              <w:top w:val="nil"/>
              <w:left w:val="single" w:sz="18" w:color="4B8B5A"/>
              <w:bottom w:val="nil"/>
              <w:right w:val="nil"/>
            </w:tcBorders>
          </w:tcPr>
          <w:p>
            <w:r>
              <w:rPr>
                <w:rFonts w:ascii="Noto Sans" w:hAnsi="Noto Sans" w:eastAsia="Noto Sans"/>
                <w:b/>
                <w:color w:val="4B8B5A"/>
                <w:sz w:val="18"/>
              </w:rPr>
              <w:t xml:space="preserve">Практическое правило для страницы — </w:t>
            </w:r>
            <w:r>
              <w:rPr>
                <w:rFonts w:ascii="Noto Sans" w:hAnsi="Noto Sans" w:eastAsia="Noto Sans"/>
                <w:color w:val="243746"/>
                <w:sz w:val="17"/>
              </w:rPr>
              <w:t>У каждой таблицы источников следует показывать не только организацию и ссылку, но также год выпуска, дату получения, способ доступа, статус автоматизации и режим распространения.</w:t>
            </w:r>
          </w:p>
        </w:tc>
      </w:tr>
    </w:tbl>
    <w:p>
      <w:bookmarkStart w:id="1337" w:name="sec7"/>
      <w:pPr>
        <w:pStyle w:val="Heading1"/>
      </w:pPr>
      <w:r>
        <w:t>7. Структура базы данных</w:t>
      </w:r>
      <w:bookmarkEnd w:id="1337"/>
    </w:p>
    <w:p>
      <w:pPr>
        <w:jc w:val="center"/>
      </w:pPr>
      <w:r>
        <w:drawing>
          <wp:inline xmlns:a="http://schemas.openxmlformats.org/drawingml/2006/main" xmlns:pic="http://schemas.openxmlformats.org/drawingml/2006/picture">
            <wp:extent cx="5976000" cy="3363287"/>
            <wp:docPr id="5" name="Picture 5" descr="Четырёхуровневая схема: управление, происхождение, расчёты, аналитика и интерфейс." title="Логические слои базы данных GIR."/>
            <wp:cNvGraphicFramePr>
              <a:graphicFrameLocks noChangeAspect="1"/>
            </wp:cNvGraphicFramePr>
            <a:graphic>
              <a:graphicData uri="http://schemas.openxmlformats.org/drawingml/2006/picture">
                <pic:pic>
                  <pic:nvPicPr>
                    <pic:cNvPr id="0" name="03_database_layers.png"/>
                    <pic:cNvPicPr/>
                  </pic:nvPicPr>
                  <pic:blipFill>
                    <a:blip r:embed="rId15"/>
                    <a:stretch>
                      <a:fillRect/>
                    </a:stretch>
                  </pic:blipFill>
                  <pic:spPr>
                    <a:xfrm>
                      <a:off x="0" y="0"/>
                      <a:ext cx="5976000" cy="3363287"/>
                    </a:xfrm>
                    <a:prstGeom prst="rect"/>
                  </pic:spPr>
                </pic:pic>
              </a:graphicData>
            </a:graphic>
          </wp:inline>
        </w:drawing>
      </w:r>
    </w:p>
    <w:p>
      <w:pPr>
        <w:pStyle w:val="Caption"/>
      </w:pPr>
      <w:r>
        <w:t>Рисунок 5. Логические слои базы данных GIR.</w:t>
      </w:r>
    </w:p>
    <w:p>
      <w:r>
        <w:rPr>
          <w:rFonts w:ascii="Noto Serif" w:hAnsi="Noto Serif" w:eastAsia="Noto Serif"/>
          <w:sz w:val="18"/>
        </w:rPr>
        <w:t>SQLite используется как переносимый релизный контейнер и единая точка чтения для API. Файл базы имеет размер 187 400 192 байта. Схема состоит из 36 таблиц, которые логически разделяются на справочно-методологический слой, происхождение, расчётные факты, диагностику и эксплуатационный аудит.</w:t>
      </w:r>
    </w:p>
    <w:p>
      <w:pPr>
        <w:pStyle w:val="Caption"/>
      </w:pPr>
      <w:r>
        <w:t>Таблица 12. Группы таблиц базы</w:t>
      </w:r>
    </w:p>
    <w:tbl>
      <w:tblPr>
        <w:tblW w:type="auto" w:w="0"/>
        <w:jc w:val="center"/>
        <w:tblLayout w:type="autofit"/>
        <w:tblLook w:firstColumn="1" w:firstRow="1" w:lastColumn="0" w:lastRow="0" w:noHBand="0" w:noVBand="1" w:val="04A0"/>
      </w:tblPr>
      <w:tblGrid>
        <w:gridCol w:w="3269"/>
        <w:gridCol w:w="3269"/>
        <w:gridCol w:w="3269"/>
      </w:tblGrid>
      <w:tr>
        <w:trPr>
          <w:tblHeader w:val="true"/>
        </w:trPr>
        <w:tc>
          <w:tcPr>
            <w:tcW w:type="dxa" w:w="1701"/>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Группа</w:t>
            </w:r>
          </w:p>
        </w:tc>
        <w:tc>
          <w:tcPr>
            <w:tcW w:type="dxa" w:w="4195"/>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Таблицы</w:t>
            </w:r>
          </w:p>
        </w:tc>
        <w:tc>
          <w:tcPr>
            <w:tcW w:type="dxa" w:w="3628"/>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Назначение</w:t>
            </w:r>
          </w:p>
        </w:tc>
      </w:tr>
      <w:tr>
        <w:trPr>
          <w:cantSplit/>
        </w:trPr>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Справочники</w:t>
            </w:r>
          </w:p>
        </w:tc>
        <w:tc>
          <w:tcPr>
            <w:tcW w:type="dxa" w:w="419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countries, indices, index_aliases, components, index_components</w:t>
            </w:r>
          </w:p>
        </w:tc>
        <w:tc>
          <w:tcPr>
            <w:tcW w:type="dxa" w:w="362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устойчивые идентификаторы и названия</w:t>
            </w:r>
          </w:p>
        </w:tc>
      </w:tr>
      <w:tr>
        <w:trPr>
          <w:cantSplit/>
        </w:trPr>
        <w:tc>
          <w:tcPr>
            <w:tcW w:type="dxa" w:w="170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Методология</w:t>
            </w:r>
          </w:p>
        </w:tc>
        <w:tc>
          <w:tcPr>
            <w:tcW w:type="dxa" w:w="419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index_definitions, index_formulas, index_methodology_registry, quality_flags</w:t>
            </w:r>
          </w:p>
        </w:tc>
        <w:tc>
          <w:tcPr>
            <w:tcW w:type="dxa" w:w="362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формулы, версии, статусы и предупреждения</w:t>
            </w:r>
          </w:p>
        </w:tc>
      </w:tr>
      <w:tr>
        <w:trPr>
          <w:cantSplit/>
        </w:trPr>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Источники</w:t>
            </w:r>
          </w:p>
        </w:tc>
        <w:tc>
          <w:tcPr>
            <w:tcW w:type="dxa" w:w="419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source_registry, license_registry, raw_snapshots, source_observations</w:t>
            </w:r>
          </w:p>
        </w:tc>
        <w:tc>
          <w:tcPr>
            <w:tcW w:type="dxa" w:w="362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происхождение, лицензии и первичные наблюдения</w:t>
            </w:r>
          </w:p>
        </w:tc>
      </w:tr>
      <w:tr>
        <w:trPr>
          <w:cantSplit/>
        </w:trPr>
        <w:tc>
          <w:tcPr>
            <w:tcW w:type="dxa" w:w="170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Преобразования</w:t>
            </w:r>
          </w:p>
        </w:tc>
        <w:tc>
          <w:tcPr>
            <w:tcW w:type="dxa" w:w="419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transformation_runs, reproducibility_artifacts</w:t>
            </w:r>
          </w:p>
        </w:tc>
        <w:tc>
          <w:tcPr>
            <w:tcW w:type="dxa" w:w="362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журнал преобразований и проверяемые артефакты</w:t>
            </w:r>
          </w:p>
        </w:tc>
      </w:tr>
      <w:tr>
        <w:trPr>
          <w:cantSplit/>
        </w:trPr>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Унифицированные факты</w:t>
            </w:r>
          </w:p>
        </w:tc>
        <w:tc>
          <w:tcPr>
            <w:tcW w:type="dxa" w:w="419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index_scores, component_values, rankings</w:t>
            </w:r>
          </w:p>
        </w:tc>
        <w:tc>
          <w:tcPr>
            <w:tcW w:type="dxa" w:w="362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общий слой для большинства интерфейсных запросов</w:t>
            </w:r>
          </w:p>
        </w:tc>
      </w:tr>
      <w:tr>
        <w:trPr>
          <w:cantSplit/>
        </w:trPr>
        <w:tc>
          <w:tcPr>
            <w:tcW w:type="dxa" w:w="170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Диагностика</w:t>
            </w:r>
          </w:p>
        </w:tc>
        <w:tc>
          <w:tcPr>
            <w:tcW w:type="dxa" w:w="419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diagnostics, recommendations, policy_brief_items</w:t>
            </w:r>
          </w:p>
        </w:tc>
        <w:tc>
          <w:tcPr>
            <w:tcW w:type="dxa" w:w="362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дефициты, приоритеты и рекомендации</w:t>
            </w:r>
          </w:p>
        </w:tc>
      </w:tr>
      <w:tr>
        <w:trPr>
          <w:cantSplit/>
        </w:trPr>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Спецмодели</w:t>
            </w:r>
          </w:p>
        </w:tc>
        <w:tc>
          <w:tcPr>
            <w:tcW w:type="dxa" w:w="419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 v5/v6, HCI+, QS, training model, national/corporate</w:t>
            </w:r>
          </w:p>
        </w:tc>
        <w:tc>
          <w:tcPr>
            <w:tcW w:type="dxa" w:w="362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структуры, которым недостаточно общего формата</w:t>
            </w:r>
          </w:p>
        </w:tc>
      </w:tr>
      <w:tr>
        <w:trPr>
          <w:cantSplit/>
        </w:trPr>
        <w:tc>
          <w:tcPr>
            <w:tcW w:type="dxa" w:w="170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Операции</w:t>
            </w:r>
          </w:p>
        </w:tc>
        <w:tc>
          <w:tcPr>
            <w:tcW w:type="dxa" w:w="419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operational_runs, methodology_audit_runs, external_method_reviews</w:t>
            </w:r>
          </w:p>
        </w:tc>
        <w:tc>
          <w:tcPr>
            <w:tcW w:type="dxa" w:w="362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обновление, устойчивость и внешняя экспертиза</w:t>
            </w:r>
          </w:p>
        </w:tc>
      </w:tr>
      <w:tr>
        <w:trPr>
          <w:cantSplit/>
        </w:trPr>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Интерфейс</w:t>
            </w:r>
          </w:p>
        </w:tc>
        <w:tc>
          <w:tcPr>
            <w:tcW w:type="dxa" w:w="419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ui_translations</w:t>
            </w:r>
          </w:p>
        </w:tc>
        <w:tc>
          <w:tcPr>
            <w:tcW w:type="dxa" w:w="362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двуязычные подписи и системные сообщения</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PRAGMA table_info и данные SQLite.</w:t>
      </w:r>
    </w:p>
    <w:p>
      <w:pPr>
        <w:pStyle w:val="Heading2"/>
      </w:pPr>
      <w:r>
        <w:t>7.1. Унифицированный индексный слой</w:t>
      </w:r>
    </w:p>
    <w:p>
      <w:r>
        <w:rPr>
          <w:rFonts w:ascii="Noto Serif" w:hAnsi="Noto Serif" w:eastAsia="Noto Serif"/>
          <w:sz w:val="18"/>
        </w:rPr>
        <w:t>Таблица index_scores содержит страну, год, индексный код, итоговый балл, ранг, перцентиль, версию формулы, флаг качества и происхождение. component_values хранит компонентные значения. rankings дублирует или оптимизирует ранговые представления. Унификация позволяет построить общий API, однако специализированные таблицы сохраняются там, где методике нужны дополнительные поля — например, confidence, coverage mode, score intervals или pillar scores.</w:t>
      </w:r>
    </w:p>
    <w:p>
      <w:pPr>
        <w:pStyle w:val="Heading2"/>
      </w:pPr>
      <w:r>
        <w:t>7.2. Специализированные структуры HTEI</w:t>
      </w:r>
    </w:p>
    <w:p>
      <w:r>
        <w:rPr>
          <w:rFonts w:ascii="Noto Serif" w:hAnsi="Noto Serif" w:eastAsia="Noto Serif"/>
          <w:sz w:val="18"/>
        </w:rPr>
        <w:t>HTEI v6 требует хранения requested_year, profile_year, source_data_year, lag, effective_weight, coverage_mode, component_signature, eligibility, confidence и интервальных оценок. Попытка свести эти поля только к index_scores уничтожила бы важную информацию о сопоставимости. Поэтому специализированная таблица является первичной для методологического аудита, а общий слой — удобной проекцией для интерфейса.</w:t>
      </w:r>
    </w:p>
    <w:p>
      <w:pPr>
        <w:pStyle w:val="Heading2"/>
      </w:pPr>
      <w:r>
        <w:t>7.3. Структура source_observations</w:t>
      </w:r>
    </w:p>
    <w:p>
      <w:pPr>
        <w:pStyle w:val="Caption"/>
      </w:pPr>
      <w:r>
        <w:t>Таблица 13. Поля source_observations</w:t>
      </w:r>
    </w:p>
    <w:tbl>
      <w:tblPr>
        <w:tblW w:type="auto" w:w="0"/>
        <w:jc w:val="center"/>
        <w:tblLayout w:type="autofit"/>
        <w:tblLook w:firstColumn="1" w:firstRow="1" w:lastColumn="0" w:lastRow="0" w:noHBand="0" w:noVBand="1" w:val="04A0"/>
      </w:tblPr>
      <w:tblGrid>
        <w:gridCol w:w="2452"/>
        <w:gridCol w:w="2452"/>
        <w:gridCol w:w="2452"/>
        <w:gridCol w:w="2452"/>
      </w:tblGrid>
      <w:tr>
        <w:trPr>
          <w:tblHeader w:val="true"/>
        </w:trPr>
        <w:tc>
          <w:tcPr>
            <w:tcW w:type="dxa" w:w="2381"/>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Поле</w:t>
            </w:r>
          </w:p>
        </w:tc>
        <w:tc>
          <w:tcPr>
            <w:tcW w:type="dxa" w:w="113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Тип</w:t>
            </w:r>
          </w:p>
        </w:tc>
        <w:tc>
          <w:tcPr>
            <w:tcW w:type="dxa" w:w="124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Обязательное</w:t>
            </w:r>
          </w:p>
        </w:tc>
        <w:tc>
          <w:tcPr>
            <w:tcW w:type="dxa" w:w="4309"/>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Роль</w:t>
            </w:r>
          </w:p>
        </w:tc>
      </w:tr>
      <w:tr>
        <w:trPr>
          <w:cantSplit/>
        </w:trPr>
        <w:tc>
          <w:tcPr>
            <w:tcW w:type="dxa" w:w="238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observation_id</w:t>
            </w:r>
          </w:p>
        </w:tc>
        <w:tc>
          <w:tcPr>
            <w:tcW w:type="dxa" w:w="113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4309"/>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ключ наблюдения</w:t>
            </w:r>
          </w:p>
        </w:tc>
      </w:tr>
      <w:tr>
        <w:trPr>
          <w:cantSplit/>
        </w:trPr>
        <w:tc>
          <w:tcPr>
            <w:tcW w:type="dxa" w:w="238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index_code</w:t>
            </w:r>
          </w:p>
        </w:tc>
        <w:tc>
          <w:tcPr>
            <w:tcW w:type="dxa" w:w="113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4309"/>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измерение</w:t>
            </w:r>
          </w:p>
        </w:tc>
      </w:tr>
      <w:tr>
        <w:trPr>
          <w:cantSplit/>
        </w:trPr>
        <w:tc>
          <w:tcPr>
            <w:tcW w:type="dxa" w:w="238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component_code</w:t>
            </w:r>
          </w:p>
        </w:tc>
        <w:tc>
          <w:tcPr>
            <w:tcW w:type="dxa" w:w="113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4309"/>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измерение</w:t>
            </w:r>
          </w:p>
        </w:tc>
      </w:tr>
      <w:tr>
        <w:trPr>
          <w:cantSplit/>
        </w:trPr>
        <w:tc>
          <w:tcPr>
            <w:tcW w:type="dxa" w:w="238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iso3</w:t>
            </w:r>
          </w:p>
        </w:tc>
        <w:tc>
          <w:tcPr>
            <w:tcW w:type="dxa" w:w="113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4309"/>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география/время</w:t>
            </w:r>
          </w:p>
        </w:tc>
      </w:tr>
      <w:tr>
        <w:trPr>
          <w:cantSplit/>
        </w:trPr>
        <w:tc>
          <w:tcPr>
            <w:tcW w:type="dxa" w:w="238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year</w:t>
            </w:r>
          </w:p>
        </w:tc>
        <w:tc>
          <w:tcPr>
            <w:tcW w:type="dxa" w:w="113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4309"/>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география/время</w:t>
            </w:r>
          </w:p>
        </w:tc>
      </w:tr>
      <w:tr>
        <w:trPr>
          <w:cantSplit/>
        </w:trPr>
        <w:tc>
          <w:tcPr>
            <w:tcW w:type="dxa" w:w="238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source_data_year</w:t>
            </w:r>
          </w:p>
        </w:tc>
        <w:tc>
          <w:tcPr>
            <w:tcW w:type="dxa" w:w="113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4309"/>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география/время</w:t>
            </w:r>
          </w:p>
        </w:tc>
      </w:tr>
      <w:tr>
        <w:trPr>
          <w:cantSplit/>
        </w:trPr>
        <w:tc>
          <w:tcPr>
            <w:tcW w:type="dxa" w:w="238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raw_value</w:t>
            </w:r>
          </w:p>
        </w:tc>
        <w:tc>
          <w:tcPr>
            <w:tcW w:type="dxa" w:w="113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4309"/>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измерение</w:t>
            </w:r>
          </w:p>
        </w:tc>
      </w:tr>
      <w:tr>
        <w:trPr>
          <w:cantSplit/>
        </w:trPr>
        <w:tc>
          <w:tcPr>
            <w:tcW w:type="dxa" w:w="238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unit</w:t>
            </w:r>
          </w:p>
        </w:tc>
        <w:tc>
          <w:tcPr>
            <w:tcW w:type="dxa" w:w="113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4309"/>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измерение</w:t>
            </w:r>
          </w:p>
        </w:tc>
      </w:tr>
      <w:tr>
        <w:trPr>
          <w:cantSplit/>
        </w:trPr>
        <w:tc>
          <w:tcPr>
            <w:tcW w:type="dxa" w:w="238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normalized_score</w:t>
            </w:r>
          </w:p>
        </w:tc>
        <w:tc>
          <w:tcPr>
            <w:tcW w:type="dxa" w:w="113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4309"/>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измерение</w:t>
            </w:r>
          </w:p>
        </w:tc>
      </w:tr>
      <w:tr>
        <w:trPr>
          <w:cantSplit/>
        </w:trPr>
        <w:tc>
          <w:tcPr>
            <w:tcW w:type="dxa" w:w="238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selected</w:t>
            </w:r>
          </w:p>
        </w:tc>
        <w:tc>
          <w:tcPr>
            <w:tcW w:type="dxa" w:w="113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4309"/>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выбор и трансформация</w:t>
            </w:r>
          </w:p>
        </w:tc>
      </w:tr>
      <w:tr>
        <w:trPr>
          <w:cantSplit/>
        </w:trPr>
        <w:tc>
          <w:tcPr>
            <w:tcW w:type="dxa" w:w="238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source_id</w:t>
            </w:r>
          </w:p>
        </w:tc>
        <w:tc>
          <w:tcPr>
            <w:tcW w:type="dxa" w:w="113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4309"/>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происхождение</w:t>
            </w:r>
          </w:p>
        </w:tc>
      </w:tr>
      <w:tr>
        <w:trPr>
          <w:cantSplit/>
        </w:trPr>
        <w:tc>
          <w:tcPr>
            <w:tcW w:type="dxa" w:w="238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source_group</w:t>
            </w:r>
          </w:p>
        </w:tc>
        <w:tc>
          <w:tcPr>
            <w:tcW w:type="dxa" w:w="113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4309"/>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контроль качества</w:t>
            </w:r>
          </w:p>
        </w:tc>
      </w:tr>
      <w:tr>
        <w:trPr>
          <w:cantSplit/>
        </w:trPr>
        <w:tc>
          <w:tcPr>
            <w:tcW w:type="dxa" w:w="238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source_priority</w:t>
            </w:r>
          </w:p>
        </w:tc>
        <w:tc>
          <w:tcPr>
            <w:tcW w:type="dxa" w:w="113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4309"/>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выбор и трансформация</w:t>
            </w:r>
          </w:p>
        </w:tc>
      </w:tr>
      <w:tr>
        <w:trPr>
          <w:cantSplit/>
        </w:trPr>
        <w:tc>
          <w:tcPr>
            <w:tcW w:type="dxa" w:w="238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indicator_code</w:t>
            </w:r>
          </w:p>
        </w:tc>
        <w:tc>
          <w:tcPr>
            <w:tcW w:type="dxa" w:w="113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4309"/>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измерение</w:t>
            </w:r>
          </w:p>
        </w:tc>
      </w:tr>
      <w:tr>
        <w:trPr>
          <w:cantSplit/>
        </w:trPr>
        <w:tc>
          <w:tcPr>
            <w:tcW w:type="dxa" w:w="238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dimensions_json</w:t>
            </w:r>
          </w:p>
        </w:tc>
        <w:tc>
          <w:tcPr>
            <w:tcW w:type="dxa" w:w="113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4309"/>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выбор и трансформация</w:t>
            </w:r>
          </w:p>
        </w:tc>
      </w:tr>
      <w:tr>
        <w:trPr>
          <w:cantSplit/>
        </w:trPr>
        <w:tc>
          <w:tcPr>
            <w:tcW w:type="dxa" w:w="238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selection_rule</w:t>
            </w:r>
          </w:p>
        </w:tc>
        <w:tc>
          <w:tcPr>
            <w:tcW w:type="dxa" w:w="113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4309"/>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выбор и трансформация</w:t>
            </w:r>
          </w:p>
        </w:tc>
      </w:tr>
      <w:tr>
        <w:trPr>
          <w:cantSplit/>
        </w:trPr>
        <w:tc>
          <w:tcPr>
            <w:tcW w:type="dxa" w:w="238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source_url</w:t>
            </w:r>
          </w:p>
        </w:tc>
        <w:tc>
          <w:tcPr>
            <w:tcW w:type="dxa" w:w="113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4309"/>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происхождение</w:t>
            </w:r>
          </w:p>
        </w:tc>
      </w:tr>
      <w:tr>
        <w:trPr>
          <w:cantSplit/>
        </w:trPr>
        <w:tc>
          <w:tcPr>
            <w:tcW w:type="dxa" w:w="238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retrieved_at</w:t>
            </w:r>
          </w:p>
        </w:tc>
        <w:tc>
          <w:tcPr>
            <w:tcW w:type="dxa" w:w="113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4309"/>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происхождение</w:t>
            </w:r>
          </w:p>
        </w:tc>
      </w:tr>
      <w:tr>
        <w:trPr>
          <w:cantSplit/>
        </w:trPr>
        <w:tc>
          <w:tcPr>
            <w:tcW w:type="dxa" w:w="238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release_year</w:t>
            </w:r>
          </w:p>
        </w:tc>
        <w:tc>
          <w:tcPr>
            <w:tcW w:type="dxa" w:w="113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4309"/>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контроль качества</w:t>
            </w:r>
          </w:p>
        </w:tc>
      </w:tr>
      <w:tr>
        <w:trPr>
          <w:cantSplit/>
        </w:trPr>
        <w:tc>
          <w:tcPr>
            <w:tcW w:type="dxa" w:w="238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raw_snapshot_path</w:t>
            </w:r>
          </w:p>
        </w:tc>
        <w:tc>
          <w:tcPr>
            <w:tcW w:type="dxa" w:w="113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4309"/>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происхождение</w:t>
            </w:r>
          </w:p>
        </w:tc>
      </w:tr>
      <w:tr>
        <w:trPr>
          <w:cantSplit/>
        </w:trPr>
        <w:tc>
          <w:tcPr>
            <w:tcW w:type="dxa" w:w="238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raw_snapshot_sha256</w:t>
            </w:r>
          </w:p>
        </w:tc>
        <w:tc>
          <w:tcPr>
            <w:tcW w:type="dxa" w:w="113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4309"/>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происхождение</w:t>
            </w:r>
          </w:p>
        </w:tc>
      </w:tr>
      <w:tr>
        <w:trPr>
          <w:cantSplit/>
        </w:trPr>
        <w:tc>
          <w:tcPr>
            <w:tcW w:type="dxa" w:w="238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transformation_run_id</w:t>
            </w:r>
          </w:p>
        </w:tc>
        <w:tc>
          <w:tcPr>
            <w:tcW w:type="dxa" w:w="113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4309"/>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выбор и трансформация</w:t>
            </w:r>
          </w:p>
        </w:tc>
      </w:tr>
      <w:tr>
        <w:trPr>
          <w:cantSplit/>
        </w:trPr>
        <w:tc>
          <w:tcPr>
            <w:tcW w:type="dxa" w:w="238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transform_id</w:t>
            </w:r>
          </w:p>
        </w:tc>
        <w:tc>
          <w:tcPr>
            <w:tcW w:type="dxa" w:w="113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4309"/>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выбор и трансформация</w:t>
            </w:r>
          </w:p>
        </w:tc>
      </w:tr>
      <w:tr>
        <w:trPr>
          <w:cantSplit/>
        </w:trPr>
        <w:tc>
          <w:tcPr>
            <w:tcW w:type="dxa" w:w="238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quality_flag</w:t>
            </w:r>
          </w:p>
        </w:tc>
        <w:tc>
          <w:tcPr>
            <w:tcW w:type="dxa" w:w="113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4309"/>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контроль качества</w:t>
            </w:r>
          </w:p>
        </w:tc>
      </w:tr>
      <w:tr>
        <w:trPr>
          <w:cantSplit/>
        </w:trPr>
        <w:tc>
          <w:tcPr>
            <w:tcW w:type="dxa" w:w="238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provenance_json</w:t>
            </w:r>
          </w:p>
        </w:tc>
        <w:tc>
          <w:tcPr>
            <w:tcW w:type="dxa" w:w="113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4309"/>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контроль качества</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PRAGMA table_info(source_observations).</w:t>
      </w:r>
    </w:p>
    <w:tbl>
      <w:tblPr>
        <w:tblW w:type="auto" w:w="0"/>
        <w:jc w:val="center"/>
        <w:tblLook w:firstColumn="1" w:firstRow="1" w:lastColumn="0" w:lastRow="0" w:noHBand="0" w:noVBand="1" w:val="04A0"/>
      </w:tblPr>
      <w:tblGrid>
        <w:gridCol w:w="9808"/>
      </w:tblGrid>
      <w:tr>
        <w:tc>
          <w:tcPr>
            <w:tcW w:type="dxa" w:w="9808"/>
            <w:shd w:fill="F5F1F8"/>
            <w:tcMar>
              <w:top w:w="120" w:type="dxa"/>
              <w:start w:w="170" w:type="dxa"/>
              <w:bottom w:w="120" w:type="dxa"/>
              <w:end w:w="170" w:type="dxa"/>
            </w:tcMar>
            <w:tcBorders>
              <w:top w:val="nil"/>
              <w:left w:val="single" w:sz="18" w:color="705A8A"/>
              <w:bottom w:val="nil"/>
              <w:right w:val="nil"/>
            </w:tcBorders>
          </w:tcPr>
          <w:p>
            <w:r>
              <w:rPr>
                <w:rFonts w:ascii="Noto Sans" w:hAnsi="Noto Sans" w:eastAsia="Noto Sans"/>
                <w:b/>
                <w:color w:val="705A8A"/>
                <w:sz w:val="18"/>
              </w:rPr>
              <w:t xml:space="preserve">Принцип проектирования — </w:t>
            </w:r>
            <w:r>
              <w:rPr>
                <w:rFonts w:ascii="Noto Sans" w:hAnsi="Noto Sans" w:eastAsia="Noto Sans"/>
                <w:color w:val="243746"/>
                <w:sz w:val="17"/>
              </w:rPr>
              <w:t>Специализированные таблицы не являются дублированием «по ошибке»: они сохраняют методологические поля, а унифицированные таблицы обеспечивают общий контракт интерфейса. В документации нужно явно обозначить первичный источник истины для каждого модуля.</w:t>
            </w:r>
          </w:p>
        </w:tc>
      </w:tr>
    </w:tbl>
    <w:p>
      <w:bookmarkStart w:id="1403" w:name="sec8"/>
      <w:pPr>
        <w:pStyle w:val="Heading1"/>
      </w:pPr>
      <w:r>
        <w:t>8. Общие алгоритмы расчёта</w:t>
      </w:r>
      <w:bookmarkEnd w:id="1403"/>
    </w:p>
    <w:p>
      <w:pPr>
        <w:pStyle w:val="Heading2"/>
      </w:pPr>
      <w:r>
        <w:t>8.1. Нормирование min–max</w:t>
      </w:r>
    </w:p>
    <w:tbl>
      <w:tblPr>
        <w:tblW w:type="auto" w:w="0"/>
        <w:jc w:val="center"/>
        <w:tblLook w:firstColumn="1" w:firstRow="1" w:lastColumn="0" w:lastRow="0" w:noHBand="0" w:noVBand="1" w:val="04A0"/>
      </w:tblPr>
      <w:tblGrid>
        <w:gridCol w:w="9808"/>
      </w:tblGrid>
      <w:tr>
        <w:tc>
          <w:tcPr>
            <w:tcW w:type="dxa" w:w="9808"/>
            <w:shd w:fill="F5F7F8"/>
            <w:tcMar>
              <w:top w:w="140" w:type="dxa"/>
              <w:start w:w="220" w:type="dxa"/>
              <w:bottom w:w="140" w:type="dxa"/>
              <w:end w:w="220" w:type="dxa"/>
            </w:tcMar>
            <w:tcBorders>
              <w:top w:val="single" w:sz="6" w:color="CFDCE4"/>
              <w:left w:val="single" w:sz="6" w:color="CFDCE4"/>
              <w:bottom w:val="single" w:sz="6" w:color="CFDCE4"/>
              <w:right w:val="single" w:sz="6" w:color="CFDCE4"/>
            </w:tcBorders>
          </w:tcPr>
          <w:p>
            <w:pPr>
              <w:jc w:val="center"/>
            </w:pPr>
            <w:r>
              <w:rPr>
                <w:rFonts w:ascii="Noto Sans" w:hAnsi="Noto Sans" w:eastAsia="Noto Sans"/>
                <w:b/>
                <w:color w:val="2F6B8A"/>
                <w:sz w:val="16"/>
              </w:rPr>
              <w:t>Положительно направленный показатель</w:t>
            </w:r>
          </w:p>
          <w:p>
            <w:pPr>
              <w:jc w:val="center"/>
            </w:pPr>
            <w:r>
              <w:rPr>
                <w:rFonts w:ascii="DejaVu Serif" w:hAnsi="DejaVu Serif" w:eastAsia="DejaVu Serif"/>
                <w:b/>
                <w:color w:val="17324D"/>
                <w:sz w:val="22"/>
              </w:rPr>
              <w:t>z_ic = 100 × (x_ic − min_i)/(max_i − min_i)</w:t>
            </w:r>
          </w:p>
          <w:p>
            <w:pPr>
              <w:jc w:val="left"/>
            </w:pPr>
            <w:r>
              <w:rPr>
                <w:rFonts w:ascii="Noto Sans" w:hAnsi="Noto Sans" w:eastAsia="Noto Sans"/>
                <w:color w:val="5A6E7A"/>
                <w:sz w:val="16"/>
              </w:rPr>
              <w:t>Применяется, когда большее исходное значение означает лучший результат. Минимум и максимум рассчитываются по сопоставимому набору стран и конкретной версии расчёта.</w:t>
            </w:r>
          </w:p>
        </w:tc>
      </w:tr>
    </w:tbl>
    <w:tbl>
      <w:tblPr>
        <w:tblW w:type="auto" w:w="0"/>
        <w:jc w:val="center"/>
        <w:tblLook w:firstColumn="1" w:firstRow="1" w:lastColumn="0" w:lastRow="0" w:noHBand="0" w:noVBand="1" w:val="04A0"/>
      </w:tblPr>
      <w:tblGrid>
        <w:gridCol w:w="9808"/>
      </w:tblGrid>
      <w:tr>
        <w:tc>
          <w:tcPr>
            <w:tcW w:type="dxa" w:w="9808"/>
            <w:shd w:fill="F5F7F8"/>
            <w:tcMar>
              <w:top w:w="140" w:type="dxa"/>
              <w:start w:w="220" w:type="dxa"/>
              <w:bottom w:w="140" w:type="dxa"/>
              <w:end w:w="220" w:type="dxa"/>
            </w:tcMar>
            <w:tcBorders>
              <w:top w:val="single" w:sz="6" w:color="CFDCE4"/>
              <w:left w:val="single" w:sz="6" w:color="CFDCE4"/>
              <w:bottom w:val="single" w:sz="6" w:color="CFDCE4"/>
              <w:right w:val="single" w:sz="6" w:color="CFDCE4"/>
            </w:tcBorders>
          </w:tcPr>
          <w:p>
            <w:pPr>
              <w:jc w:val="center"/>
            </w:pPr>
            <w:r>
              <w:rPr>
                <w:rFonts w:ascii="Noto Sans" w:hAnsi="Noto Sans" w:eastAsia="Noto Sans"/>
                <w:b/>
                <w:color w:val="2F6B8A"/>
                <w:sz w:val="16"/>
              </w:rPr>
              <w:t>Отрицательно направленный показатель</w:t>
            </w:r>
          </w:p>
          <w:p>
            <w:pPr>
              <w:jc w:val="center"/>
            </w:pPr>
            <w:r>
              <w:rPr>
                <w:rFonts w:ascii="DejaVu Serif" w:hAnsi="DejaVu Serif" w:eastAsia="DejaVu Serif"/>
                <w:b/>
                <w:color w:val="17324D"/>
                <w:sz w:val="22"/>
              </w:rPr>
              <w:t>z_ic = 100 × (max_i − x_ic)/(max_i − min_i)</w:t>
            </w:r>
          </w:p>
          <w:p>
            <w:pPr>
              <w:jc w:val="left"/>
            </w:pPr>
            <w:r>
              <w:rPr>
                <w:rFonts w:ascii="Noto Sans" w:hAnsi="Noto Sans" w:eastAsia="Noto Sans"/>
                <w:color w:val="5A6E7A"/>
                <w:sz w:val="16"/>
              </w:rPr>
              <w:t>Используется для рангов, стоимости, времени или иных показателей, где меньшее значение предпочтительнее.</w:t>
            </w:r>
          </w:p>
        </w:tc>
      </w:tr>
    </w:tbl>
    <w:p>
      <w:r>
        <w:rPr>
          <w:rFonts w:ascii="Noto Serif" w:hAnsi="Noto Serif" w:eastAsia="Noto Serif"/>
          <w:sz w:val="18"/>
        </w:rPr>
        <w:t>Перед min–max HTEI применяет винзоризацию по 2,5-му и 97,5-му процентилям. Это ограничивает влияние единичных экстремальных значений, но не удаляет страны. Границы и состав сопоставимого набора должны фиксироваться в версии трансформации.</w:t>
      </w:r>
    </w:p>
    <w:tbl>
      <w:tblPr>
        <w:tblW w:type="auto" w:w="0"/>
        <w:jc w:val="center"/>
        <w:tblLook w:firstColumn="1" w:firstRow="1" w:lastColumn="0" w:lastRow="0" w:noHBand="0" w:noVBand="1" w:val="04A0"/>
      </w:tblPr>
      <w:tblGrid>
        <w:gridCol w:w="9808"/>
      </w:tblGrid>
      <w:tr>
        <w:tc>
          <w:tcPr>
            <w:tcW w:type="dxa" w:w="9808"/>
            <w:shd w:fill="F5F7F8"/>
            <w:tcMar>
              <w:top w:w="140" w:type="dxa"/>
              <w:start w:w="220" w:type="dxa"/>
              <w:bottom w:w="140" w:type="dxa"/>
              <w:end w:w="220" w:type="dxa"/>
            </w:tcMar>
            <w:tcBorders>
              <w:top w:val="single" w:sz="6" w:color="CFDCE4"/>
              <w:left w:val="single" w:sz="6" w:color="CFDCE4"/>
              <w:bottom w:val="single" w:sz="6" w:color="CFDCE4"/>
              <w:right w:val="single" w:sz="6" w:color="CFDCE4"/>
            </w:tcBorders>
          </w:tcPr>
          <w:p>
            <w:pPr>
              <w:jc w:val="center"/>
            </w:pPr>
            <w:r>
              <w:rPr>
                <w:rFonts w:ascii="Noto Sans" w:hAnsi="Noto Sans" w:eastAsia="Noto Sans"/>
                <w:b/>
                <w:color w:val="2F6B8A"/>
                <w:sz w:val="16"/>
              </w:rPr>
              <w:t>Винзоризация</w:t>
            </w:r>
          </w:p>
          <w:p>
            <w:pPr>
              <w:jc w:val="center"/>
            </w:pPr>
            <w:r>
              <w:rPr>
                <w:rFonts w:ascii="DejaVu Serif" w:hAnsi="DejaVu Serif" w:eastAsia="DejaVu Serif"/>
                <w:b/>
                <w:color w:val="17324D"/>
                <w:sz w:val="22"/>
              </w:rPr>
              <w:t>x′_ic = min(max(x_ic, Q_i(0,025)), Q_i(0,975))</w:t>
            </w:r>
          </w:p>
          <w:p>
            <w:pPr>
              <w:jc w:val="left"/>
            </w:pPr>
            <w:r>
              <w:rPr>
                <w:rFonts w:ascii="Noto Sans" w:hAnsi="Noto Sans" w:eastAsia="Noto Sans"/>
                <w:color w:val="5A6E7A"/>
                <w:sz w:val="16"/>
              </w:rPr>
              <w:t>Затем x′ используется в min–max. Альтернативные percentile и robust-z преобразования применяются в тестах чувствительности, а не как основной опубликованный расчёт.</w:t>
            </w:r>
          </w:p>
        </w:tc>
      </w:tr>
    </w:tbl>
    <w:p>
      <w:pPr>
        <w:pStyle w:val="Heading2"/>
      </w:pPr>
      <w:r>
        <w:t>8.2. Взвешенная агрегация и пропуски</w:t>
      </w:r>
    </w:p>
    <w:tbl>
      <w:tblPr>
        <w:tblW w:type="auto" w:w="0"/>
        <w:jc w:val="center"/>
        <w:tblLook w:firstColumn="1" w:firstRow="1" w:lastColumn="0" w:lastRow="0" w:noHBand="0" w:noVBand="1" w:val="04A0"/>
      </w:tblPr>
      <w:tblGrid>
        <w:gridCol w:w="9808"/>
      </w:tblGrid>
      <w:tr>
        <w:tc>
          <w:tcPr>
            <w:tcW w:type="dxa" w:w="9808"/>
            <w:shd w:fill="F5F7F8"/>
            <w:tcMar>
              <w:top w:w="140" w:type="dxa"/>
              <w:start w:w="220" w:type="dxa"/>
              <w:bottom w:w="140" w:type="dxa"/>
              <w:end w:w="220" w:type="dxa"/>
            </w:tcMar>
            <w:tcBorders>
              <w:top w:val="single" w:sz="6" w:color="CFDCE4"/>
              <w:left w:val="single" w:sz="6" w:color="CFDCE4"/>
              <w:bottom w:val="single" w:sz="6" w:color="CFDCE4"/>
              <w:right w:val="single" w:sz="6" w:color="CFDCE4"/>
            </w:tcBorders>
          </w:tcPr>
          <w:p>
            <w:pPr>
              <w:jc w:val="center"/>
            </w:pPr>
            <w:r>
              <w:rPr>
                <w:rFonts w:ascii="Noto Sans" w:hAnsi="Noto Sans" w:eastAsia="Noto Sans"/>
                <w:b/>
                <w:color w:val="2F6B8A"/>
                <w:sz w:val="16"/>
              </w:rPr>
              <w:t>Агрегация доступных компонентов</w:t>
            </w:r>
          </w:p>
          <w:p>
            <w:pPr>
              <w:jc w:val="center"/>
            </w:pPr>
            <w:r>
              <w:rPr>
                <w:rFonts w:ascii="DejaVu Serif" w:hAnsi="DejaVu Serif" w:eastAsia="DejaVu Serif"/>
                <w:b/>
                <w:color w:val="17324D"/>
                <w:sz w:val="22"/>
              </w:rPr>
              <w:t>Score_c = Σ(i∈S_c) w̃_i z_ic,   w̃_i = w_i / Σ(j∈S_c) w_j</w:t>
            </w:r>
          </w:p>
          <w:p>
            <w:pPr>
              <w:jc w:val="left"/>
            </w:pPr>
            <w:r>
              <w:rPr>
                <w:rFonts w:ascii="Noto Sans" w:hAnsi="Noto Sans" w:eastAsia="Noto Sans"/>
                <w:color w:val="5A6E7A"/>
                <w:sz w:val="16"/>
              </w:rPr>
              <w:t>S_c — допустимый набор доступных компонентов для страны. Перенормирование допустимо только если выполнены правила покрытия конкретной модели.</w:t>
            </w:r>
          </w:p>
        </w:tc>
      </w:tr>
    </w:tbl>
    <w:p>
      <w:r>
        <w:rPr>
          <w:rFonts w:ascii="Noto Serif" w:hAnsi="Noto Serif" w:eastAsia="Noto Serif"/>
          <w:sz w:val="18"/>
        </w:rPr>
        <w:t>Перенормирование не должно автоматически маскировать нехватку данных. Поэтому HTEI связывает его с режимом покрытия, минимальным числом компонентов, обязательным набором и лагом. Training model использует порог доступного веса и отдельный коэффициент качества.</w:t>
      </w:r>
    </w:p>
    <w:p>
      <w:pPr>
        <w:pStyle w:val="Heading2"/>
      </w:pPr>
      <w:r>
        <w:t>8.3. Ранжирование и перцентиль</w:t>
      </w:r>
    </w:p>
    <w:tbl>
      <w:tblPr>
        <w:tblW w:type="auto" w:w="0"/>
        <w:jc w:val="center"/>
        <w:tblLook w:firstColumn="1" w:firstRow="1" w:lastColumn="0" w:lastRow="0" w:noHBand="0" w:noVBand="1" w:val="04A0"/>
      </w:tblPr>
      <w:tblGrid>
        <w:gridCol w:w="9808"/>
      </w:tblGrid>
      <w:tr>
        <w:tc>
          <w:tcPr>
            <w:tcW w:type="dxa" w:w="9808"/>
            <w:shd w:fill="F5F7F8"/>
            <w:tcMar>
              <w:top w:w="140" w:type="dxa"/>
              <w:start w:w="220" w:type="dxa"/>
              <w:bottom w:w="140" w:type="dxa"/>
              <w:end w:w="220" w:type="dxa"/>
            </w:tcMar>
            <w:tcBorders>
              <w:top w:val="single" w:sz="6" w:color="CFDCE4"/>
              <w:left w:val="single" w:sz="6" w:color="CFDCE4"/>
              <w:bottom w:val="single" w:sz="6" w:color="CFDCE4"/>
              <w:right w:val="single" w:sz="6" w:color="CFDCE4"/>
            </w:tcBorders>
          </w:tcPr>
          <w:p>
            <w:pPr>
              <w:jc w:val="center"/>
            </w:pPr>
            <w:r>
              <w:rPr>
                <w:rFonts w:ascii="Noto Sans" w:hAnsi="Noto Sans" w:eastAsia="Noto Sans"/>
                <w:b/>
                <w:color w:val="2F6B8A"/>
                <w:sz w:val="16"/>
              </w:rPr>
              <w:t>Ранг</w:t>
            </w:r>
          </w:p>
          <w:p>
            <w:pPr>
              <w:jc w:val="center"/>
            </w:pPr>
            <w:r>
              <w:rPr>
                <w:rFonts w:ascii="DejaVu Serif" w:hAnsi="DejaVu Serif" w:eastAsia="DejaVu Serif"/>
                <w:b/>
                <w:color w:val="17324D"/>
                <w:sz w:val="22"/>
              </w:rPr>
              <w:t>rank_c = position of Score_c in descending order</w:t>
            </w:r>
          </w:p>
          <w:p>
            <w:pPr>
              <w:jc w:val="left"/>
            </w:pPr>
            <w:r>
              <w:rPr>
                <w:rFonts w:ascii="Noto Sans" w:hAnsi="Noto Sans" w:eastAsia="Noto Sans"/>
                <w:color w:val="5A6E7A"/>
                <w:sz w:val="16"/>
              </w:rPr>
              <w:t>При равных значениях фактическая реализация должна иметь детерминированное вторичное правило сортировки, например ISO3. В опубликованном слое ранги последовательные.</w:t>
            </w:r>
          </w:p>
        </w:tc>
      </w:tr>
    </w:tbl>
    <w:tbl>
      <w:tblPr>
        <w:tblW w:type="auto" w:w="0"/>
        <w:jc w:val="center"/>
        <w:tblLook w:firstColumn="1" w:firstRow="1" w:lastColumn="0" w:lastRow="0" w:noHBand="0" w:noVBand="1" w:val="04A0"/>
      </w:tblPr>
      <w:tblGrid>
        <w:gridCol w:w="9808"/>
      </w:tblGrid>
      <w:tr>
        <w:tc>
          <w:tcPr>
            <w:tcW w:type="dxa" w:w="9808"/>
            <w:shd w:fill="F5F7F8"/>
            <w:tcMar>
              <w:top w:w="140" w:type="dxa"/>
              <w:start w:w="220" w:type="dxa"/>
              <w:bottom w:w="140" w:type="dxa"/>
              <w:end w:w="220" w:type="dxa"/>
            </w:tcMar>
            <w:tcBorders>
              <w:top w:val="single" w:sz="6" w:color="CFDCE4"/>
              <w:left w:val="single" w:sz="6" w:color="CFDCE4"/>
              <w:bottom w:val="single" w:sz="6" w:color="CFDCE4"/>
              <w:right w:val="single" w:sz="6" w:color="CFDCE4"/>
            </w:tcBorders>
          </w:tcPr>
          <w:p>
            <w:pPr>
              <w:jc w:val="center"/>
            </w:pPr>
            <w:r>
              <w:rPr>
                <w:rFonts w:ascii="Noto Sans" w:hAnsi="Noto Sans" w:eastAsia="Noto Sans"/>
                <w:b/>
                <w:color w:val="2F6B8A"/>
                <w:sz w:val="16"/>
              </w:rPr>
              <w:t>Перцентиль GIR</w:t>
            </w:r>
          </w:p>
          <w:p>
            <w:pPr>
              <w:jc w:val="center"/>
            </w:pPr>
            <w:r>
              <w:rPr>
                <w:rFonts w:ascii="DejaVu Serif" w:hAnsi="DejaVu Serif" w:eastAsia="DejaVu Serif"/>
                <w:b/>
                <w:color w:val="17324D"/>
                <w:sz w:val="22"/>
              </w:rPr>
              <w:t>percentile_c = (N − rank_c + 1)/N × 100</w:t>
            </w:r>
          </w:p>
          <w:p>
            <w:pPr>
              <w:jc w:val="left"/>
            </w:pPr>
            <w:r>
              <w:rPr>
                <w:rFonts w:ascii="Noto Sans" w:hAnsi="Noto Sans" w:eastAsia="Noto Sans"/>
                <w:color w:val="5A6E7A"/>
                <w:sz w:val="16"/>
              </w:rPr>
              <w:t>Лучшее место получает 100. Эта величина зависит от состава стран в конкретном срезе и не является вероятностью.</w:t>
            </w:r>
          </w:p>
        </w:tc>
      </w:tr>
    </w:tbl>
    <w:p>
      <w:pPr>
        <w:pStyle w:val="Heading2"/>
      </w:pPr>
      <w:r>
        <w:t>8.4. Диагностика дефицита и приоритета</w:t>
      </w:r>
    </w:p>
    <w:tbl>
      <w:tblPr>
        <w:tblW w:type="auto" w:w="0"/>
        <w:jc w:val="center"/>
        <w:tblLook w:firstColumn="1" w:firstRow="1" w:lastColumn="0" w:lastRow="0" w:noHBand="0" w:noVBand="1" w:val="04A0"/>
      </w:tblPr>
      <w:tblGrid>
        <w:gridCol w:w="9808"/>
      </w:tblGrid>
      <w:tr>
        <w:tc>
          <w:tcPr>
            <w:tcW w:type="dxa" w:w="9808"/>
            <w:shd w:fill="F5F7F8"/>
            <w:tcMar>
              <w:top w:w="140" w:type="dxa"/>
              <w:start w:w="220" w:type="dxa"/>
              <w:bottom w:w="140" w:type="dxa"/>
              <w:end w:w="220" w:type="dxa"/>
            </w:tcMar>
            <w:tcBorders>
              <w:top w:val="single" w:sz="6" w:color="CFDCE4"/>
              <w:left w:val="single" w:sz="6" w:color="CFDCE4"/>
              <w:bottom w:val="single" w:sz="6" w:color="CFDCE4"/>
              <w:right w:val="single" w:sz="6" w:color="CFDCE4"/>
            </w:tcBorders>
          </w:tcPr>
          <w:p>
            <w:pPr>
              <w:jc w:val="center"/>
            </w:pPr>
            <w:r>
              <w:rPr>
                <w:rFonts w:ascii="Noto Sans" w:hAnsi="Noto Sans" w:eastAsia="Noto Sans"/>
                <w:b/>
                <w:color w:val="2F6B8A"/>
                <w:sz w:val="16"/>
              </w:rPr>
              <w:t>Дефицит компонента</w:t>
            </w:r>
          </w:p>
          <w:p>
            <w:pPr>
              <w:jc w:val="center"/>
            </w:pPr>
            <w:r>
              <w:rPr>
                <w:rFonts w:ascii="DejaVu Serif" w:hAnsi="DejaVu Serif" w:eastAsia="DejaVu Serif"/>
                <w:b/>
                <w:color w:val="17324D"/>
                <w:sz w:val="22"/>
              </w:rPr>
              <w:t>gap_ic = max(0, 100 − z_ic)</w:t>
            </w:r>
          </w:p>
          <w:p>
            <w:pPr>
              <w:jc w:val="left"/>
            </w:pPr>
            <w:r>
              <w:rPr>
                <w:rFonts w:ascii="Noto Sans" w:hAnsi="Noto Sans" w:eastAsia="Noto Sans"/>
                <w:color w:val="5A6E7A"/>
                <w:sz w:val="16"/>
              </w:rPr>
              <w:t>Чем ниже нормированный компонент, тем больше диагностический дефицит относительно верхней границы шкалы.</w:t>
            </w:r>
          </w:p>
        </w:tc>
      </w:tr>
    </w:tbl>
    <w:tbl>
      <w:tblPr>
        <w:tblW w:type="auto" w:w="0"/>
        <w:jc w:val="center"/>
        <w:tblLook w:firstColumn="1" w:firstRow="1" w:lastColumn="0" w:lastRow="0" w:noHBand="0" w:noVBand="1" w:val="04A0"/>
      </w:tblPr>
      <w:tblGrid>
        <w:gridCol w:w="9808"/>
      </w:tblGrid>
      <w:tr>
        <w:tc>
          <w:tcPr>
            <w:tcW w:type="dxa" w:w="9808"/>
            <w:shd w:fill="F5F7F8"/>
            <w:tcMar>
              <w:top w:w="140" w:type="dxa"/>
              <w:start w:w="220" w:type="dxa"/>
              <w:bottom w:w="140" w:type="dxa"/>
              <w:end w:w="220" w:type="dxa"/>
            </w:tcMar>
            <w:tcBorders>
              <w:top w:val="single" w:sz="6" w:color="CFDCE4"/>
              <w:left w:val="single" w:sz="6" w:color="CFDCE4"/>
              <w:bottom w:val="single" w:sz="6" w:color="CFDCE4"/>
              <w:right w:val="single" w:sz="6" w:color="CFDCE4"/>
            </w:tcBorders>
          </w:tcPr>
          <w:p>
            <w:pPr>
              <w:jc w:val="center"/>
            </w:pPr>
            <w:r>
              <w:rPr>
                <w:rFonts w:ascii="Noto Sans" w:hAnsi="Noto Sans" w:eastAsia="Noto Sans"/>
                <w:b/>
                <w:color w:val="2F6B8A"/>
                <w:sz w:val="16"/>
              </w:rPr>
              <w:t>Приоритет HTEI</w:t>
            </w:r>
          </w:p>
          <w:p>
            <w:pPr>
              <w:jc w:val="center"/>
            </w:pPr>
            <w:r>
              <w:rPr>
                <w:rFonts w:ascii="DejaVu Serif" w:hAnsi="DejaVu Serif" w:eastAsia="DejaVu Serif"/>
                <w:b/>
                <w:color w:val="17324D"/>
                <w:sz w:val="22"/>
              </w:rPr>
              <w:t>priority_ic = gap_ic × effective_weight_i × (1 + gap_ic/100) × actionability_i</w:t>
            </w:r>
          </w:p>
          <w:p>
            <w:pPr>
              <w:jc w:val="left"/>
            </w:pPr>
            <w:r>
              <w:rPr>
                <w:rFonts w:ascii="Noto Sans" w:hAnsi="Noto Sans" w:eastAsia="Noto Sans"/>
                <w:color w:val="5A6E7A"/>
                <w:sz w:val="16"/>
              </w:rPr>
              <w:t>Фактор leverage = 1 + gap/100 усиливает крупные разрывы; actionability отражает относительную управляемость компонента.</w:t>
            </w:r>
          </w:p>
        </w:tc>
      </w:tr>
    </w:tbl>
    <w:p>
      <w:r>
        <w:rPr>
          <w:rFonts w:ascii="Noto Serif" w:hAnsi="Noto Serif" w:eastAsia="Noto Serif"/>
          <w:sz w:val="18"/>
        </w:rPr>
        <w:t>Рекомендация формируется не из текста «по настроению», а из ранжированного набора компонентных дефицитов и шаблонов действий. Тем не менее алгоритм не доказывает причинность: высокий приоритет означает аналитический сигнал для дополнительной проверки, а не автоматическое предписание политики.</w:t>
      </w:r>
    </w:p>
    <w:p>
      <w:pPr>
        <w:pStyle w:val="Heading2"/>
      </w:pPr>
      <w:r>
        <w:t>8.5. Флаги качества</w:t>
      </w:r>
    </w:p>
    <w:p>
      <w:pPr>
        <w:pStyle w:val="Caption"/>
      </w:pPr>
      <w:r>
        <w:t>Таблица 14. Справочник флагов качества</w:t>
      </w:r>
    </w:p>
    <w:tbl>
      <w:tblPr>
        <w:tblW w:type="auto" w:w="0"/>
        <w:jc w:val="center"/>
        <w:tblLayout w:type="autofit"/>
        <w:tblLook w:firstColumn="1" w:firstRow="1" w:lastColumn="0" w:lastRow="0" w:noHBand="0" w:noVBand="1" w:val="04A0"/>
      </w:tblPr>
      <w:tblGrid>
        <w:gridCol w:w="2452"/>
        <w:gridCol w:w="2452"/>
        <w:gridCol w:w="2452"/>
        <w:gridCol w:w="2452"/>
      </w:tblGrid>
      <w:tr>
        <w:trPr>
          <w:tblHeader w:val="true"/>
        </w:trPr>
        <w:tc>
          <w:tcPr>
            <w:tcW w:type="dxa" w:w="2438"/>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Код</w:t>
            </w:r>
          </w:p>
        </w:tc>
        <w:tc>
          <w:tcPr>
            <w:tcW w:type="dxa" w:w="73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Тяжесть</w:t>
            </w:r>
          </w:p>
        </w:tc>
        <w:tc>
          <w:tcPr>
            <w:tcW w:type="dxa" w:w="198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Метка</w:t>
            </w:r>
          </w:p>
        </w:tc>
        <w:tc>
          <w:tcPr>
            <w:tcW w:type="dxa" w:w="4082"/>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Интерпретация</w:t>
            </w:r>
          </w:p>
        </w:tc>
      </w:tr>
      <w:tr>
        <w:trPr>
          <w:cantSplit/>
        </w:trPr>
        <w:tc>
          <w:tcPr>
            <w:tcW w:type="dxa" w:w="243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official_value</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w:t>
            </w:r>
          </w:p>
        </w:tc>
        <w:tc>
          <w:tcPr>
            <w:tcW w:type="dxa" w:w="198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официальное значение</w:t>
            </w:r>
          </w:p>
        </w:tc>
        <w:tc>
          <w:tcPr>
            <w:tcW w:type="dxa" w:w="4082"/>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Значение взято напрямую из официального источника.</w:t>
            </w:r>
          </w:p>
        </w:tc>
      </w:tr>
      <w:tr>
        <w:trPr>
          <w:cantSplit/>
        </w:trPr>
        <w:tc>
          <w:tcPr>
            <w:tcW w:type="dxa" w:w="243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recomputed_from_official_components</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w:t>
            </w:r>
          </w:p>
        </w:tc>
        <w:tc>
          <w:tcPr>
            <w:tcW w:type="dxa" w:w="198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пересчитано из официальных компонентов</w:t>
            </w:r>
          </w:p>
        </w:tc>
        <w:tc>
          <w:tcPr>
            <w:tcW w:type="dxa" w:w="4082"/>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Компонент или диагностика рассчитаны воспроизводимо из официальных рядов.</w:t>
            </w:r>
          </w:p>
        </w:tc>
      </w:tr>
      <w:tr>
        <w:trPr>
          <w:cantSplit/>
        </w:trPr>
        <w:tc>
          <w:tcPr>
            <w:tcW w:type="dxa" w:w="243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official_partial_proxy</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w:t>
            </w:r>
          </w:p>
        </w:tc>
        <w:tc>
          <w:tcPr>
            <w:tcW w:type="dxa" w:w="198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официальные прокси с неполным покрытием</w:t>
            </w:r>
          </w:p>
        </w:tc>
        <w:tc>
          <w:tcPr>
            <w:tcW w:type="dxa" w:w="4082"/>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Использованы официальные доступные прокси-компоненты; покрытие не полное.</w:t>
            </w:r>
          </w:p>
        </w:tc>
      </w:tr>
      <w:tr>
        <w:trPr>
          <w:cantSplit/>
        </w:trPr>
        <w:tc>
          <w:tcPr>
            <w:tcW w:type="dxa" w:w="243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official_file_required</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w:t>
            </w:r>
          </w:p>
        </w:tc>
        <w:tc>
          <w:tcPr>
            <w:tcW w:type="dxa" w:w="198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требуется официальный файл</w:t>
            </w:r>
          </w:p>
        </w:tc>
        <w:tc>
          <w:tcPr>
            <w:tcW w:type="dxa" w:w="4082"/>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Числовой слой включается после импорта официального файла источника.</w:t>
            </w:r>
          </w:p>
        </w:tc>
      </w:tr>
      <w:tr>
        <w:trPr>
          <w:cantSplit/>
        </w:trPr>
        <w:tc>
          <w:tcPr>
            <w:tcW w:type="dxa" w:w="243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official_observation</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w:t>
            </w:r>
          </w:p>
        </w:tc>
        <w:tc>
          <w:tcPr>
            <w:tcW w:type="dxa" w:w="198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официальное исходное наблюдение</w:t>
            </w:r>
          </w:p>
        </w:tc>
        <w:tc>
          <w:tcPr>
            <w:tcW w:type="dxa" w:w="4082"/>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Исходное наблюдение получено из официального снимка источника.</w:t>
            </w:r>
          </w:p>
        </w:tc>
      </w:tr>
      <w:tr>
        <w:trPr>
          <w:cantSplit/>
        </w:trPr>
        <w:tc>
          <w:tcPr>
            <w:tcW w:type="dxa" w:w="243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selected_official_observation</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w:t>
            </w:r>
          </w:p>
        </w:tc>
        <w:tc>
          <w:tcPr>
            <w:tcW w:type="dxa" w:w="198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выбранное официальное наблюдение</w:t>
            </w:r>
          </w:p>
        </w:tc>
        <w:tc>
          <w:tcPr>
            <w:tcW w:type="dxa" w:w="4082"/>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Наблюдение выбрано из официальных источников по каскаду HTEI v3.</w:t>
            </w:r>
          </w:p>
        </w:tc>
      </w:tr>
      <w:tr>
        <w:trPr>
          <w:cantSplit/>
        </w:trPr>
        <w:tc>
          <w:tcPr>
            <w:tcW w:type="dxa" w:w="243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training_model_score</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w:t>
            </w:r>
          </w:p>
        </w:tc>
        <w:tc>
          <w:tcPr>
            <w:tcW w:type="dxa" w:w="198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оценка модели подготовки кадров</w:t>
            </w:r>
          </w:p>
        </w:tc>
        <w:tc>
          <w:tcPr>
            <w:tcW w:type="dxa" w:w="4082"/>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Значение рассчитано как отдельная модель на основе проверяемых индексов и компонентов.</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quality_flags.</w:t>
      </w:r>
    </w:p>
    <w:p>
      <w:pPr>
        <w:pStyle w:val="Heading2"/>
      </w:pPr>
      <w:r>
        <w:t>8.6. Версионирование</w:t>
      </w:r>
    </w:p>
    <w:p>
      <w:r>
        <w:rPr>
          <w:rFonts w:ascii="Noto Serif" w:hAnsi="Noto Serif" w:eastAsia="Noto Serif"/>
          <w:sz w:val="18"/>
        </w:rPr>
        <w:t>Версия формулы должна изменяться при изменении состава компонентов, весов, нормирования, правил пропусков, режима источников или шкалы. Обновление только исходных данных при неизменной методике может сохранять formula_version, но обязано создавать новый transformation_run и новые снимки. Это позволяет отличить пересчёт по свежим данным от методологической ревизии.</w:t>
      </w:r>
    </w:p>
    <w:p>
      <w:bookmarkStart w:id="1487" w:name="sec9"/>
      <w:pPr>
        <w:pStyle w:val="Heading1"/>
      </w:pPr>
      <w:r>
        <w:t>9. Паспорта индексных модулей</w:t>
      </w:r>
      <w:bookmarkEnd w:id="1487"/>
    </w:p>
    <w:p>
      <w:r>
        <w:rPr>
          <w:rFonts w:ascii="Noto Serif" w:hAnsi="Noto Serif" w:eastAsia="Noto Serif"/>
          <w:sz w:val="18"/>
        </w:rPr>
        <w:t>Каждый паспорт отвечает на одинаковый набор вопросов: что измеряет индекс; кто является автором и расчётчиком; какова официальная формула или иерархия; какие данные находятся в GIR; что рассчитывается платформой; какие ограничения критичны. Такой шаблон следует использовать и на веб-странице.</w:t>
      </w:r>
    </w:p>
    <w:p>
      <w:pPr>
        <w:pStyle w:val="Heading2"/>
      </w:pPr>
      <w:r>
        <w:t>9.1. Индекс человеческого развития (HDI / ИЧР)</w:t>
      </w:r>
    </w:p>
    <w:p>
      <w:pPr>
        <w:pStyle w:val="Caption"/>
      </w:pPr>
      <w:r>
        <w:t>Таблица 15. Паспорт HDI</w:t>
      </w:r>
    </w:p>
    <w:tbl>
      <w:tblPr>
        <w:tblW w:type="auto" w:w="0"/>
        <w:jc w:val="center"/>
        <w:tblLayout w:type="autofit"/>
        <w:tblLook w:firstColumn="1" w:firstRow="1" w:lastColumn="0" w:lastRow="0" w:noHBand="0" w:noVBand="1" w:val="04A0"/>
      </w:tblPr>
      <w:tblGrid>
        <w:gridCol w:w="4904"/>
        <w:gridCol w:w="4904"/>
      </w:tblGrid>
      <w:tr>
        <w:trPr>
          <w:tblHeader w:val="true"/>
        </w:trPr>
        <w:tc>
          <w:tcPr>
            <w:tcW w:type="dxa" w:w="2835"/>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Параметр</w:t>
            </w:r>
          </w:p>
        </w:tc>
        <w:tc>
          <w:tcPr>
            <w:tcW w:type="dxa" w:w="6406"/>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Описание</w:t>
            </w:r>
          </w:p>
        </w:tc>
      </w:tr>
      <w:tr>
        <w:trPr>
          <w:cantSplit/>
        </w:trPr>
        <w:tc>
          <w:tcPr>
            <w:tcW w:type="dxa" w:w="28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Автор / владелец методики</w:t>
            </w:r>
          </w:p>
        </w:tc>
        <w:tc>
          <w:tcPr>
            <w:tcW w:type="dxa" w:w="6406"/>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Программа развития ООН; расчёт и публикация — Human Development Report Office.</w:t>
            </w:r>
          </w:p>
        </w:tc>
      </w:tr>
      <w:tr>
        <w:trPr>
          <w:cantSplit/>
        </w:trPr>
        <w:tc>
          <w:tcPr>
            <w:tcW w:type="dxa" w:w="283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Назначение</w:t>
            </w:r>
          </w:p>
        </w:tc>
        <w:tc>
          <w:tcPr>
            <w:tcW w:type="dxa" w:w="6406"/>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Сводная характеристика человеческого развития, объединяющая долголетие, образование и материальный уровень жизни. Это показатель достигнутых возможностей, а не полного качества институтов или неравенства.</w:t>
            </w:r>
          </w:p>
        </w:tc>
      </w:tr>
      <w:tr>
        <w:trPr>
          <w:cantSplit/>
        </w:trPr>
        <w:tc>
          <w:tcPr>
            <w:tcW w:type="dxa" w:w="28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Официальная шкала</w:t>
            </w:r>
          </w:p>
        </w:tc>
        <w:tc>
          <w:tcPr>
            <w:tcW w:type="dxa" w:w="6406"/>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0-1 official score shown on a 0-100 display scale</w:t>
            </w:r>
          </w:p>
        </w:tc>
      </w:tr>
      <w:tr>
        <w:trPr>
          <w:cantSplit/>
        </w:trPr>
        <w:tc>
          <w:tcPr>
            <w:tcW w:type="dxa" w:w="283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Период в GIR</w:t>
            </w:r>
          </w:p>
        </w:tc>
        <w:tc>
          <w:tcPr>
            <w:tcW w:type="dxa" w:w="6406"/>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1990–2023</w:t>
            </w:r>
          </w:p>
        </w:tc>
      </w:tr>
      <w:tr>
        <w:trPr>
          <w:cantSplit/>
        </w:trPr>
        <w:tc>
          <w:tcPr>
            <w:tcW w:type="dxa" w:w="28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Охват</w:t>
            </w:r>
          </w:p>
        </w:tc>
        <w:tc>
          <w:tcPr>
            <w:tcW w:type="dxa" w:w="6406"/>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193 стран; 5 940 оценок</w:t>
            </w:r>
          </w:p>
        </w:tc>
      </w:tr>
      <w:tr>
        <w:trPr>
          <w:cantSplit/>
        </w:trPr>
        <w:tc>
          <w:tcPr>
            <w:tcW w:type="dxa" w:w="283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Статус результата</w:t>
            </w:r>
          </w:p>
        </w:tc>
        <w:tc>
          <w:tcPr>
            <w:tcW w:type="dxa" w:w="6406"/>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Официальное значение ИЧР; компонентная панель — аналитическая диагностика платформы</w:t>
            </w:r>
          </w:p>
        </w:tc>
      </w:tr>
      <w:tr>
        <w:trPr>
          <w:cantSplit/>
        </w:trPr>
        <w:tc>
          <w:tcPr>
            <w:tcW w:type="dxa" w:w="28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Версия методологии в реестре</w:t>
            </w:r>
          </w:p>
        </w:tc>
        <w:tc>
          <w:tcPr>
            <w:tcW w:type="dxa" w:w="6406"/>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GIIP-scientific-release-v5</w:t>
            </w:r>
          </w:p>
        </w:tc>
      </w:tr>
      <w:tr>
        <w:trPr>
          <w:cantSplit/>
        </w:trPr>
        <w:tc>
          <w:tcPr>
            <w:tcW w:type="dxa" w:w="283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Основной источник</w:t>
            </w:r>
          </w:p>
        </w:tc>
        <w:tc>
          <w:tcPr>
            <w:tcW w:type="dxa" w:w="6406"/>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https://hdr.undp.org/data-center</w:t>
            </w:r>
          </w:p>
        </w:tc>
      </w:tr>
      <w:tr>
        <w:trPr>
          <w:cantSplit/>
        </w:trPr>
        <w:tc>
          <w:tcPr>
            <w:tcW w:type="dxa" w:w="28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Ссылки</w:t>
            </w:r>
          </w:p>
        </w:tc>
        <w:tc>
          <w:tcPr>
            <w:tcW w:type="dxa" w:w="6406"/>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[1–2]</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indices, index_methodology_registry, index_scores и официальные методические документы.</w:t>
      </w:r>
    </w:p>
    <w:p>
      <w:pPr>
        <w:pStyle w:val="Heading3"/>
      </w:pPr>
      <w:r>
        <w:t>Смысл и официальная методика</w:t>
      </w:r>
    </w:p>
    <w:p>
      <w:r>
        <w:rPr>
          <w:rFonts w:ascii="Noto Serif" w:hAnsi="Noto Serif" w:eastAsia="Noto Serif"/>
          <w:sz w:val="18"/>
        </w:rPr>
        <w:t>Сводная характеристика человеческого развития, объединяющая долголетие, образование и материальный уровень жизни. Это показатель достигнутых возможностей, а не полного качества институтов или неравенства.</w:t>
      </w:r>
    </w:p>
    <w:tbl>
      <w:tblPr>
        <w:tblW w:type="auto" w:w="0"/>
        <w:jc w:val="center"/>
        <w:tblLook w:firstColumn="1" w:firstRow="1" w:lastColumn="0" w:lastRow="0" w:noHBand="0" w:noVBand="1" w:val="04A0"/>
      </w:tblPr>
      <w:tblGrid>
        <w:gridCol w:w="9808"/>
      </w:tblGrid>
      <w:tr>
        <w:tc>
          <w:tcPr>
            <w:tcW w:type="dxa" w:w="9808"/>
            <w:shd w:fill="F5F7F8"/>
            <w:tcMar>
              <w:top w:w="140" w:type="dxa"/>
              <w:start w:w="220" w:type="dxa"/>
              <w:bottom w:w="140" w:type="dxa"/>
              <w:end w:w="220" w:type="dxa"/>
            </w:tcMar>
            <w:tcBorders>
              <w:top w:val="single" w:sz="6" w:color="CFDCE4"/>
              <w:left w:val="single" w:sz="6" w:color="CFDCE4"/>
              <w:bottom w:val="single" w:sz="6" w:color="CFDCE4"/>
              <w:right w:val="single" w:sz="6" w:color="CFDCE4"/>
            </w:tcBorders>
          </w:tcPr>
          <w:p>
            <w:pPr>
              <w:jc w:val="center"/>
            </w:pPr>
            <w:r>
              <w:rPr>
                <w:rFonts w:ascii="Noto Sans" w:hAnsi="Noto Sans" w:eastAsia="Noto Sans"/>
                <w:b/>
                <w:color w:val="2F6B8A"/>
                <w:sz w:val="16"/>
              </w:rPr>
              <w:t>Официальная формула / структура</w:t>
            </w:r>
          </w:p>
          <w:p>
            <w:pPr>
              <w:jc w:val="center"/>
            </w:pPr>
            <w:r>
              <w:rPr>
                <w:rFonts w:ascii="DejaVu Serif" w:hAnsi="DejaVu Serif" w:eastAsia="DejaVu Serif"/>
                <w:b/>
                <w:color w:val="17324D"/>
                <w:sz w:val="22"/>
              </w:rPr>
              <w:t>I_LE = (LE − 20)/(85 − 20); I_EYS = EYS/18; I_MYS = MYS/15; I_Edu = (I_EYS + I_MYS)/2; I_Income = [ln(GNIpc) − ln(100)]/[ln(75 000) − ln(100)]; HDI = (I_LE × I_Edu × I_Income)^(1/3).</w:t>
            </w:r>
          </w:p>
        </w:tc>
      </w:tr>
    </w:tbl>
    <w:p>
      <w:pPr>
        <w:pStyle w:val="Heading3"/>
      </w:pPr>
      <w:r>
        <w:t>Реализация в GIR</w:t>
      </w:r>
    </w:p>
    <w:p>
      <w:r>
        <w:rPr>
          <w:rFonts w:ascii="Noto Serif" w:hAnsi="Noto Serif" w:eastAsia="Noto Serif"/>
          <w:sz w:val="18"/>
        </w:rPr>
        <w:t>Платформа импортирует официальный временной ряд UNDP. Официальная шкала 0–1 отображается также как 0–100 для унификации интерфейса. Диагностические компоненты строятся из официальных полей, однако не объявляются повторным официальным расчётом.</w:t>
      </w:r>
    </w:p>
    <w:p>
      <w:pPr>
        <w:pStyle w:val="Caption"/>
      </w:pPr>
      <w:r>
        <w:t>Таблица 16. Компоненты HDI в реестре GIR</w:t>
      </w:r>
    </w:p>
    <w:tbl>
      <w:tblPr>
        <w:tblW w:type="auto" w:w="0"/>
        <w:jc w:val="center"/>
        <w:tblLayout w:type="autofit"/>
        <w:tblLook w:firstColumn="1" w:firstRow="1" w:lastColumn="0" w:lastRow="0" w:noHBand="0" w:noVBand="1" w:val="04A0"/>
      </w:tblPr>
      <w:tblGrid>
        <w:gridCol w:w="2452"/>
        <w:gridCol w:w="2452"/>
        <w:gridCol w:w="2452"/>
        <w:gridCol w:w="2452"/>
      </w:tblGrid>
      <w:tr>
        <w:trPr>
          <w:tblHeader w:val="true"/>
        </w:trPr>
        <w:tc>
          <w:tcPr>
            <w:tcW w:type="dxa" w:w="175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Код</w:t>
            </w:r>
          </w:p>
        </w:tc>
        <w:tc>
          <w:tcPr>
            <w:tcW w:type="dxa" w:w="3061"/>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Название</w:t>
            </w:r>
          </w:p>
        </w:tc>
        <w:tc>
          <w:tcPr>
            <w:tcW w:type="dxa" w:w="1531"/>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Вес в представлении</w:t>
            </w:r>
          </w:p>
        </w:tc>
        <w:tc>
          <w:tcPr>
            <w:tcW w:type="dxa" w:w="2891"/>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Примечание источника</w:t>
            </w:r>
          </w:p>
        </w:tc>
      </w:tr>
      <w:tr>
        <w:trPr>
          <w:cantSplit/>
        </w:trPr>
        <w:tc>
          <w:tcPr>
            <w:tcW w:type="dxa" w:w="175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LE</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Ожидаемая продолжительность жизни</w:t>
            </w:r>
          </w:p>
        </w:tc>
        <w:tc>
          <w:tcPr>
            <w:tcW w:type="dxa" w:w="153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0,333</w:t>
            </w:r>
          </w:p>
        </w:tc>
        <w:tc>
          <w:tcPr>
            <w:tcW w:type="dxa" w:w="289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UNDP HDR component</w:t>
            </w:r>
          </w:p>
        </w:tc>
      </w:tr>
      <w:tr>
        <w:trPr>
          <w:cantSplit/>
        </w:trPr>
        <w:tc>
          <w:tcPr>
            <w:tcW w:type="dxa" w:w="175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EDU</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Образование</w:t>
            </w:r>
          </w:p>
        </w:tc>
        <w:tc>
          <w:tcPr>
            <w:tcW w:type="dxa" w:w="153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0,333</w:t>
            </w:r>
          </w:p>
        </w:tc>
        <w:tc>
          <w:tcPr>
            <w:tcW w:type="dxa" w:w="289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UNDP expected and mean years of schooling</w:t>
            </w:r>
          </w:p>
        </w:tc>
      </w:tr>
      <w:tr>
        <w:trPr>
          <w:cantSplit/>
        </w:trPr>
        <w:tc>
          <w:tcPr>
            <w:tcW w:type="dxa" w:w="175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GNI</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ВНД на душу населения</w:t>
            </w:r>
          </w:p>
        </w:tc>
        <w:tc>
          <w:tcPr>
            <w:tcW w:type="dxa" w:w="153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0,333</w:t>
            </w:r>
          </w:p>
        </w:tc>
        <w:tc>
          <w:tcPr>
            <w:tcW w:type="dxa" w:w="289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UNDP GNI per capita component</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index_components.</w:t>
      </w:r>
    </w:p>
    <w:tbl>
      <w:tblPr>
        <w:tblW w:type="auto" w:w="0"/>
        <w:jc w:val="center"/>
        <w:tblLook w:firstColumn="1" w:firstRow="1" w:lastColumn="0" w:lastRow="0" w:noHBand="0" w:noVBand="1" w:val="04A0"/>
      </w:tblPr>
      <w:tblGrid>
        <w:gridCol w:w="9808"/>
      </w:tblGrid>
      <w:tr>
        <w:tc>
          <w:tcPr>
            <w:tcW w:type="dxa" w:w="9808"/>
            <w:shd w:fill="FCEFEF"/>
            <w:tcMar>
              <w:top w:w="120" w:type="dxa"/>
              <w:start w:w="170" w:type="dxa"/>
              <w:bottom w:w="120" w:type="dxa"/>
              <w:end w:w="170" w:type="dxa"/>
            </w:tcMar>
            <w:tcBorders>
              <w:top w:val="nil"/>
              <w:left w:val="single" w:sz="18" w:color="B5504D"/>
              <w:bottom w:val="nil"/>
              <w:right w:val="nil"/>
            </w:tcBorders>
          </w:tcPr>
          <w:p>
            <w:r>
              <w:rPr>
                <w:rFonts w:ascii="Noto Sans" w:hAnsi="Noto Sans" w:eastAsia="Noto Sans"/>
                <w:b/>
                <w:color w:val="B5504D"/>
                <w:sz w:val="18"/>
              </w:rPr>
              <w:t xml:space="preserve">Методологическое предупреждение — </w:t>
            </w:r>
            <w:r>
              <w:rPr>
                <w:rFonts w:ascii="Noto Sans" w:hAnsi="Noto Sans" w:eastAsia="Noto Sans"/>
                <w:color w:val="243746"/>
                <w:sz w:val="17"/>
              </w:rPr>
              <w:t>Официальный ИЧР UNDP рассчитывается как геометрическое среднее индексов здоровья, образования и дохода с фиксированными целевыми границами и логарифмическим преобразованием дохода. Min-max компоненты платформы не являются официальным пересчётом ИЧР.</w:t>
            </w:r>
          </w:p>
        </w:tc>
      </w:tr>
    </w:tbl>
    <w:p>
      <w:pPr>
        <w:pStyle w:val="Heading3"/>
      </w:pPr>
      <w:r>
        <w:t>Ограничения интерпретации</w:t>
      </w:r>
    </w:p>
    <w:p>
      <w:r>
        <w:rPr>
          <w:rFonts w:ascii="Noto Serif" w:hAnsi="Noto Serif" w:eastAsia="Noto Serif"/>
          <w:sz w:val="18"/>
        </w:rPr>
        <w:t>HDI чувствителен к качеству национальной статистики и не описывает распределение достижений внутри страны. Сравнение следует вести по одной редакции данных; ретроспективные значения могут пересматриваться UNDP.</w:t>
      </w:r>
    </w:p>
    <w:p>
      <w:pPr>
        <w:pStyle w:val="Heading2"/>
      </w:pPr>
      <w:r>
        <w:t>9.2. Исторический Индекс человеческого капитала (HCI 2010–2020)</w:t>
      </w:r>
    </w:p>
    <w:p>
      <w:pPr>
        <w:pStyle w:val="Caption"/>
      </w:pPr>
      <w:r>
        <w:t>Таблица 17. Паспорт HCI</w:t>
      </w:r>
    </w:p>
    <w:tbl>
      <w:tblPr>
        <w:tblW w:type="auto" w:w="0"/>
        <w:jc w:val="center"/>
        <w:tblLayout w:type="autofit"/>
        <w:tblLook w:firstColumn="1" w:firstRow="1" w:lastColumn="0" w:lastRow="0" w:noHBand="0" w:noVBand="1" w:val="04A0"/>
      </w:tblPr>
      <w:tblGrid>
        <w:gridCol w:w="4904"/>
        <w:gridCol w:w="4904"/>
      </w:tblGrid>
      <w:tr>
        <w:trPr>
          <w:tblHeader w:val="true"/>
        </w:trPr>
        <w:tc>
          <w:tcPr>
            <w:tcW w:type="dxa" w:w="2835"/>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Параметр</w:t>
            </w:r>
          </w:p>
        </w:tc>
        <w:tc>
          <w:tcPr>
            <w:tcW w:type="dxa" w:w="6406"/>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Описание</w:t>
            </w:r>
          </w:p>
        </w:tc>
      </w:tr>
      <w:tr>
        <w:trPr>
          <w:cantSplit/>
        </w:trPr>
        <w:tc>
          <w:tcPr>
            <w:tcW w:type="dxa" w:w="28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Автор / владелец методики</w:t>
            </w:r>
          </w:p>
        </w:tc>
        <w:tc>
          <w:tcPr>
            <w:tcW w:type="dxa" w:w="6406"/>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Всемирный банк, Human Capital Project.</w:t>
            </w:r>
          </w:p>
        </w:tc>
      </w:tr>
      <w:tr>
        <w:trPr>
          <w:cantSplit/>
        </w:trPr>
        <w:tc>
          <w:tcPr>
            <w:tcW w:type="dxa" w:w="283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Назначение</w:t>
            </w:r>
          </w:p>
        </w:tc>
        <w:tc>
          <w:tcPr>
            <w:tcW w:type="dxa" w:w="6406"/>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Оценка ожидаемой продуктивности ребёнка, родившегося сегодня, относительно эталона полного здоровья и полного качественного образования.</w:t>
            </w:r>
          </w:p>
        </w:tc>
      </w:tr>
      <w:tr>
        <w:trPr>
          <w:cantSplit/>
        </w:trPr>
        <w:tc>
          <w:tcPr>
            <w:tcW w:type="dxa" w:w="28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Официальная шкала</w:t>
            </w:r>
          </w:p>
        </w:tc>
        <w:tc>
          <w:tcPr>
            <w:tcW w:type="dxa" w:w="6406"/>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0-1 official score shown on a 0-100 display scale</w:t>
            </w:r>
          </w:p>
        </w:tc>
      </w:tr>
      <w:tr>
        <w:trPr>
          <w:cantSplit/>
        </w:trPr>
        <w:tc>
          <w:tcPr>
            <w:tcW w:type="dxa" w:w="283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Период в GIR</w:t>
            </w:r>
          </w:p>
        </w:tc>
        <w:tc>
          <w:tcPr>
            <w:tcW w:type="dxa" w:w="6406"/>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2010–2020</w:t>
            </w:r>
          </w:p>
        </w:tc>
      </w:tr>
      <w:tr>
        <w:trPr>
          <w:cantSplit/>
        </w:trPr>
        <w:tc>
          <w:tcPr>
            <w:tcW w:type="dxa" w:w="28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Охват</w:t>
            </w:r>
          </w:p>
        </w:tc>
        <w:tc>
          <w:tcPr>
            <w:tcW w:type="dxa" w:w="6406"/>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172 стран; 597 оценок</w:t>
            </w:r>
          </w:p>
        </w:tc>
      </w:tr>
      <w:tr>
        <w:trPr>
          <w:cantSplit/>
        </w:trPr>
        <w:tc>
          <w:tcPr>
            <w:tcW w:type="dxa" w:w="283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Статус результата</w:t>
            </w:r>
          </w:p>
        </w:tc>
        <w:tc>
          <w:tcPr>
            <w:tcW w:type="dxa" w:w="6406"/>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Официальная историческая редакция Индекса человеческого капитала 2020</w:t>
            </w:r>
          </w:p>
        </w:tc>
      </w:tr>
      <w:tr>
        <w:trPr>
          <w:cantSplit/>
        </w:trPr>
        <w:tc>
          <w:tcPr>
            <w:tcW w:type="dxa" w:w="28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Версия методологии в реестре</w:t>
            </w:r>
          </w:p>
        </w:tc>
        <w:tc>
          <w:tcPr>
            <w:tcW w:type="dxa" w:w="6406"/>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GIIP-scientific-release-v5</w:t>
            </w:r>
          </w:p>
        </w:tc>
      </w:tr>
      <w:tr>
        <w:trPr>
          <w:cantSplit/>
        </w:trPr>
        <w:tc>
          <w:tcPr>
            <w:tcW w:type="dxa" w:w="283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Основной источник</w:t>
            </w:r>
          </w:p>
        </w:tc>
        <w:tc>
          <w:tcPr>
            <w:tcW w:type="dxa" w:w="6406"/>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https://www.worldbank.org/en/publication/human-capital</w:t>
            </w:r>
          </w:p>
        </w:tc>
      </w:tr>
      <w:tr>
        <w:trPr>
          <w:cantSplit/>
        </w:trPr>
        <w:tc>
          <w:tcPr>
            <w:tcW w:type="dxa" w:w="28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Ссылки</w:t>
            </w:r>
          </w:p>
        </w:tc>
        <w:tc>
          <w:tcPr>
            <w:tcW w:type="dxa" w:w="6406"/>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indices, index_methodology_registry, index_scores и официальные методические документы.</w:t>
      </w:r>
    </w:p>
    <w:p>
      <w:pPr>
        <w:pStyle w:val="Heading3"/>
      </w:pPr>
      <w:r>
        <w:t>Смысл и официальная методика</w:t>
      </w:r>
    </w:p>
    <w:p>
      <w:r>
        <w:rPr>
          <w:rFonts w:ascii="Noto Serif" w:hAnsi="Noto Serif" w:eastAsia="Noto Serif"/>
          <w:sz w:val="18"/>
        </w:rPr>
        <w:t>Оценка ожидаемой продуктивности ребёнка, родившегося сегодня, относительно эталона полного здоровья и полного качественного образования.</w:t>
      </w:r>
    </w:p>
    <w:tbl>
      <w:tblPr>
        <w:tblW w:type="auto" w:w="0"/>
        <w:jc w:val="center"/>
        <w:tblLook w:firstColumn="1" w:firstRow="1" w:lastColumn="0" w:lastRow="0" w:noHBand="0" w:noVBand="1" w:val="04A0"/>
      </w:tblPr>
      <w:tblGrid>
        <w:gridCol w:w="9808"/>
      </w:tblGrid>
      <w:tr>
        <w:tc>
          <w:tcPr>
            <w:tcW w:type="dxa" w:w="9808"/>
            <w:shd w:fill="F5F7F8"/>
            <w:tcMar>
              <w:top w:w="140" w:type="dxa"/>
              <w:start w:w="220" w:type="dxa"/>
              <w:bottom w:w="140" w:type="dxa"/>
              <w:end w:w="220" w:type="dxa"/>
            </w:tcMar>
            <w:tcBorders>
              <w:top w:val="single" w:sz="6" w:color="CFDCE4"/>
              <w:left w:val="single" w:sz="6" w:color="CFDCE4"/>
              <w:bottom w:val="single" w:sz="6" w:color="CFDCE4"/>
              <w:right w:val="single" w:sz="6" w:color="CFDCE4"/>
            </w:tcBorders>
          </w:tcPr>
          <w:p>
            <w:pPr>
              <w:jc w:val="center"/>
            </w:pPr>
            <w:r>
              <w:rPr>
                <w:rFonts w:ascii="Noto Sans" w:hAnsi="Noto Sans" w:eastAsia="Noto Sans"/>
                <w:b/>
                <w:color w:val="2F6B8A"/>
                <w:sz w:val="16"/>
              </w:rPr>
              <w:t>Официальная формула / структура</w:t>
            </w:r>
          </w:p>
          <w:p>
            <w:pPr>
              <w:jc w:val="center"/>
            </w:pPr>
            <w:r>
              <w:rPr>
                <w:rFonts w:ascii="DejaVu Serif" w:hAnsi="DejaVu Serif" w:eastAsia="DejaVu Serif"/>
                <w:b/>
                <w:color w:val="17324D"/>
                <w:sz w:val="22"/>
              </w:rPr>
              <w:t>Схематически: HCI = Survival × School × Health. Внутри факторов используются выживание до пяти лет, ожидаемые годы обучения, гармонизированные результаты обучения и показатели здоровья.</w:t>
            </w:r>
          </w:p>
        </w:tc>
      </w:tr>
    </w:tbl>
    <w:p>
      <w:pPr>
        <w:pStyle w:val="Heading3"/>
      </w:pPr>
      <w:r>
        <w:t>Реализация в GIR</w:t>
      </w:r>
    </w:p>
    <w:p>
      <w:r>
        <w:rPr>
          <w:rFonts w:ascii="Noto Serif" w:hAnsi="Noto Serif" w:eastAsia="Noto Serif"/>
          <w:sz w:val="18"/>
        </w:rPr>
        <w:t>В базе сохранены официальные значения 2010–2020 из API Всемирного банка и доступные официальные компоненты. Для интерфейсной диагностики четыре компонента показываются с равными визуальными весами; эти веса не являются официальной формулой HCI.</w:t>
      </w:r>
    </w:p>
    <w:p>
      <w:pPr>
        <w:pStyle w:val="Caption"/>
      </w:pPr>
      <w:r>
        <w:t>Таблица 18. Компоненты HCI в реестре GIR</w:t>
      </w:r>
    </w:p>
    <w:tbl>
      <w:tblPr>
        <w:tblW w:type="auto" w:w="0"/>
        <w:jc w:val="center"/>
        <w:tblLayout w:type="autofit"/>
        <w:tblLook w:firstColumn="1" w:firstRow="1" w:lastColumn="0" w:lastRow="0" w:noHBand="0" w:noVBand="1" w:val="04A0"/>
      </w:tblPr>
      <w:tblGrid>
        <w:gridCol w:w="2452"/>
        <w:gridCol w:w="2452"/>
        <w:gridCol w:w="2452"/>
        <w:gridCol w:w="2452"/>
      </w:tblGrid>
      <w:tr>
        <w:trPr>
          <w:tblHeader w:val="true"/>
        </w:trPr>
        <w:tc>
          <w:tcPr>
            <w:tcW w:type="dxa" w:w="175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Код</w:t>
            </w:r>
          </w:p>
        </w:tc>
        <w:tc>
          <w:tcPr>
            <w:tcW w:type="dxa" w:w="3061"/>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Название</w:t>
            </w:r>
          </w:p>
        </w:tc>
        <w:tc>
          <w:tcPr>
            <w:tcW w:type="dxa" w:w="1531"/>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Вес в представлении</w:t>
            </w:r>
          </w:p>
        </w:tc>
        <w:tc>
          <w:tcPr>
            <w:tcW w:type="dxa" w:w="2891"/>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Примечание источника</w:t>
            </w:r>
          </w:p>
        </w:tc>
      </w:tr>
      <w:tr>
        <w:trPr>
          <w:cantSplit/>
        </w:trPr>
        <w:tc>
          <w:tcPr>
            <w:tcW w:type="dxa" w:w="175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SURV</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Выживаемость</w:t>
            </w:r>
          </w:p>
        </w:tc>
        <w:tc>
          <w:tcPr>
            <w:tcW w:type="dxa" w:w="153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0,250</w:t>
            </w:r>
          </w:p>
        </w:tc>
        <w:tc>
          <w:tcPr>
            <w:tcW w:type="dxa" w:w="289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World Bank HCI survival indicators</w:t>
            </w:r>
          </w:p>
        </w:tc>
      </w:tr>
      <w:tr>
        <w:trPr>
          <w:cantSplit/>
        </w:trPr>
        <w:tc>
          <w:tcPr>
            <w:tcW w:type="dxa" w:w="175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SCHOOL</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Ожидаемые годы обучения</w:t>
            </w:r>
          </w:p>
        </w:tc>
        <w:tc>
          <w:tcPr>
            <w:tcW w:type="dxa" w:w="153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0,250</w:t>
            </w:r>
          </w:p>
        </w:tc>
        <w:tc>
          <w:tcPr>
            <w:tcW w:type="dxa" w:w="289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World Bank HCI schooling</w:t>
            </w:r>
          </w:p>
        </w:tc>
      </w:tr>
      <w:tr>
        <w:trPr>
          <w:cantSplit/>
        </w:trPr>
        <w:tc>
          <w:tcPr>
            <w:tcW w:type="dxa" w:w="175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LEARN</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Результаты обучения</w:t>
            </w:r>
          </w:p>
        </w:tc>
        <w:tc>
          <w:tcPr>
            <w:tcW w:type="dxa" w:w="153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0,250</w:t>
            </w:r>
          </w:p>
        </w:tc>
        <w:tc>
          <w:tcPr>
            <w:tcW w:type="dxa" w:w="289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World Bank HCI harmonized test scores</w:t>
            </w:r>
          </w:p>
        </w:tc>
      </w:tr>
      <w:tr>
        <w:trPr>
          <w:cantSplit/>
        </w:trPr>
        <w:tc>
          <w:tcPr>
            <w:tcW w:type="dxa" w:w="175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HEALTH</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Здоровье детей</w:t>
            </w:r>
          </w:p>
        </w:tc>
        <w:tc>
          <w:tcPr>
            <w:tcW w:type="dxa" w:w="153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0,250</w:t>
            </w:r>
          </w:p>
        </w:tc>
        <w:tc>
          <w:tcPr>
            <w:tcW w:type="dxa" w:w="289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World Bank HCI not-stunted indicator</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index_components.</w:t>
      </w:r>
    </w:p>
    <w:tbl>
      <w:tblPr>
        <w:tblW w:type="auto" w:w="0"/>
        <w:jc w:val="center"/>
        <w:tblLook w:firstColumn="1" w:firstRow="1" w:lastColumn="0" w:lastRow="0" w:noHBand="0" w:noVBand="1" w:val="04A0"/>
      </w:tblPr>
      <w:tblGrid>
        <w:gridCol w:w="9808"/>
      </w:tblGrid>
      <w:tr>
        <w:tc>
          <w:tcPr>
            <w:tcW w:type="dxa" w:w="9808"/>
            <w:shd w:fill="FCEFEF"/>
            <w:tcMar>
              <w:top w:w="120" w:type="dxa"/>
              <w:start w:w="170" w:type="dxa"/>
              <w:bottom w:w="120" w:type="dxa"/>
              <w:end w:w="170" w:type="dxa"/>
            </w:tcMar>
            <w:tcBorders>
              <w:top w:val="nil"/>
              <w:left w:val="single" w:sz="18" w:color="B5504D"/>
              <w:bottom w:val="nil"/>
              <w:right w:val="nil"/>
            </w:tcBorders>
          </w:tcPr>
          <w:p>
            <w:r>
              <w:rPr>
                <w:rFonts w:ascii="Noto Sans" w:hAnsi="Noto Sans" w:eastAsia="Noto Sans"/>
                <w:b/>
                <w:color w:val="B5504D"/>
                <w:sz w:val="18"/>
              </w:rPr>
              <w:t xml:space="preserve">Методологическое предупреждение — </w:t>
            </w:r>
            <w:r>
              <w:rPr>
                <w:rFonts w:ascii="Noto Sans" w:hAnsi="Noto Sans" w:eastAsia="Noto Sans"/>
                <w:color w:val="243746"/>
                <w:sz w:val="17"/>
              </w:rPr>
              <w:t>Модуль отражает историческую редакцию HCI 2020. До загрузки официального HCI+ 2026 он не должен называться актуальным индексом человеческого капитала 2026 года.</w:t>
            </w:r>
          </w:p>
        </w:tc>
      </w:tr>
    </w:tbl>
    <w:p>
      <w:pPr>
        <w:pStyle w:val="Heading3"/>
      </w:pPr>
      <w:r>
        <w:t>Ограничения интерпретации</w:t>
      </w:r>
    </w:p>
    <w:p>
      <w:r>
        <w:rPr>
          <w:rFonts w:ascii="Noto Serif" w:hAnsi="Noto Serif" w:eastAsia="Noto Serif"/>
          <w:sz w:val="18"/>
        </w:rPr>
        <w:t>Исторический HCI нельзя сшивать в единый временной ряд с HCI+ 2026. Изменились смысл, шкала и логика накопления человеческого капитала.</w:t>
      </w:r>
    </w:p>
    <w:tbl>
      <w:tblPr>
        <w:tblW w:type="auto" w:w="0"/>
        <w:jc w:val="center"/>
        <w:tblLook w:firstColumn="1" w:firstRow="1" w:lastColumn="0" w:lastRow="0" w:noHBand="0" w:noVBand="1" w:val="04A0"/>
      </w:tblPr>
      <w:tblGrid>
        <w:gridCol w:w="9808"/>
      </w:tblGrid>
      <w:tr>
        <w:tc>
          <w:tcPr>
            <w:tcW w:type="dxa" w:w="9808"/>
            <w:shd w:fill="FCEFEF"/>
            <w:tcMar>
              <w:top w:w="120" w:type="dxa"/>
              <w:start w:w="170" w:type="dxa"/>
              <w:bottom w:w="120" w:type="dxa"/>
              <w:end w:w="170" w:type="dxa"/>
            </w:tcMar>
            <w:tcBorders>
              <w:top w:val="nil"/>
              <w:left w:val="single" w:sz="18" w:color="B5504D"/>
              <w:bottom w:val="nil"/>
              <w:right w:val="nil"/>
            </w:tcBorders>
          </w:tcPr>
          <w:p>
            <w:r>
              <w:rPr>
                <w:rFonts w:ascii="Noto Sans" w:hAnsi="Noto Sans" w:eastAsia="Noto Sans"/>
                <w:b/>
                <w:color w:val="B5504D"/>
                <w:sz w:val="18"/>
              </w:rPr>
              <w:t xml:space="preserve">Методологический разрыв — </w:t>
            </w:r>
            <w:r>
              <w:rPr>
                <w:rFonts w:ascii="Noto Sans" w:hAnsi="Noto Sans" w:eastAsia="Noto Sans"/>
                <w:color w:val="243746"/>
                <w:sz w:val="17"/>
              </w:rPr>
              <w:t>HCI 2010–2020 сохраняется как исторический модуль. HCI+ 2026 должен иметь отдельную вкладку, отдельную шкалу и отдельный временной контекст; линия тренда через 2020–2026 недопустима.</w:t>
            </w:r>
          </w:p>
        </w:tc>
      </w:tr>
    </w:tbl>
    <w:p>
      <w:pPr>
        <w:pStyle w:val="Heading2"/>
      </w:pPr>
      <w:r>
        <w:t>9.3. Human Capital Index Plus (HCI+ 2026)</w:t>
      </w:r>
    </w:p>
    <w:p>
      <w:pPr>
        <w:pStyle w:val="Caption"/>
      </w:pPr>
      <w:r>
        <w:t>Таблица 19. Паспорт HCI_PLUS</w:t>
      </w:r>
    </w:p>
    <w:tbl>
      <w:tblPr>
        <w:tblW w:type="auto" w:w="0"/>
        <w:jc w:val="center"/>
        <w:tblLayout w:type="autofit"/>
        <w:tblLook w:firstColumn="1" w:firstRow="1" w:lastColumn="0" w:lastRow="0" w:noHBand="0" w:noVBand="1" w:val="04A0"/>
      </w:tblPr>
      <w:tblGrid>
        <w:gridCol w:w="4904"/>
        <w:gridCol w:w="4904"/>
      </w:tblGrid>
      <w:tr>
        <w:trPr>
          <w:tblHeader w:val="true"/>
        </w:trPr>
        <w:tc>
          <w:tcPr>
            <w:tcW w:type="dxa" w:w="2835"/>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Параметр</w:t>
            </w:r>
          </w:p>
        </w:tc>
        <w:tc>
          <w:tcPr>
            <w:tcW w:type="dxa" w:w="6406"/>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Описание</w:t>
            </w:r>
          </w:p>
        </w:tc>
      </w:tr>
      <w:tr>
        <w:trPr>
          <w:cantSplit/>
        </w:trPr>
        <w:tc>
          <w:tcPr>
            <w:tcW w:type="dxa" w:w="28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Автор / владелец методики</w:t>
            </w:r>
          </w:p>
        </w:tc>
        <w:tc>
          <w:tcPr>
            <w:tcW w:type="dxa" w:w="6406"/>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Всемирный банк. Авторы методологии: Benoît Decerf, Ritika D’Souza, Norbert Schady, Joana Silva, Brian William Stacy.</w:t>
            </w:r>
          </w:p>
        </w:tc>
      </w:tr>
      <w:tr>
        <w:trPr>
          <w:cantSplit/>
        </w:trPr>
        <w:tc>
          <w:tcPr>
            <w:tcW w:type="dxa" w:w="283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Назначение</w:t>
            </w:r>
          </w:p>
        </w:tc>
        <w:tc>
          <w:tcPr>
            <w:tcW w:type="dxa" w:w="6406"/>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Актуальная оценка человеческого капитала на протяжении жизненного и трудового цикла: здоровье и питание, образование, обучение на рабочем месте и занятость.</w:t>
            </w:r>
          </w:p>
        </w:tc>
      </w:tr>
      <w:tr>
        <w:trPr>
          <w:cantSplit/>
        </w:trPr>
        <w:tc>
          <w:tcPr>
            <w:tcW w:type="dxa" w:w="28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Официальная шкала</w:t>
            </w:r>
          </w:p>
        </w:tc>
        <w:tc>
          <w:tcPr>
            <w:tcW w:type="dxa" w:w="6406"/>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0-325 official score</w:t>
            </w:r>
          </w:p>
        </w:tc>
      </w:tr>
      <w:tr>
        <w:trPr>
          <w:cantSplit/>
        </w:trPr>
        <w:tc>
          <w:tcPr>
            <w:tcW w:type="dxa" w:w="283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Период в GIR</w:t>
            </w:r>
          </w:p>
        </w:tc>
        <w:tc>
          <w:tcPr>
            <w:tcW w:type="dxa" w:w="6406"/>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2026–2026</w:t>
            </w:r>
          </w:p>
        </w:tc>
      </w:tr>
      <w:tr>
        <w:trPr>
          <w:cantSplit/>
        </w:trPr>
        <w:tc>
          <w:tcPr>
            <w:tcW w:type="dxa" w:w="28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Охват</w:t>
            </w:r>
          </w:p>
        </w:tc>
        <w:tc>
          <w:tcPr>
            <w:tcW w:type="dxa" w:w="6406"/>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158 стран; 158 оценок</w:t>
            </w:r>
          </w:p>
        </w:tc>
      </w:tr>
      <w:tr>
        <w:trPr>
          <w:cantSplit/>
        </w:trPr>
        <w:tc>
          <w:tcPr>
            <w:tcW w:type="dxa" w:w="283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Статус результата</w:t>
            </w:r>
          </w:p>
        </w:tc>
        <w:tc>
          <w:tcPr>
            <w:tcW w:type="dxa" w:w="6406"/>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Официальная актуальная редакция HCI+ 2026</w:t>
            </w:r>
          </w:p>
        </w:tc>
      </w:tr>
      <w:tr>
        <w:trPr>
          <w:cantSplit/>
        </w:trPr>
        <w:tc>
          <w:tcPr>
            <w:tcW w:type="dxa" w:w="28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Версия методологии в реестре</w:t>
            </w:r>
          </w:p>
        </w:tc>
        <w:tc>
          <w:tcPr>
            <w:tcW w:type="dxa" w:w="6406"/>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world-bank-hci-plus-2026</w:t>
            </w:r>
          </w:p>
        </w:tc>
      </w:tr>
      <w:tr>
        <w:trPr>
          <w:cantSplit/>
        </w:trPr>
        <w:tc>
          <w:tcPr>
            <w:tcW w:type="dxa" w:w="283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Основной источник</w:t>
            </w:r>
          </w:p>
        </w:tc>
        <w:tc>
          <w:tcPr>
            <w:tcW w:type="dxa" w:w="6406"/>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https://humancapital.worldbank.org/en/country-briefs</w:t>
            </w:r>
          </w:p>
        </w:tc>
      </w:tr>
      <w:tr>
        <w:trPr>
          <w:cantSplit/>
        </w:trPr>
        <w:tc>
          <w:tcPr>
            <w:tcW w:type="dxa" w:w="28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Ссылки</w:t>
            </w:r>
          </w:p>
        </w:tc>
        <w:tc>
          <w:tcPr>
            <w:tcW w:type="dxa" w:w="6406"/>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[4–5]</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indices, index_methodology_registry, index_scores и официальные методические документы.</w:t>
      </w:r>
    </w:p>
    <w:p>
      <w:pPr>
        <w:pStyle w:val="Heading3"/>
      </w:pPr>
      <w:r>
        <w:t>Смысл и официальная методика</w:t>
      </w:r>
    </w:p>
    <w:p>
      <w:r>
        <w:rPr>
          <w:rFonts w:ascii="Noto Serif" w:hAnsi="Noto Serif" w:eastAsia="Noto Serif"/>
          <w:sz w:val="18"/>
        </w:rPr>
        <w:t>Актуальная оценка человеческого капитала на протяжении жизненного и трудового цикла: здоровье и питание, образование, обучение на рабочем месте и занятость.</w:t>
      </w:r>
    </w:p>
    <w:tbl>
      <w:tblPr>
        <w:tblW w:type="auto" w:w="0"/>
        <w:jc w:val="center"/>
        <w:tblLook w:firstColumn="1" w:firstRow="1" w:lastColumn="0" w:lastRow="0" w:noHBand="0" w:noVBand="1" w:val="04A0"/>
      </w:tblPr>
      <w:tblGrid>
        <w:gridCol w:w="9808"/>
      </w:tblGrid>
      <w:tr>
        <w:tc>
          <w:tcPr>
            <w:tcW w:type="dxa" w:w="9808"/>
            <w:shd w:fill="F5F7F8"/>
            <w:tcMar>
              <w:top w:w="140" w:type="dxa"/>
              <w:start w:w="220" w:type="dxa"/>
              <w:bottom w:w="140" w:type="dxa"/>
              <w:end w:w="220" w:type="dxa"/>
            </w:tcMar>
            <w:tcBorders>
              <w:top w:val="single" w:sz="6" w:color="CFDCE4"/>
              <w:left w:val="single" w:sz="6" w:color="CFDCE4"/>
              <w:bottom w:val="single" w:sz="6" w:color="CFDCE4"/>
              <w:right w:val="single" w:sz="6" w:color="CFDCE4"/>
            </w:tcBorders>
          </w:tcPr>
          <w:p>
            <w:pPr>
              <w:jc w:val="center"/>
            </w:pPr>
            <w:r>
              <w:rPr>
                <w:rFonts w:ascii="Noto Sans" w:hAnsi="Noto Sans" w:eastAsia="Noto Sans"/>
                <w:b/>
                <w:color w:val="2F6B8A"/>
                <w:sz w:val="16"/>
              </w:rPr>
              <w:t>Официальная формула / структура</w:t>
            </w:r>
          </w:p>
          <w:p>
            <w:pPr>
              <w:jc w:val="center"/>
            </w:pPr>
            <w:r>
              <w:rPr>
                <w:rFonts w:ascii="DejaVu Serif" w:hAnsi="DejaVu Serif" w:eastAsia="DejaVu Serif"/>
                <w:b/>
                <w:color w:val="17324D"/>
                <w:sz w:val="22"/>
              </w:rPr>
              <w:t>HCI+ = Health &amp; Nutrition + Education + On-the-job Learning &amp; Employment. Официальная шкала агрегата — 0–325. Пиллары аддитивны, но опубликованные округлённые значения могут не давать точную сумму.</w:t>
            </w:r>
          </w:p>
        </w:tc>
      </w:tr>
    </w:tbl>
    <w:p>
      <w:pPr>
        <w:pStyle w:val="Heading3"/>
      </w:pPr>
      <w:r>
        <w:t>Реализация в GIR</w:t>
      </w:r>
    </w:p>
    <w:p>
      <w:r>
        <w:rPr>
          <w:rFonts w:ascii="Noto Serif" w:hAnsi="Noto Serif" w:eastAsia="Noto Serif"/>
          <w:sz w:val="18"/>
        </w:rPr>
        <w:t>Платформа извлекает официальный итог и три официальных пиллара из страновых brief-файлов Всемирного банка. В архиве 159 PDF; 158 страновых строк успешно сопоставлены с ISO3, Косово не включено в основную таблицу стран.</w:t>
      </w:r>
    </w:p>
    <w:tbl>
      <w:tblPr>
        <w:tblW w:type="auto" w:w="0"/>
        <w:jc w:val="center"/>
        <w:tblLook w:firstColumn="1" w:firstRow="1" w:lastColumn="0" w:lastRow="0" w:noHBand="0" w:noVBand="1" w:val="04A0"/>
      </w:tblPr>
      <w:tblGrid>
        <w:gridCol w:w="9808"/>
      </w:tblGrid>
      <w:tr>
        <w:tc>
          <w:tcPr>
            <w:tcW w:type="dxa" w:w="9808"/>
            <w:shd w:fill="FCEFEF"/>
            <w:tcMar>
              <w:top w:w="120" w:type="dxa"/>
              <w:start w:w="170" w:type="dxa"/>
              <w:bottom w:w="120" w:type="dxa"/>
              <w:end w:w="170" w:type="dxa"/>
            </w:tcMar>
            <w:tcBorders>
              <w:top w:val="nil"/>
              <w:left w:val="single" w:sz="18" w:color="B5504D"/>
              <w:bottom w:val="nil"/>
              <w:right w:val="nil"/>
            </w:tcBorders>
          </w:tcPr>
          <w:p>
            <w:r>
              <w:rPr>
                <w:rFonts w:ascii="Noto Sans" w:hAnsi="Noto Sans" w:eastAsia="Noto Sans"/>
                <w:b/>
                <w:color w:val="B5504D"/>
                <w:sz w:val="18"/>
              </w:rPr>
              <w:t xml:space="preserve">Методологическое предупреждение — </w:t>
            </w:r>
            <w:r>
              <w:rPr>
                <w:rFonts w:ascii="Noto Sans" w:hAnsi="Noto Sans" w:eastAsia="Noto Sans"/>
                <w:color w:val="243746"/>
                <w:sz w:val="17"/>
              </w:rPr>
              <w:t>HCI+ является основной актуальной редакцией; исторический HCI 2020 показан отдельно из-за методологического разрыва.</w:t>
            </w:r>
          </w:p>
        </w:tc>
      </w:tr>
    </w:tbl>
    <w:p>
      <w:pPr>
        <w:pStyle w:val="Heading3"/>
      </w:pPr>
      <w:r>
        <w:t>Ограничения интерпретации</w:t>
      </w:r>
    </w:p>
    <w:p>
      <w:r>
        <w:rPr>
          <w:rFonts w:ascii="Noto Serif" w:hAnsi="Noto Serif" w:eastAsia="Noto Serif"/>
          <w:sz w:val="18"/>
        </w:rPr>
        <w:t>HCI+ — самостоятельная редакция, а не продолжение HCI 2020. Гендерные оценки доступны не для всех стран; любые ранги платформы являются вычисленной сортировкой официальных баллов.</w:t>
      </w:r>
    </w:p>
    <w:p>
      <w:pPr>
        <w:pStyle w:val="Heading2"/>
      </w:pPr>
      <w:r>
        <w:t>9.4. Global Talent Competitiveness Index (GTCI 2025)</w:t>
      </w:r>
    </w:p>
    <w:p>
      <w:pPr>
        <w:pStyle w:val="Caption"/>
      </w:pPr>
      <w:r>
        <w:t>Таблица 20. Паспорт GTCI</w:t>
      </w:r>
    </w:p>
    <w:tbl>
      <w:tblPr>
        <w:tblW w:type="auto" w:w="0"/>
        <w:jc w:val="center"/>
        <w:tblLayout w:type="autofit"/>
        <w:tblLook w:firstColumn="1" w:firstRow="1" w:lastColumn="0" w:lastRow="0" w:noHBand="0" w:noVBand="1" w:val="04A0"/>
      </w:tblPr>
      <w:tblGrid>
        <w:gridCol w:w="4904"/>
        <w:gridCol w:w="4904"/>
      </w:tblGrid>
      <w:tr>
        <w:trPr>
          <w:tblHeader w:val="true"/>
        </w:trPr>
        <w:tc>
          <w:tcPr>
            <w:tcW w:type="dxa" w:w="2835"/>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Параметр</w:t>
            </w:r>
          </w:p>
        </w:tc>
        <w:tc>
          <w:tcPr>
            <w:tcW w:type="dxa" w:w="6406"/>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Описание</w:t>
            </w:r>
          </w:p>
        </w:tc>
      </w:tr>
      <w:tr>
        <w:trPr>
          <w:cantSplit/>
        </w:trPr>
        <w:tc>
          <w:tcPr>
            <w:tcW w:type="dxa" w:w="28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Автор / владелец методики</w:t>
            </w:r>
          </w:p>
        </w:tc>
        <w:tc>
          <w:tcPr>
            <w:tcW w:type="dxa" w:w="6406"/>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INSEAD и Portulans Institute; редакторы выпуска 2025: Felipe Monteiro, Rafael Escalona Reynoso, Paul A. L. Evans.</w:t>
            </w:r>
          </w:p>
        </w:tc>
      </w:tr>
      <w:tr>
        <w:trPr>
          <w:cantSplit/>
        </w:trPr>
        <w:tc>
          <w:tcPr>
            <w:tcW w:type="dxa" w:w="283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Назначение</w:t>
            </w:r>
          </w:p>
        </w:tc>
        <w:tc>
          <w:tcPr>
            <w:tcW w:type="dxa" w:w="6406"/>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Сопоставление стран по способности создавать условия для талантов, привлекать, развивать и удерживать их, а также превращать таланты в профессиональные и глобальные знания.</w:t>
            </w:r>
          </w:p>
        </w:tc>
      </w:tr>
      <w:tr>
        <w:trPr>
          <w:cantSplit/>
        </w:trPr>
        <w:tc>
          <w:tcPr>
            <w:tcW w:type="dxa" w:w="28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Официальная шкала</w:t>
            </w:r>
          </w:p>
        </w:tc>
        <w:tc>
          <w:tcPr>
            <w:tcW w:type="dxa" w:w="6406"/>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0-100</w:t>
            </w:r>
          </w:p>
        </w:tc>
      </w:tr>
      <w:tr>
        <w:trPr>
          <w:cantSplit/>
        </w:trPr>
        <w:tc>
          <w:tcPr>
            <w:tcW w:type="dxa" w:w="283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Период в GIR</w:t>
            </w:r>
          </w:p>
        </w:tc>
        <w:tc>
          <w:tcPr>
            <w:tcW w:type="dxa" w:w="6406"/>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2025–2025</w:t>
            </w:r>
          </w:p>
        </w:tc>
      </w:tr>
      <w:tr>
        <w:trPr>
          <w:cantSplit/>
        </w:trPr>
        <w:tc>
          <w:tcPr>
            <w:tcW w:type="dxa" w:w="28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Охват</w:t>
            </w:r>
          </w:p>
        </w:tc>
        <w:tc>
          <w:tcPr>
            <w:tcW w:type="dxa" w:w="6406"/>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135 стран; 135 оценок</w:t>
            </w:r>
          </w:p>
        </w:tc>
      </w:tr>
      <w:tr>
        <w:trPr>
          <w:cantSplit/>
        </w:trPr>
        <w:tc>
          <w:tcPr>
            <w:tcW w:type="dxa" w:w="283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Статус результата</w:t>
            </w:r>
          </w:p>
        </w:tc>
        <w:tc>
          <w:tcPr>
            <w:tcW w:type="dxa" w:w="6406"/>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Официальный итоговый score GTCI и официальные ранги направлений; преобразованная шкала — диагностика платформы</w:t>
            </w:r>
          </w:p>
        </w:tc>
      </w:tr>
      <w:tr>
        <w:trPr>
          <w:cantSplit/>
        </w:trPr>
        <w:tc>
          <w:tcPr>
            <w:tcW w:type="dxa" w:w="28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Версия методологии в реестре</w:t>
            </w:r>
          </w:p>
        </w:tc>
        <w:tc>
          <w:tcPr>
            <w:tcW w:type="dxa" w:w="6406"/>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GIIP-scientific-release-v5</w:t>
            </w:r>
          </w:p>
        </w:tc>
      </w:tr>
      <w:tr>
        <w:trPr>
          <w:cantSplit/>
        </w:trPr>
        <w:tc>
          <w:tcPr>
            <w:tcW w:type="dxa" w:w="283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Основной источник</w:t>
            </w:r>
          </w:p>
        </w:tc>
        <w:tc>
          <w:tcPr>
            <w:tcW w:type="dxa" w:w="6406"/>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https://portulansinstitute.org/reports/</w:t>
            </w:r>
          </w:p>
        </w:tc>
      </w:tr>
      <w:tr>
        <w:trPr>
          <w:cantSplit/>
        </w:trPr>
        <w:tc>
          <w:tcPr>
            <w:tcW w:type="dxa" w:w="28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Ссылки</w:t>
            </w:r>
          </w:p>
        </w:tc>
        <w:tc>
          <w:tcPr>
            <w:tcW w:type="dxa" w:w="6406"/>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[6]</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indices, index_methodology_registry, index_scores и официальные методические документы.</w:t>
      </w:r>
    </w:p>
    <w:p>
      <w:pPr>
        <w:pStyle w:val="Heading3"/>
      </w:pPr>
      <w:r>
        <w:t>Смысл и официальная методика</w:t>
      </w:r>
    </w:p>
    <w:p>
      <w:r>
        <w:rPr>
          <w:rFonts w:ascii="Noto Serif" w:hAnsi="Noto Serif" w:eastAsia="Noto Serif"/>
          <w:sz w:val="18"/>
        </w:rPr>
        <w:t>Сопоставление стран по способности создавать условия для талантов, привлекать, развивать и удерживать их, а также превращать таланты в профессиональные и глобальные знания.</w:t>
      </w:r>
    </w:p>
    <w:tbl>
      <w:tblPr>
        <w:tblW w:type="auto" w:w="0"/>
        <w:jc w:val="center"/>
        <w:tblLook w:firstColumn="1" w:firstRow="1" w:lastColumn="0" w:lastRow="0" w:noHBand="0" w:noVBand="1" w:val="04A0"/>
      </w:tblPr>
      <w:tblGrid>
        <w:gridCol w:w="9808"/>
      </w:tblGrid>
      <w:tr>
        <w:tc>
          <w:tcPr>
            <w:tcW w:type="dxa" w:w="9808"/>
            <w:shd w:fill="F5F7F8"/>
            <w:tcMar>
              <w:top w:w="140" w:type="dxa"/>
              <w:start w:w="220" w:type="dxa"/>
              <w:bottom w:w="140" w:type="dxa"/>
              <w:end w:w="220" w:type="dxa"/>
            </w:tcMar>
            <w:tcBorders>
              <w:top w:val="single" w:sz="6" w:color="CFDCE4"/>
              <w:left w:val="single" w:sz="6" w:color="CFDCE4"/>
              <w:bottom w:val="single" w:sz="6" w:color="CFDCE4"/>
              <w:right w:val="single" w:sz="6" w:color="CFDCE4"/>
            </w:tcBorders>
          </w:tcPr>
          <w:p>
            <w:pPr>
              <w:jc w:val="center"/>
            </w:pPr>
            <w:r>
              <w:rPr>
                <w:rFonts w:ascii="Noto Sans" w:hAnsi="Noto Sans" w:eastAsia="Noto Sans"/>
                <w:b/>
                <w:color w:val="2F6B8A"/>
                <w:sz w:val="16"/>
              </w:rPr>
              <w:t>Официальная формула / структура</w:t>
            </w:r>
          </w:p>
          <w:p>
            <w:pPr>
              <w:jc w:val="center"/>
            </w:pPr>
            <w:r>
              <w:rPr>
                <w:rFonts w:ascii="DejaVu Serif" w:hAnsi="DejaVu Serif" w:eastAsia="DejaVu Serif"/>
                <w:b/>
                <w:color w:val="17324D"/>
                <w:sz w:val="22"/>
              </w:rPr>
              <w:t>Индекс построен как иерархия 77 индикаторов, 6 пилларов и двух блоков input/output. На верхнем уровне используются простые средние, но точная официальная процедура включает подготовку и нормирование каждого индикатора.</w:t>
            </w:r>
          </w:p>
        </w:tc>
      </w:tr>
    </w:tbl>
    <w:p>
      <w:pPr>
        <w:pStyle w:val="Heading3"/>
      </w:pPr>
      <w:r>
        <w:t>Реализация в GIR</w:t>
      </w:r>
    </w:p>
    <w:p>
      <w:r>
        <w:rPr>
          <w:rFonts w:ascii="Noto Serif" w:hAnsi="Noto Serif" w:eastAsia="Noto Serif"/>
          <w:sz w:val="18"/>
        </w:rPr>
        <w:t>GIR импортирует официальный итоговый score. В доступном отчёте пиллары представлены рангами; для диаграмм платформа применяет обратное преобразование R_score = (R_max − r + 1)/R_max × 100 при R_max = 135. Это диагностическая шкала, а не официальный pillar score.</w:t>
      </w:r>
    </w:p>
    <w:p>
      <w:pPr>
        <w:pStyle w:val="Caption"/>
      </w:pPr>
      <w:r>
        <w:t>Таблица 21. Компоненты GTCI в реестре GIR</w:t>
      </w:r>
    </w:p>
    <w:tbl>
      <w:tblPr>
        <w:tblW w:type="auto" w:w="0"/>
        <w:jc w:val="center"/>
        <w:tblLayout w:type="autofit"/>
        <w:tblLook w:firstColumn="1" w:firstRow="1" w:lastColumn="0" w:lastRow="0" w:noHBand="0" w:noVBand="1" w:val="04A0"/>
      </w:tblPr>
      <w:tblGrid>
        <w:gridCol w:w="2452"/>
        <w:gridCol w:w="2452"/>
        <w:gridCol w:w="2452"/>
        <w:gridCol w:w="2452"/>
      </w:tblGrid>
      <w:tr>
        <w:trPr>
          <w:tblHeader w:val="true"/>
        </w:trPr>
        <w:tc>
          <w:tcPr>
            <w:tcW w:type="dxa" w:w="175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Код</w:t>
            </w:r>
          </w:p>
        </w:tc>
        <w:tc>
          <w:tcPr>
            <w:tcW w:type="dxa" w:w="3061"/>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Название</w:t>
            </w:r>
          </w:p>
        </w:tc>
        <w:tc>
          <w:tcPr>
            <w:tcW w:type="dxa" w:w="1531"/>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Вес в представлении</w:t>
            </w:r>
          </w:p>
        </w:tc>
        <w:tc>
          <w:tcPr>
            <w:tcW w:type="dxa" w:w="2891"/>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Примечание источника</w:t>
            </w:r>
          </w:p>
        </w:tc>
      </w:tr>
      <w:tr>
        <w:trPr>
          <w:cantSplit/>
        </w:trPr>
        <w:tc>
          <w:tcPr>
            <w:tcW w:type="dxa" w:w="175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ENABLE</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Среда для талантов</w:t>
            </w:r>
          </w:p>
        </w:tc>
        <w:tc>
          <w:tcPr>
            <w:tcW w:type="dxa" w:w="153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0,167</w:t>
            </w:r>
          </w:p>
        </w:tc>
        <w:tc>
          <w:tcPr>
            <w:tcW w:type="dxa" w:w="289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GTCI model pillar</w:t>
            </w:r>
          </w:p>
        </w:tc>
      </w:tr>
      <w:tr>
        <w:trPr>
          <w:cantSplit/>
        </w:trPr>
        <w:tc>
          <w:tcPr>
            <w:tcW w:type="dxa" w:w="175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ATTRACT</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Привлечение талантов</w:t>
            </w:r>
          </w:p>
        </w:tc>
        <w:tc>
          <w:tcPr>
            <w:tcW w:type="dxa" w:w="153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0,167</w:t>
            </w:r>
          </w:p>
        </w:tc>
        <w:tc>
          <w:tcPr>
            <w:tcW w:type="dxa" w:w="289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GTCI model pillar</w:t>
            </w:r>
          </w:p>
        </w:tc>
      </w:tr>
      <w:tr>
        <w:trPr>
          <w:cantSplit/>
        </w:trPr>
        <w:tc>
          <w:tcPr>
            <w:tcW w:type="dxa" w:w="175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GROW</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Развитие талантов</w:t>
            </w:r>
          </w:p>
        </w:tc>
        <w:tc>
          <w:tcPr>
            <w:tcW w:type="dxa" w:w="153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0,167</w:t>
            </w:r>
          </w:p>
        </w:tc>
        <w:tc>
          <w:tcPr>
            <w:tcW w:type="dxa" w:w="289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GTCI model pillar</w:t>
            </w:r>
          </w:p>
        </w:tc>
      </w:tr>
      <w:tr>
        <w:trPr>
          <w:cantSplit/>
        </w:trPr>
        <w:tc>
          <w:tcPr>
            <w:tcW w:type="dxa" w:w="175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RETAIN</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Удержание талантов</w:t>
            </w:r>
          </w:p>
        </w:tc>
        <w:tc>
          <w:tcPr>
            <w:tcW w:type="dxa" w:w="153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0,167</w:t>
            </w:r>
          </w:p>
        </w:tc>
        <w:tc>
          <w:tcPr>
            <w:tcW w:type="dxa" w:w="289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GTCI model pillar</w:t>
            </w:r>
          </w:p>
        </w:tc>
      </w:tr>
      <w:tr>
        <w:trPr>
          <w:cantSplit/>
        </w:trPr>
        <w:tc>
          <w:tcPr>
            <w:tcW w:type="dxa" w:w="175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VT</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Профессионально-технические навыки</w:t>
            </w:r>
          </w:p>
        </w:tc>
        <w:tc>
          <w:tcPr>
            <w:tcW w:type="dxa" w:w="153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0,167</w:t>
            </w:r>
          </w:p>
        </w:tc>
        <w:tc>
          <w:tcPr>
            <w:tcW w:type="dxa" w:w="289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GTCI model pillar</w:t>
            </w:r>
          </w:p>
        </w:tc>
      </w:tr>
      <w:tr>
        <w:trPr>
          <w:cantSplit/>
        </w:trPr>
        <w:tc>
          <w:tcPr>
            <w:tcW w:type="dxa" w:w="175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GA</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Адаптивные навыки высокого уровня</w:t>
            </w:r>
          </w:p>
        </w:tc>
        <w:tc>
          <w:tcPr>
            <w:tcW w:type="dxa" w:w="153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0,167</w:t>
            </w:r>
          </w:p>
        </w:tc>
        <w:tc>
          <w:tcPr>
            <w:tcW w:type="dxa" w:w="289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GTCI model pillar</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index_components.</w:t>
      </w:r>
    </w:p>
    <w:tbl>
      <w:tblPr>
        <w:tblW w:type="auto" w:w="0"/>
        <w:jc w:val="center"/>
        <w:tblLook w:firstColumn="1" w:firstRow="1" w:lastColumn="0" w:lastRow="0" w:noHBand="0" w:noVBand="1" w:val="04A0"/>
      </w:tblPr>
      <w:tblGrid>
        <w:gridCol w:w="9808"/>
      </w:tblGrid>
      <w:tr>
        <w:tc>
          <w:tcPr>
            <w:tcW w:type="dxa" w:w="9808"/>
            <w:shd w:fill="FCEFEF"/>
            <w:tcMar>
              <w:top w:w="120" w:type="dxa"/>
              <w:start w:w="170" w:type="dxa"/>
              <w:bottom w:w="120" w:type="dxa"/>
              <w:end w:w="170" w:type="dxa"/>
            </w:tcMar>
            <w:tcBorders>
              <w:top w:val="nil"/>
              <w:left w:val="single" w:sz="18" w:color="B5504D"/>
              <w:bottom w:val="nil"/>
              <w:right w:val="nil"/>
            </w:tcBorders>
          </w:tcPr>
          <w:p>
            <w:r>
              <w:rPr>
                <w:rFonts w:ascii="Noto Sans" w:hAnsi="Noto Sans" w:eastAsia="Noto Sans"/>
                <w:b/>
                <w:color w:val="B5504D"/>
                <w:sz w:val="18"/>
              </w:rPr>
              <w:t xml:space="preserve">Методологическое предупреждение — </w:t>
            </w:r>
            <w:r>
              <w:rPr>
                <w:rFonts w:ascii="Noto Sans" w:hAnsi="Noto Sans" w:eastAsia="Noto Sans"/>
                <w:color w:val="243746"/>
                <w:sz w:val="17"/>
              </w:rPr>
              <w:t>Платформа не выдаёт преобразованные ранги направлений за официальный компонентный score GTCI.</w:t>
            </w:r>
          </w:p>
        </w:tc>
      </w:tr>
    </w:tbl>
    <w:p>
      <w:pPr>
        <w:pStyle w:val="Heading3"/>
      </w:pPr>
      <w:r>
        <w:t>Ограничения интерпретации</w:t>
      </w:r>
    </w:p>
    <w:p>
      <w:r>
        <w:rPr>
          <w:rFonts w:ascii="Noto Serif" w:hAnsi="Noto Serif" w:eastAsia="Noto Serif"/>
          <w:sz w:val="18"/>
        </w:rPr>
        <w:t>Преобразованные ранги нельзя интерпретировать как расстояния между странами. Платформа не пересчитывает GTCI из 77 исходных индикаторов.</w:t>
      </w:r>
    </w:p>
    <w:p>
      <w:pPr>
        <w:pStyle w:val="Heading2"/>
      </w:pPr>
      <w:r>
        <w:t>9.5. Global Innovation Index (GII)</w:t>
      </w:r>
    </w:p>
    <w:p>
      <w:pPr>
        <w:pStyle w:val="Caption"/>
      </w:pPr>
      <w:r>
        <w:t>Таблица 22. Паспорт GII</w:t>
      </w:r>
    </w:p>
    <w:tbl>
      <w:tblPr>
        <w:tblW w:type="auto" w:w="0"/>
        <w:jc w:val="center"/>
        <w:tblLayout w:type="autofit"/>
        <w:tblLook w:firstColumn="1" w:firstRow="1" w:lastColumn="0" w:lastRow="0" w:noHBand="0" w:noVBand="1" w:val="04A0"/>
      </w:tblPr>
      <w:tblGrid>
        <w:gridCol w:w="4904"/>
        <w:gridCol w:w="4904"/>
      </w:tblGrid>
      <w:tr>
        <w:trPr>
          <w:tblHeader w:val="true"/>
        </w:trPr>
        <w:tc>
          <w:tcPr>
            <w:tcW w:type="dxa" w:w="2835"/>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Параметр</w:t>
            </w:r>
          </w:p>
        </w:tc>
        <w:tc>
          <w:tcPr>
            <w:tcW w:type="dxa" w:w="6406"/>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Описание</w:t>
            </w:r>
          </w:p>
        </w:tc>
      </w:tr>
      <w:tr>
        <w:trPr>
          <w:cantSplit/>
        </w:trPr>
        <w:tc>
          <w:tcPr>
            <w:tcW w:type="dxa" w:w="28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Автор / владелец методики</w:t>
            </w:r>
          </w:p>
        </w:tc>
        <w:tc>
          <w:tcPr>
            <w:tcW w:type="dxa" w:w="6406"/>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Всемирная организация интеллектуальной собственности (WIPO) при участии партнёров выпуска.</w:t>
            </w:r>
          </w:p>
        </w:tc>
      </w:tr>
      <w:tr>
        <w:trPr>
          <w:cantSplit/>
        </w:trPr>
        <w:tc>
          <w:tcPr>
            <w:tcW w:type="dxa" w:w="283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Назначение</w:t>
            </w:r>
          </w:p>
        </w:tc>
        <w:tc>
          <w:tcPr>
            <w:tcW w:type="dxa" w:w="6406"/>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Системная оценка ресурсов инновационной деятельности и результатов, которые экономика способна из них получить.</w:t>
            </w:r>
          </w:p>
        </w:tc>
      </w:tr>
      <w:tr>
        <w:trPr>
          <w:cantSplit/>
        </w:trPr>
        <w:tc>
          <w:tcPr>
            <w:tcW w:type="dxa" w:w="28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Официальная шкала</w:t>
            </w:r>
          </w:p>
        </w:tc>
        <w:tc>
          <w:tcPr>
            <w:tcW w:type="dxa" w:w="6406"/>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0-100</w:t>
            </w:r>
          </w:p>
        </w:tc>
      </w:tr>
      <w:tr>
        <w:trPr>
          <w:cantSplit/>
        </w:trPr>
        <w:tc>
          <w:tcPr>
            <w:tcW w:type="dxa" w:w="283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Период в GIR</w:t>
            </w:r>
          </w:p>
        </w:tc>
        <w:tc>
          <w:tcPr>
            <w:tcW w:type="dxa" w:w="6406"/>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2022–2025</w:t>
            </w:r>
          </w:p>
        </w:tc>
      </w:tr>
      <w:tr>
        <w:trPr>
          <w:cantSplit/>
        </w:trPr>
        <w:tc>
          <w:tcPr>
            <w:tcW w:type="dxa" w:w="28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Охват</w:t>
            </w:r>
          </w:p>
        </w:tc>
        <w:tc>
          <w:tcPr>
            <w:tcW w:type="dxa" w:w="6406"/>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141 стран; 536 оценок</w:t>
            </w:r>
          </w:p>
        </w:tc>
      </w:tr>
      <w:tr>
        <w:trPr>
          <w:cantSplit/>
        </w:trPr>
        <w:tc>
          <w:tcPr>
            <w:tcW w:type="dxa" w:w="283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Статус результата</w:t>
            </w:r>
          </w:p>
        </w:tc>
        <w:tc>
          <w:tcPr>
            <w:tcW w:type="dxa" w:w="6406"/>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Официальный score и официальные pillar scores Глобального инновационного индекса</w:t>
            </w:r>
          </w:p>
        </w:tc>
      </w:tr>
      <w:tr>
        <w:trPr>
          <w:cantSplit/>
        </w:trPr>
        <w:tc>
          <w:tcPr>
            <w:tcW w:type="dxa" w:w="28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Версия методологии в реестре</w:t>
            </w:r>
          </w:p>
        </w:tc>
        <w:tc>
          <w:tcPr>
            <w:tcW w:type="dxa" w:w="6406"/>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GIIP-scientific-release-v5</w:t>
            </w:r>
          </w:p>
        </w:tc>
      </w:tr>
      <w:tr>
        <w:trPr>
          <w:cantSplit/>
        </w:trPr>
        <w:tc>
          <w:tcPr>
            <w:tcW w:type="dxa" w:w="283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Основной источник</w:t>
            </w:r>
          </w:p>
        </w:tc>
        <w:tc>
          <w:tcPr>
            <w:tcW w:type="dxa" w:w="6406"/>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https://www.wipo.int/global_innovation_index/en/</w:t>
            </w:r>
          </w:p>
        </w:tc>
      </w:tr>
      <w:tr>
        <w:trPr>
          <w:cantSplit/>
        </w:trPr>
        <w:tc>
          <w:tcPr>
            <w:tcW w:type="dxa" w:w="28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Ссылки</w:t>
            </w:r>
          </w:p>
        </w:tc>
        <w:tc>
          <w:tcPr>
            <w:tcW w:type="dxa" w:w="6406"/>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[7–8]</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indices, index_methodology_registry, index_scores и официальные методические документы.</w:t>
      </w:r>
    </w:p>
    <w:p>
      <w:pPr>
        <w:pStyle w:val="Heading3"/>
      </w:pPr>
      <w:r>
        <w:t>Смысл и официальная методика</w:t>
      </w:r>
    </w:p>
    <w:p>
      <w:r>
        <w:rPr>
          <w:rFonts w:ascii="Noto Serif" w:hAnsi="Noto Serif" w:eastAsia="Noto Serif"/>
          <w:sz w:val="18"/>
        </w:rPr>
        <w:t>Системная оценка ресурсов инновационной деятельности и результатов, которые экономика способна из них получить.</w:t>
      </w:r>
    </w:p>
    <w:tbl>
      <w:tblPr>
        <w:tblW w:type="auto" w:w="0"/>
        <w:jc w:val="center"/>
        <w:tblLook w:firstColumn="1" w:firstRow="1" w:lastColumn="0" w:lastRow="0" w:noHBand="0" w:noVBand="1" w:val="04A0"/>
      </w:tblPr>
      <w:tblGrid>
        <w:gridCol w:w="9808"/>
      </w:tblGrid>
      <w:tr>
        <w:tc>
          <w:tcPr>
            <w:tcW w:type="dxa" w:w="9808"/>
            <w:shd w:fill="F5F7F8"/>
            <w:tcMar>
              <w:top w:w="140" w:type="dxa"/>
              <w:start w:w="220" w:type="dxa"/>
              <w:bottom w:w="140" w:type="dxa"/>
              <w:end w:w="220" w:type="dxa"/>
            </w:tcMar>
            <w:tcBorders>
              <w:top w:val="single" w:sz="6" w:color="CFDCE4"/>
              <w:left w:val="single" w:sz="6" w:color="CFDCE4"/>
              <w:bottom w:val="single" w:sz="6" w:color="CFDCE4"/>
              <w:right w:val="single" w:sz="6" w:color="CFDCE4"/>
            </w:tcBorders>
          </w:tcPr>
          <w:p>
            <w:pPr>
              <w:jc w:val="center"/>
            </w:pPr>
            <w:r>
              <w:rPr>
                <w:rFonts w:ascii="Noto Sans" w:hAnsi="Noto Sans" w:eastAsia="Noto Sans"/>
                <w:b/>
                <w:color w:val="2F6B8A"/>
                <w:sz w:val="16"/>
              </w:rPr>
              <w:t>Официальная формула / структура</w:t>
            </w:r>
          </w:p>
          <w:p>
            <w:pPr>
              <w:jc w:val="center"/>
            </w:pPr>
            <w:r>
              <w:rPr>
                <w:rFonts w:ascii="DejaVu Serif" w:hAnsi="DejaVu Serif" w:eastAsia="DejaVu Serif"/>
                <w:b/>
                <w:color w:val="17324D"/>
                <w:sz w:val="22"/>
              </w:rPr>
              <w:t>Innovation Input Sub-index = среднее пяти входных пилларов; Innovation Output Sub-index = среднее двух выходных пилларов; GII = среднее Input и Output. В 2025 г. структура включает 7 пилларов, 21 субпиллар и 78 индикаторов.</w:t>
            </w:r>
          </w:p>
        </w:tc>
      </w:tr>
    </w:tbl>
    <w:p>
      <w:pPr>
        <w:pStyle w:val="Heading3"/>
      </w:pPr>
      <w:r>
        <w:t>Реализация в GIR</w:t>
      </w:r>
    </w:p>
    <w:p>
      <w:r>
        <w:rPr>
          <w:rFonts w:ascii="Noto Serif" w:hAnsi="Noto Serif" w:eastAsia="Noto Serif"/>
          <w:sz w:val="18"/>
        </w:rPr>
        <w:t>Платформа импортирует официальный итоговый балл и официальные баллы семи пилларов за 2022–2025 гг. Равные веса, используемые для некоторых интерфейсных представлений, не подменяют полную методологию WIPO.</w:t>
      </w:r>
    </w:p>
    <w:p>
      <w:pPr>
        <w:pStyle w:val="Caption"/>
      </w:pPr>
      <w:r>
        <w:t>Таблица 23. Компоненты GII в реестре GIR</w:t>
      </w:r>
    </w:p>
    <w:tbl>
      <w:tblPr>
        <w:tblW w:type="auto" w:w="0"/>
        <w:jc w:val="center"/>
        <w:tblLayout w:type="autofit"/>
        <w:tblLook w:firstColumn="1" w:firstRow="1" w:lastColumn="0" w:lastRow="0" w:noHBand="0" w:noVBand="1" w:val="04A0"/>
      </w:tblPr>
      <w:tblGrid>
        <w:gridCol w:w="2452"/>
        <w:gridCol w:w="2452"/>
        <w:gridCol w:w="2452"/>
        <w:gridCol w:w="2452"/>
      </w:tblGrid>
      <w:tr>
        <w:trPr>
          <w:tblHeader w:val="true"/>
        </w:trPr>
        <w:tc>
          <w:tcPr>
            <w:tcW w:type="dxa" w:w="175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Код</w:t>
            </w:r>
          </w:p>
        </w:tc>
        <w:tc>
          <w:tcPr>
            <w:tcW w:type="dxa" w:w="3061"/>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Название</w:t>
            </w:r>
          </w:p>
        </w:tc>
        <w:tc>
          <w:tcPr>
            <w:tcW w:type="dxa" w:w="1531"/>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Вес в представлении</w:t>
            </w:r>
          </w:p>
        </w:tc>
        <w:tc>
          <w:tcPr>
            <w:tcW w:type="dxa" w:w="2891"/>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Примечание источника</w:t>
            </w:r>
          </w:p>
        </w:tc>
      </w:tr>
      <w:tr>
        <w:trPr>
          <w:cantSplit/>
        </w:trPr>
        <w:tc>
          <w:tcPr>
            <w:tcW w:type="dxa" w:w="175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INST</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Институты</w:t>
            </w:r>
          </w:p>
        </w:tc>
        <w:tc>
          <w:tcPr>
            <w:tcW w:type="dxa" w:w="153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0,143</w:t>
            </w:r>
          </w:p>
        </w:tc>
        <w:tc>
          <w:tcPr>
            <w:tcW w:type="dxa" w:w="289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WIPO pillar score</w:t>
            </w:r>
          </w:p>
        </w:tc>
      </w:tr>
      <w:tr>
        <w:trPr>
          <w:cantSplit/>
        </w:trPr>
        <w:tc>
          <w:tcPr>
            <w:tcW w:type="dxa" w:w="175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HCR</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Человеческий капитал и исследования</w:t>
            </w:r>
          </w:p>
        </w:tc>
        <w:tc>
          <w:tcPr>
            <w:tcW w:type="dxa" w:w="153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0,143</w:t>
            </w:r>
          </w:p>
        </w:tc>
        <w:tc>
          <w:tcPr>
            <w:tcW w:type="dxa" w:w="289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WIPO pillar score</w:t>
            </w:r>
          </w:p>
        </w:tc>
      </w:tr>
      <w:tr>
        <w:trPr>
          <w:cantSplit/>
        </w:trPr>
        <w:tc>
          <w:tcPr>
            <w:tcW w:type="dxa" w:w="175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INFRA</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Инфраструктура</w:t>
            </w:r>
          </w:p>
        </w:tc>
        <w:tc>
          <w:tcPr>
            <w:tcW w:type="dxa" w:w="153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0,143</w:t>
            </w:r>
          </w:p>
        </w:tc>
        <w:tc>
          <w:tcPr>
            <w:tcW w:type="dxa" w:w="289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WIPO pillar score</w:t>
            </w:r>
          </w:p>
        </w:tc>
      </w:tr>
      <w:tr>
        <w:trPr>
          <w:cantSplit/>
        </w:trPr>
        <w:tc>
          <w:tcPr>
            <w:tcW w:type="dxa" w:w="175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MARKET</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Развитость рынков</w:t>
            </w:r>
          </w:p>
        </w:tc>
        <w:tc>
          <w:tcPr>
            <w:tcW w:type="dxa" w:w="153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0,143</w:t>
            </w:r>
          </w:p>
        </w:tc>
        <w:tc>
          <w:tcPr>
            <w:tcW w:type="dxa" w:w="289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WIPO pillar score</w:t>
            </w:r>
          </w:p>
        </w:tc>
      </w:tr>
      <w:tr>
        <w:trPr>
          <w:cantSplit/>
        </w:trPr>
        <w:tc>
          <w:tcPr>
            <w:tcW w:type="dxa" w:w="175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BUS</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Развитость бизнеса</w:t>
            </w:r>
          </w:p>
        </w:tc>
        <w:tc>
          <w:tcPr>
            <w:tcW w:type="dxa" w:w="153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0,143</w:t>
            </w:r>
          </w:p>
        </w:tc>
        <w:tc>
          <w:tcPr>
            <w:tcW w:type="dxa" w:w="289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WIPO pillar score</w:t>
            </w:r>
          </w:p>
        </w:tc>
      </w:tr>
      <w:tr>
        <w:trPr>
          <w:cantSplit/>
        </w:trPr>
        <w:tc>
          <w:tcPr>
            <w:tcW w:type="dxa" w:w="175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KTO</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Знания и технологии: результаты</w:t>
            </w:r>
          </w:p>
        </w:tc>
        <w:tc>
          <w:tcPr>
            <w:tcW w:type="dxa" w:w="153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0,143</w:t>
            </w:r>
          </w:p>
        </w:tc>
        <w:tc>
          <w:tcPr>
            <w:tcW w:type="dxa" w:w="289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WIPO pillar score</w:t>
            </w:r>
          </w:p>
        </w:tc>
      </w:tr>
      <w:tr>
        <w:trPr>
          <w:cantSplit/>
        </w:trPr>
        <w:tc>
          <w:tcPr>
            <w:tcW w:type="dxa" w:w="175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CRE</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Креативные результаты</w:t>
            </w:r>
          </w:p>
        </w:tc>
        <w:tc>
          <w:tcPr>
            <w:tcW w:type="dxa" w:w="153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0,143</w:t>
            </w:r>
          </w:p>
        </w:tc>
        <w:tc>
          <w:tcPr>
            <w:tcW w:type="dxa" w:w="289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WIPO pillar score</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index_components.</w:t>
      </w:r>
    </w:p>
    <w:tbl>
      <w:tblPr>
        <w:tblW w:type="auto" w:w="0"/>
        <w:jc w:val="center"/>
        <w:tblLook w:firstColumn="1" w:firstRow="1" w:lastColumn="0" w:lastRow="0" w:noHBand="0" w:noVBand="1" w:val="04A0"/>
      </w:tblPr>
      <w:tblGrid>
        <w:gridCol w:w="9808"/>
      </w:tblGrid>
      <w:tr>
        <w:tc>
          <w:tcPr>
            <w:tcW w:type="dxa" w:w="9808"/>
            <w:shd w:fill="FCEFEF"/>
            <w:tcMar>
              <w:top w:w="120" w:type="dxa"/>
              <w:start w:w="170" w:type="dxa"/>
              <w:bottom w:w="120" w:type="dxa"/>
              <w:end w:w="170" w:type="dxa"/>
            </w:tcMar>
            <w:tcBorders>
              <w:top w:val="nil"/>
              <w:left w:val="single" w:sz="18" w:color="B5504D"/>
              <w:bottom w:val="nil"/>
              <w:right w:val="nil"/>
            </w:tcBorders>
          </w:tcPr>
          <w:p>
            <w:r>
              <w:rPr>
                <w:rFonts w:ascii="Noto Sans" w:hAnsi="Noto Sans" w:eastAsia="Noto Sans"/>
                <w:b/>
                <w:color w:val="B5504D"/>
                <w:sz w:val="18"/>
              </w:rPr>
              <w:t xml:space="preserve">Методологическое предупреждение — </w:t>
            </w:r>
            <w:r>
              <w:rPr>
                <w:rFonts w:ascii="Noto Sans" w:hAnsi="Noto Sans" w:eastAsia="Noto Sans"/>
                <w:color w:val="243746"/>
                <w:sz w:val="17"/>
              </w:rPr>
              <w:t>Платформа не пересчитывает официальный GII и не интерпретирует равные веса визуальных блоков как официальную формулу WIPO.</w:t>
            </w:r>
          </w:p>
        </w:tc>
      </w:tr>
    </w:tbl>
    <w:p>
      <w:pPr>
        <w:pStyle w:val="Heading3"/>
      </w:pPr>
      <w:r>
        <w:t>Ограничения интерпретации</w:t>
      </w:r>
    </w:p>
    <w:p>
      <w:r>
        <w:rPr>
          <w:rFonts w:ascii="Noto Serif" w:hAnsi="Noto Serif" w:eastAsia="Noto Serif"/>
          <w:sz w:val="18"/>
        </w:rPr>
        <w:t>Состав индикаторов и доступность экономик меняются по выпускам. Сопоставление во времени требует проверки методических изменений и пересчётов источника.</w:t>
      </w:r>
    </w:p>
    <w:p>
      <w:pPr>
        <w:pStyle w:val="Heading2"/>
      </w:pPr>
      <w:r>
        <w:t>9.6. ICT Development Index (IDI)</w:t>
      </w:r>
    </w:p>
    <w:p>
      <w:pPr>
        <w:pStyle w:val="Caption"/>
      </w:pPr>
      <w:r>
        <w:t>Таблица 24. Паспорт IDI</w:t>
      </w:r>
    </w:p>
    <w:tbl>
      <w:tblPr>
        <w:tblW w:type="auto" w:w="0"/>
        <w:jc w:val="center"/>
        <w:tblLayout w:type="autofit"/>
        <w:tblLook w:firstColumn="1" w:firstRow="1" w:lastColumn="0" w:lastRow="0" w:noHBand="0" w:noVBand="1" w:val="04A0"/>
      </w:tblPr>
      <w:tblGrid>
        <w:gridCol w:w="4904"/>
        <w:gridCol w:w="4904"/>
      </w:tblGrid>
      <w:tr>
        <w:trPr>
          <w:tblHeader w:val="true"/>
        </w:trPr>
        <w:tc>
          <w:tcPr>
            <w:tcW w:type="dxa" w:w="2835"/>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Параметр</w:t>
            </w:r>
          </w:p>
        </w:tc>
        <w:tc>
          <w:tcPr>
            <w:tcW w:type="dxa" w:w="6406"/>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Описание</w:t>
            </w:r>
          </w:p>
        </w:tc>
      </w:tr>
      <w:tr>
        <w:trPr>
          <w:cantSplit/>
        </w:trPr>
        <w:tc>
          <w:tcPr>
            <w:tcW w:type="dxa" w:w="28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Автор / владелец методики</w:t>
            </w:r>
          </w:p>
        </w:tc>
        <w:tc>
          <w:tcPr>
            <w:tcW w:type="dxa" w:w="6406"/>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Международный союз электросвязи (ITU).</w:t>
            </w:r>
          </w:p>
        </w:tc>
      </w:tr>
      <w:tr>
        <w:trPr>
          <w:cantSplit/>
        </w:trPr>
        <w:tc>
          <w:tcPr>
            <w:tcW w:type="dxa" w:w="283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Назначение</w:t>
            </w:r>
          </w:p>
        </w:tc>
        <w:tc>
          <w:tcPr>
            <w:tcW w:type="dxa" w:w="6406"/>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Измерение универсальной и значимой цифровой связанности: наличия доступа и фактического качества/доступности использования.</w:t>
            </w:r>
          </w:p>
        </w:tc>
      </w:tr>
      <w:tr>
        <w:trPr>
          <w:cantSplit/>
        </w:trPr>
        <w:tc>
          <w:tcPr>
            <w:tcW w:type="dxa" w:w="28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Официальная шкала</w:t>
            </w:r>
          </w:p>
        </w:tc>
        <w:tc>
          <w:tcPr>
            <w:tcW w:type="dxa" w:w="6406"/>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0-100</w:t>
            </w:r>
          </w:p>
        </w:tc>
      </w:tr>
      <w:tr>
        <w:trPr>
          <w:cantSplit/>
        </w:trPr>
        <w:tc>
          <w:tcPr>
            <w:tcW w:type="dxa" w:w="283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Период в GIR</w:t>
            </w:r>
          </w:p>
        </w:tc>
        <w:tc>
          <w:tcPr>
            <w:tcW w:type="dxa" w:w="6406"/>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2023–2025</w:t>
            </w:r>
          </w:p>
        </w:tc>
      </w:tr>
      <w:tr>
        <w:trPr>
          <w:cantSplit/>
        </w:trPr>
        <w:tc>
          <w:tcPr>
            <w:tcW w:type="dxa" w:w="28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Охват</w:t>
            </w:r>
          </w:p>
        </w:tc>
        <w:tc>
          <w:tcPr>
            <w:tcW w:type="dxa" w:w="6406"/>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175 стран; 503 оценок</w:t>
            </w:r>
          </w:p>
        </w:tc>
      </w:tr>
      <w:tr>
        <w:trPr>
          <w:cantSplit/>
        </w:trPr>
        <w:tc>
          <w:tcPr>
            <w:tcW w:type="dxa" w:w="283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Статус результата</w:t>
            </w:r>
          </w:p>
        </w:tc>
        <w:tc>
          <w:tcPr>
            <w:tcW w:type="dxa" w:w="6406"/>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Официальный Индекс развития ИКТ ITU</w:t>
            </w:r>
          </w:p>
        </w:tc>
      </w:tr>
      <w:tr>
        <w:trPr>
          <w:cantSplit/>
        </w:trPr>
        <w:tc>
          <w:tcPr>
            <w:tcW w:type="dxa" w:w="28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Версия методологии в реестре</w:t>
            </w:r>
          </w:p>
        </w:tc>
        <w:tc>
          <w:tcPr>
            <w:tcW w:type="dxa" w:w="6406"/>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GIIP-scientific-release-v5</w:t>
            </w:r>
          </w:p>
        </w:tc>
      </w:tr>
      <w:tr>
        <w:trPr>
          <w:cantSplit/>
        </w:trPr>
        <w:tc>
          <w:tcPr>
            <w:tcW w:type="dxa" w:w="283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Основной источник</w:t>
            </w:r>
          </w:p>
        </w:tc>
        <w:tc>
          <w:tcPr>
            <w:tcW w:type="dxa" w:w="6406"/>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https://www.itu.int/itu-d/reports/statistics/idi2025/</w:t>
            </w:r>
          </w:p>
        </w:tc>
      </w:tr>
      <w:tr>
        <w:trPr>
          <w:cantSplit/>
        </w:trPr>
        <w:tc>
          <w:tcPr>
            <w:tcW w:type="dxa" w:w="28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Ссылки</w:t>
            </w:r>
          </w:p>
        </w:tc>
        <w:tc>
          <w:tcPr>
            <w:tcW w:type="dxa" w:w="6406"/>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[9–10]</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indices, index_methodology_registry, index_scores и официальные методические документы.</w:t>
      </w:r>
    </w:p>
    <w:p>
      <w:pPr>
        <w:pStyle w:val="Heading3"/>
      </w:pPr>
      <w:r>
        <w:t>Смысл и официальная методика</w:t>
      </w:r>
    </w:p>
    <w:p>
      <w:r>
        <w:rPr>
          <w:rFonts w:ascii="Noto Serif" w:hAnsi="Noto Serif" w:eastAsia="Noto Serif"/>
          <w:sz w:val="18"/>
        </w:rPr>
        <w:t>Измерение универсальной и значимой цифровой связанности: наличия доступа и фактического качества/доступности использования.</w:t>
      </w:r>
    </w:p>
    <w:tbl>
      <w:tblPr>
        <w:tblW w:type="auto" w:w="0"/>
        <w:jc w:val="center"/>
        <w:tblLook w:firstColumn="1" w:firstRow="1" w:lastColumn="0" w:lastRow="0" w:noHBand="0" w:noVBand="1" w:val="04A0"/>
      </w:tblPr>
      <w:tblGrid>
        <w:gridCol w:w="9808"/>
      </w:tblGrid>
      <w:tr>
        <w:tc>
          <w:tcPr>
            <w:tcW w:type="dxa" w:w="9808"/>
            <w:shd w:fill="F5F7F8"/>
            <w:tcMar>
              <w:top w:w="140" w:type="dxa"/>
              <w:start w:w="220" w:type="dxa"/>
              <w:bottom w:w="140" w:type="dxa"/>
              <w:end w:w="220" w:type="dxa"/>
            </w:tcMar>
            <w:tcBorders>
              <w:top w:val="single" w:sz="6" w:color="CFDCE4"/>
              <w:left w:val="single" w:sz="6" w:color="CFDCE4"/>
              <w:bottom w:val="single" w:sz="6" w:color="CFDCE4"/>
              <w:right w:val="single" w:sz="6" w:color="CFDCE4"/>
            </w:tcBorders>
          </w:tcPr>
          <w:p>
            <w:pPr>
              <w:jc w:val="center"/>
            </w:pPr>
            <w:r>
              <w:rPr>
                <w:rFonts w:ascii="Noto Sans" w:hAnsi="Noto Sans" w:eastAsia="Noto Sans"/>
                <w:b/>
                <w:color w:val="2F6B8A"/>
                <w:sz w:val="16"/>
              </w:rPr>
              <w:t>Официальная формула / структура</w:t>
            </w:r>
          </w:p>
          <w:p>
            <w:pPr>
              <w:jc w:val="center"/>
            </w:pPr>
            <w:r>
              <w:rPr>
                <w:rFonts w:ascii="DejaVu Serif" w:hAnsi="DejaVu Serif" w:eastAsia="DejaVu Serif"/>
                <w:b/>
                <w:color w:val="17324D"/>
                <w:sz w:val="22"/>
              </w:rPr>
              <w:t>IDI = (Universal Connectivity + Meaningful Connectivity)/2. Внутри иерархии применяются равные веса; исходные показатели min–max нормируются, affordability инвертируется, internet traffic логарифмируется, 3G/4G покрытие объединяется с весами 0,4/0,6.</w:t>
            </w:r>
          </w:p>
        </w:tc>
      </w:tr>
    </w:tbl>
    <w:p>
      <w:pPr>
        <w:pStyle w:val="Heading3"/>
      </w:pPr>
      <w:r>
        <w:t>Реализация в GIR</w:t>
      </w:r>
    </w:p>
    <w:p>
      <w:r>
        <w:rPr>
          <w:rFonts w:ascii="Noto Serif" w:hAnsi="Noto Serif" w:eastAsia="Noto Serif"/>
          <w:sz w:val="18"/>
        </w:rPr>
        <w:t>В релизной базе находится официальный набор ITU 2025 и ряды 2023–2025. ACCESS и MEANING соответствуют официальным пилларам; USE — диагностический блок GIR. ITU не публикует официальный рейтинг, поэтому места в GIR вычисляются сортировкой официальных баллов.</w:t>
      </w:r>
    </w:p>
    <w:p>
      <w:pPr>
        <w:pStyle w:val="Caption"/>
      </w:pPr>
      <w:r>
        <w:t>Таблица 25. Компоненты IDI в реестре GIR</w:t>
      </w:r>
    </w:p>
    <w:tbl>
      <w:tblPr>
        <w:tblW w:type="auto" w:w="0"/>
        <w:jc w:val="center"/>
        <w:tblLayout w:type="autofit"/>
        <w:tblLook w:firstColumn="1" w:firstRow="1" w:lastColumn="0" w:lastRow="0" w:noHBand="0" w:noVBand="1" w:val="04A0"/>
      </w:tblPr>
      <w:tblGrid>
        <w:gridCol w:w="2452"/>
        <w:gridCol w:w="2452"/>
        <w:gridCol w:w="2452"/>
        <w:gridCol w:w="2452"/>
      </w:tblGrid>
      <w:tr>
        <w:trPr>
          <w:tblHeader w:val="true"/>
        </w:trPr>
        <w:tc>
          <w:tcPr>
            <w:tcW w:type="dxa" w:w="175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Код</w:t>
            </w:r>
          </w:p>
        </w:tc>
        <w:tc>
          <w:tcPr>
            <w:tcW w:type="dxa" w:w="3061"/>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Название</w:t>
            </w:r>
          </w:p>
        </w:tc>
        <w:tc>
          <w:tcPr>
            <w:tcW w:type="dxa" w:w="1531"/>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Вес в представлении</w:t>
            </w:r>
          </w:p>
        </w:tc>
        <w:tc>
          <w:tcPr>
            <w:tcW w:type="dxa" w:w="2891"/>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Примечание источника</w:t>
            </w:r>
          </w:p>
        </w:tc>
      </w:tr>
      <w:tr>
        <w:trPr>
          <w:cantSplit/>
        </w:trPr>
        <w:tc>
          <w:tcPr>
            <w:tcW w:type="dxa" w:w="175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ACCESS</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Универсальная связность</w:t>
            </w:r>
          </w:p>
        </w:tc>
        <w:tc>
          <w:tcPr>
            <w:tcW w:type="dxa" w:w="153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0,400</w:t>
            </w:r>
          </w:p>
        </w:tc>
        <w:tc>
          <w:tcPr>
            <w:tcW w:type="dxa" w:w="289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ITU pillar score</w:t>
            </w:r>
          </w:p>
        </w:tc>
      </w:tr>
      <w:tr>
        <w:trPr>
          <w:cantSplit/>
        </w:trPr>
        <w:tc>
          <w:tcPr>
            <w:tcW w:type="dxa" w:w="175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USE</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Использование ИКТ</w:t>
            </w:r>
          </w:p>
        </w:tc>
        <w:tc>
          <w:tcPr>
            <w:tcW w:type="dxa" w:w="153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0,200</w:t>
            </w:r>
          </w:p>
        </w:tc>
        <w:tc>
          <w:tcPr>
            <w:tcW w:type="dxa" w:w="289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ITU normalized use indicators</w:t>
            </w:r>
          </w:p>
        </w:tc>
      </w:tr>
      <w:tr>
        <w:trPr>
          <w:cantSplit/>
        </w:trPr>
        <w:tc>
          <w:tcPr>
            <w:tcW w:type="dxa" w:w="175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MEANING</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Качество значимой связности</w:t>
            </w:r>
          </w:p>
        </w:tc>
        <w:tc>
          <w:tcPr>
            <w:tcW w:type="dxa" w:w="153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0,400</w:t>
            </w:r>
          </w:p>
        </w:tc>
        <w:tc>
          <w:tcPr>
            <w:tcW w:type="dxa" w:w="289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ITU pillar score</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index_components.</w:t>
      </w:r>
    </w:p>
    <w:tbl>
      <w:tblPr>
        <w:tblW w:type="auto" w:w="0"/>
        <w:jc w:val="center"/>
        <w:tblLook w:firstColumn="1" w:firstRow="1" w:lastColumn="0" w:lastRow="0" w:noHBand="0" w:noVBand="1" w:val="04A0"/>
      </w:tblPr>
      <w:tblGrid>
        <w:gridCol w:w="9808"/>
      </w:tblGrid>
      <w:tr>
        <w:tc>
          <w:tcPr>
            <w:tcW w:type="dxa" w:w="9808"/>
            <w:shd w:fill="FCEFEF"/>
            <w:tcMar>
              <w:top w:w="120" w:type="dxa"/>
              <w:start w:w="170" w:type="dxa"/>
              <w:bottom w:w="120" w:type="dxa"/>
              <w:end w:w="170" w:type="dxa"/>
            </w:tcMar>
            <w:tcBorders>
              <w:top w:val="nil"/>
              <w:left w:val="single" w:sz="18" w:color="B5504D"/>
              <w:bottom w:val="nil"/>
              <w:right w:val="nil"/>
            </w:tcBorders>
          </w:tcPr>
          <w:p>
            <w:r>
              <w:rPr>
                <w:rFonts w:ascii="Noto Sans" w:hAnsi="Noto Sans" w:eastAsia="Noto Sans"/>
                <w:b/>
                <w:color w:val="B5504D"/>
                <w:sz w:val="18"/>
              </w:rPr>
              <w:t xml:space="preserve">Методологическое предупреждение — </w:t>
            </w:r>
            <w:r>
              <w:rPr>
                <w:rFonts w:ascii="Noto Sans" w:hAnsi="Noto Sans" w:eastAsia="Noto Sans"/>
                <w:color w:val="243746"/>
                <w:sz w:val="17"/>
              </w:rPr>
              <w:t>Фактический год и редакция IDI показываются рядом со значением.</w:t>
            </w:r>
          </w:p>
        </w:tc>
      </w:tr>
    </w:tbl>
    <w:p>
      <w:pPr>
        <w:pStyle w:val="Heading3"/>
      </w:pPr>
      <w:r>
        <w:t>Ограничения интерпретации</w:t>
      </w:r>
    </w:p>
    <w:p>
      <w:r>
        <w:rPr>
          <w:rFonts w:ascii="Noto Serif" w:hAnsi="Noto Serif" w:eastAsia="Noto Serif"/>
          <w:sz w:val="18"/>
        </w:rPr>
        <w:t>К июлю 2026 г. опубликована редакция IDI 2026 для 159 экономик, но текущая сборка всё ещё основана на наборе 2025; это приоритетное обновление данных.</w:t>
      </w:r>
    </w:p>
    <w:tbl>
      <w:tblPr>
        <w:tblW w:type="auto" w:w="0"/>
        <w:jc w:val="center"/>
        <w:tblLook w:firstColumn="1" w:firstRow="1" w:lastColumn="0" w:lastRow="0" w:noHBand="0" w:noVBand="1" w:val="04A0"/>
      </w:tblPr>
      <w:tblGrid>
        <w:gridCol w:w="9808"/>
      </w:tblGrid>
      <w:tr>
        <w:tc>
          <w:tcPr>
            <w:tcW w:type="dxa" w:w="9808"/>
            <w:shd w:fill="F7F2E8"/>
            <w:tcMar>
              <w:top w:w="120" w:type="dxa"/>
              <w:start w:w="170" w:type="dxa"/>
              <w:bottom w:w="120" w:type="dxa"/>
              <w:end w:w="170" w:type="dxa"/>
            </w:tcMar>
            <w:tcBorders>
              <w:top w:val="nil"/>
              <w:left w:val="single" w:sz="18" w:color="D39B39"/>
              <w:bottom w:val="nil"/>
              <w:right w:val="nil"/>
            </w:tcBorders>
          </w:tcPr>
          <w:p>
            <w:r>
              <w:rPr>
                <w:rFonts w:ascii="Noto Sans" w:hAnsi="Noto Sans" w:eastAsia="Noto Sans"/>
                <w:b/>
                <w:color w:val="D39B39"/>
                <w:sz w:val="18"/>
              </w:rPr>
              <w:t xml:space="preserve">Обновление выпуска — </w:t>
            </w:r>
            <w:r>
              <w:rPr>
                <w:rFonts w:ascii="Noto Sans" w:hAnsi="Noto Sans" w:eastAsia="Noto Sans"/>
                <w:color w:val="243746"/>
                <w:sz w:val="17"/>
              </w:rPr>
              <w:t>Текущая база содержит IDI до 2025 г., хотя официальная редакция 2026 уже опубликована. Обновление требует нового снимка, импорта, сопоставления 159 экономик и повторной проверки формул и рангов.</w:t>
            </w:r>
          </w:p>
        </w:tc>
      </w:tr>
    </w:tbl>
    <w:p>
      <w:pPr>
        <w:pStyle w:val="Heading2"/>
      </w:pPr>
      <w:r>
        <w:t>9.7. QS Engineering &amp; Technology: страновая агрегация GIR</w:t>
      </w:r>
    </w:p>
    <w:p>
      <w:pPr>
        <w:pStyle w:val="Caption"/>
      </w:pPr>
      <w:r>
        <w:t>Таблица 26. Паспорт QS_ET</w:t>
      </w:r>
    </w:p>
    <w:tbl>
      <w:tblPr>
        <w:tblW w:type="auto" w:w="0"/>
        <w:jc w:val="center"/>
        <w:tblLayout w:type="autofit"/>
        <w:tblLook w:firstColumn="1" w:firstRow="1" w:lastColumn="0" w:lastRow="0" w:noHBand="0" w:noVBand="1" w:val="04A0"/>
      </w:tblPr>
      <w:tblGrid>
        <w:gridCol w:w="4904"/>
        <w:gridCol w:w="4904"/>
      </w:tblGrid>
      <w:tr>
        <w:trPr>
          <w:tblHeader w:val="true"/>
        </w:trPr>
        <w:tc>
          <w:tcPr>
            <w:tcW w:type="dxa" w:w="2835"/>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Параметр</w:t>
            </w:r>
          </w:p>
        </w:tc>
        <w:tc>
          <w:tcPr>
            <w:tcW w:type="dxa" w:w="6406"/>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Описание</w:t>
            </w:r>
          </w:p>
        </w:tc>
      </w:tr>
      <w:tr>
        <w:trPr>
          <w:cantSplit/>
        </w:trPr>
        <w:tc>
          <w:tcPr>
            <w:tcW w:type="dxa" w:w="28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Автор / владелец методики</w:t>
            </w:r>
          </w:p>
        </w:tc>
        <w:tc>
          <w:tcPr>
            <w:tcW w:type="dxa" w:w="6406"/>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Исходный университетский рейтинг рассчитывает QS Quacquarelli Symonds; страновую агрегацию разработала команда GIR.</w:t>
            </w:r>
          </w:p>
        </w:tc>
      </w:tr>
      <w:tr>
        <w:trPr>
          <w:cantSplit/>
        </w:trPr>
        <w:tc>
          <w:tcPr>
            <w:tcW w:type="dxa" w:w="283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Назначение</w:t>
            </w:r>
          </w:p>
        </w:tc>
        <w:tc>
          <w:tcPr>
            <w:tcW w:type="dxa" w:w="6406"/>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Показать не отдельный университет, а присутствие страны в глобальном инженерно-технологическом образовательном поле.</w:t>
            </w:r>
          </w:p>
        </w:tc>
      </w:tr>
      <w:tr>
        <w:trPr>
          <w:cantSplit/>
        </w:trPr>
        <w:tc>
          <w:tcPr>
            <w:tcW w:type="dxa" w:w="28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Официальная шкала</w:t>
            </w:r>
          </w:p>
        </w:tc>
        <w:tc>
          <w:tcPr>
            <w:tcW w:type="dxa" w:w="6406"/>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0-100 country aggregation from archived official endpoint rows</w:t>
            </w:r>
          </w:p>
        </w:tc>
      </w:tr>
      <w:tr>
        <w:trPr>
          <w:cantSplit/>
        </w:trPr>
        <w:tc>
          <w:tcPr>
            <w:tcW w:type="dxa" w:w="283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Период в GIR</w:t>
            </w:r>
          </w:p>
        </w:tc>
        <w:tc>
          <w:tcPr>
            <w:tcW w:type="dxa" w:w="6406"/>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2023–2026</w:t>
            </w:r>
          </w:p>
        </w:tc>
      </w:tr>
      <w:tr>
        <w:trPr>
          <w:cantSplit/>
        </w:trPr>
        <w:tc>
          <w:tcPr>
            <w:tcW w:type="dxa" w:w="28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Охват</w:t>
            </w:r>
          </w:p>
        </w:tc>
        <w:tc>
          <w:tcPr>
            <w:tcW w:type="dxa" w:w="6406"/>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61 стран; 227 оценок</w:t>
            </w:r>
          </w:p>
        </w:tc>
      </w:tr>
      <w:tr>
        <w:trPr>
          <w:cantSplit/>
        </w:trPr>
        <w:tc>
          <w:tcPr>
            <w:tcW w:type="dxa" w:w="283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Статус результата</w:t>
            </w:r>
          </w:p>
        </w:tc>
        <w:tc>
          <w:tcPr>
            <w:tcW w:type="dxa" w:w="6406"/>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Авторская страновая агрегация официального университетского рейтинга QS Engineering &amp; Technology</w:t>
            </w:r>
          </w:p>
        </w:tc>
      </w:tr>
      <w:tr>
        <w:trPr>
          <w:cantSplit/>
        </w:trPr>
        <w:tc>
          <w:tcPr>
            <w:tcW w:type="dxa" w:w="28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Версия методологии в реестре</w:t>
            </w:r>
          </w:p>
        </w:tc>
        <w:tc>
          <w:tcPr>
            <w:tcW w:type="dxa" w:w="6406"/>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GIIP-scientific-release-v5</w:t>
            </w:r>
          </w:p>
        </w:tc>
      </w:tr>
      <w:tr>
        <w:trPr>
          <w:cantSplit/>
        </w:trPr>
        <w:tc>
          <w:tcPr>
            <w:tcW w:type="dxa" w:w="283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Основной источник</w:t>
            </w:r>
          </w:p>
        </w:tc>
        <w:tc>
          <w:tcPr>
            <w:tcW w:type="dxa" w:w="6406"/>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https://www.topuniversities.com/university-subject-rankings/engineering-technology</w:t>
            </w:r>
          </w:p>
        </w:tc>
      </w:tr>
      <w:tr>
        <w:trPr>
          <w:cantSplit/>
        </w:trPr>
        <w:tc>
          <w:tcPr>
            <w:tcW w:type="dxa" w:w="28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Ссылки</w:t>
            </w:r>
          </w:p>
        </w:tc>
        <w:tc>
          <w:tcPr>
            <w:tcW w:type="dxa" w:w="6406"/>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[11–12]</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indices, index_methodology_registry, index_scores и официальные методические документы.</w:t>
      </w:r>
    </w:p>
    <w:p>
      <w:pPr>
        <w:pStyle w:val="Heading3"/>
      </w:pPr>
      <w:r>
        <w:t>Смысл и официальная методика</w:t>
      </w:r>
    </w:p>
    <w:p>
      <w:r>
        <w:rPr>
          <w:rFonts w:ascii="Noto Serif" w:hAnsi="Noto Serif" w:eastAsia="Noto Serif"/>
          <w:sz w:val="18"/>
        </w:rPr>
        <w:t>Показать не отдельный университет, а присутствие страны в глобальном инженерно-технологическом образовательном поле.</w:t>
      </w:r>
    </w:p>
    <w:tbl>
      <w:tblPr>
        <w:tblW w:type="auto" w:w="0"/>
        <w:jc w:val="center"/>
        <w:tblLook w:firstColumn="1" w:firstRow="1" w:lastColumn="0" w:lastRow="0" w:noHBand="0" w:noVBand="1" w:val="04A0"/>
      </w:tblPr>
      <w:tblGrid>
        <w:gridCol w:w="9808"/>
      </w:tblGrid>
      <w:tr>
        <w:tc>
          <w:tcPr>
            <w:tcW w:type="dxa" w:w="9808"/>
            <w:shd w:fill="F5F7F8"/>
            <w:tcMar>
              <w:top w:w="140" w:type="dxa"/>
              <w:start w:w="220" w:type="dxa"/>
              <w:bottom w:w="140" w:type="dxa"/>
              <w:end w:w="220" w:type="dxa"/>
            </w:tcMar>
            <w:tcBorders>
              <w:top w:val="single" w:sz="6" w:color="CFDCE4"/>
              <w:left w:val="single" w:sz="6" w:color="CFDCE4"/>
              <w:bottom w:val="single" w:sz="6" w:color="CFDCE4"/>
              <w:right w:val="single" w:sz="6" w:color="CFDCE4"/>
            </w:tcBorders>
          </w:tcPr>
          <w:p>
            <w:pPr>
              <w:jc w:val="center"/>
            </w:pPr>
            <w:r>
              <w:rPr>
                <w:rFonts w:ascii="Noto Sans" w:hAnsi="Noto Sans" w:eastAsia="Noto Sans"/>
                <w:b/>
                <w:color w:val="2F6B8A"/>
                <w:sz w:val="16"/>
              </w:rPr>
              <w:t>Официальная формула / структура</w:t>
            </w:r>
          </w:p>
          <w:p>
            <w:pPr>
              <w:jc w:val="center"/>
            </w:pPr>
            <w:r>
              <w:rPr>
                <w:rFonts w:ascii="DejaVu Serif" w:hAnsi="DejaVu Serif" w:eastAsia="DejaVu Serif"/>
                <w:b/>
                <w:color w:val="17324D"/>
                <w:sz w:val="22"/>
              </w:rPr>
              <w:t>QS ранжирует университеты по пяти индикаторам, веса которых зависят от предметной области. QS не публикует официальный страновой индекс Engineering &amp; Technology.</w:t>
            </w:r>
          </w:p>
        </w:tc>
      </w:tr>
    </w:tbl>
    <w:p>
      <w:pPr>
        <w:pStyle w:val="Heading3"/>
      </w:pPr>
      <w:r>
        <w:t>Реализация в GIR</w:t>
      </w:r>
    </w:p>
    <w:p>
      <w:r>
        <w:rPr>
          <w:rFonts w:ascii="Noto Serif" w:hAnsi="Noto Serif" w:eastAsia="Noto Serif"/>
          <w:sz w:val="18"/>
        </w:rPr>
        <w:t>Для страны и года рассчитываются TOP_COUNT, BEST_RANK, MEDIAN_RANK и QS_SCORE. Направленные показатели переводятся в 0–100 (ранги инвертируются), после чего Country_QS = 0,25×TOP_COUNT* + 0,25×BEST_RANK* + 0,25×MEDIAN_RANK* + 0,25×QS_SCORE*. Если разброс показателя равен нулю, реализация присваивает 100 всем наблюдениям.</w:t>
      </w:r>
    </w:p>
    <w:p>
      <w:pPr>
        <w:pStyle w:val="Caption"/>
      </w:pPr>
      <w:r>
        <w:t>Таблица 27. Компоненты QS_ET в реестре GIR</w:t>
      </w:r>
    </w:p>
    <w:tbl>
      <w:tblPr>
        <w:tblW w:type="auto" w:w="0"/>
        <w:jc w:val="center"/>
        <w:tblLayout w:type="autofit"/>
        <w:tblLook w:firstColumn="1" w:firstRow="1" w:lastColumn="0" w:lastRow="0" w:noHBand="0" w:noVBand="1" w:val="04A0"/>
      </w:tblPr>
      <w:tblGrid>
        <w:gridCol w:w="2452"/>
        <w:gridCol w:w="2452"/>
        <w:gridCol w:w="2452"/>
        <w:gridCol w:w="2452"/>
      </w:tblGrid>
      <w:tr>
        <w:trPr>
          <w:tblHeader w:val="true"/>
        </w:trPr>
        <w:tc>
          <w:tcPr>
            <w:tcW w:type="dxa" w:w="175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Код</w:t>
            </w:r>
          </w:p>
        </w:tc>
        <w:tc>
          <w:tcPr>
            <w:tcW w:type="dxa" w:w="3061"/>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Название</w:t>
            </w:r>
          </w:p>
        </w:tc>
        <w:tc>
          <w:tcPr>
            <w:tcW w:type="dxa" w:w="1531"/>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Вес в представлении</w:t>
            </w:r>
          </w:p>
        </w:tc>
        <w:tc>
          <w:tcPr>
            <w:tcW w:type="dxa" w:w="2891"/>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Примечание источника</w:t>
            </w:r>
          </w:p>
        </w:tc>
      </w:tr>
      <w:tr>
        <w:trPr>
          <w:cantSplit/>
        </w:trPr>
        <w:tc>
          <w:tcPr>
            <w:tcW w:type="dxa" w:w="175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TOP_COUNT</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Число вузов в рейтинге</w:t>
            </w:r>
          </w:p>
        </w:tc>
        <w:tc>
          <w:tcPr>
            <w:tcW w:type="dxa" w:w="153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0,250</w:t>
            </w:r>
          </w:p>
        </w:tc>
        <w:tc>
          <w:tcPr>
            <w:tcW w:type="dxa" w:w="289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 QS export field</w:t>
            </w:r>
          </w:p>
        </w:tc>
      </w:tr>
      <w:tr>
        <w:trPr>
          <w:cantSplit/>
        </w:trPr>
        <w:tc>
          <w:tcPr>
            <w:tcW w:type="dxa" w:w="175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BEST_RANK</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Лучшая позиция вуза</w:t>
            </w:r>
          </w:p>
        </w:tc>
        <w:tc>
          <w:tcPr>
            <w:tcW w:type="dxa" w:w="153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0,250</w:t>
            </w:r>
          </w:p>
        </w:tc>
        <w:tc>
          <w:tcPr>
            <w:tcW w:type="dxa" w:w="289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 QS export field</w:t>
            </w:r>
          </w:p>
        </w:tc>
      </w:tr>
      <w:tr>
        <w:trPr>
          <w:cantSplit/>
        </w:trPr>
        <w:tc>
          <w:tcPr>
            <w:tcW w:type="dxa" w:w="175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MEDIAN_RANK</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Медианная позиция вузов</w:t>
            </w:r>
          </w:p>
        </w:tc>
        <w:tc>
          <w:tcPr>
            <w:tcW w:type="dxa" w:w="153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0,250</w:t>
            </w:r>
          </w:p>
        </w:tc>
        <w:tc>
          <w:tcPr>
            <w:tcW w:type="dxa" w:w="289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 QS export field</w:t>
            </w:r>
          </w:p>
        </w:tc>
      </w:tr>
      <w:tr>
        <w:trPr>
          <w:cantSplit/>
        </w:trPr>
        <w:tc>
          <w:tcPr>
            <w:tcW w:type="dxa" w:w="175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QS_SCORE</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Суммарная оценка вузов</w:t>
            </w:r>
          </w:p>
        </w:tc>
        <w:tc>
          <w:tcPr>
            <w:tcW w:type="dxa" w:w="153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0,250</w:t>
            </w:r>
          </w:p>
        </w:tc>
        <w:tc>
          <w:tcPr>
            <w:tcW w:type="dxa" w:w="289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 QS export field</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index_components.</w:t>
      </w:r>
    </w:p>
    <w:tbl>
      <w:tblPr>
        <w:tblW w:type="auto" w:w="0"/>
        <w:jc w:val="center"/>
        <w:tblLook w:firstColumn="1" w:firstRow="1" w:lastColumn="0" w:lastRow="0" w:noHBand="0" w:noVBand="1" w:val="04A0"/>
      </w:tblPr>
      <w:tblGrid>
        <w:gridCol w:w="9808"/>
      </w:tblGrid>
      <w:tr>
        <w:tc>
          <w:tcPr>
            <w:tcW w:type="dxa" w:w="9808"/>
            <w:shd w:fill="FCEFEF"/>
            <w:tcMar>
              <w:top w:w="120" w:type="dxa"/>
              <w:start w:w="170" w:type="dxa"/>
              <w:bottom w:w="120" w:type="dxa"/>
              <w:end w:w="170" w:type="dxa"/>
            </w:tcMar>
            <w:tcBorders>
              <w:top w:val="nil"/>
              <w:left w:val="single" w:sz="18" w:color="B5504D"/>
              <w:bottom w:val="nil"/>
              <w:right w:val="nil"/>
            </w:tcBorders>
          </w:tcPr>
          <w:p>
            <w:r>
              <w:rPr>
                <w:rFonts w:ascii="Noto Sans" w:hAnsi="Noto Sans" w:eastAsia="Noto Sans"/>
                <w:b/>
                <w:color w:val="B5504D"/>
                <w:sz w:val="18"/>
              </w:rPr>
              <w:t xml:space="preserve">Методологическое предупреждение — </w:t>
            </w:r>
            <w:r>
              <w:rPr>
                <w:rFonts w:ascii="Noto Sans" w:hAnsi="Noto Sans" w:eastAsia="Noto Sans"/>
                <w:color w:val="243746"/>
                <w:sz w:val="17"/>
              </w:rPr>
              <w:t>QS не публикует официальный страновой рейтинг Engineering &amp; Technology. Страновой score является воспроизводимой авторской агрегацией платформы.</w:t>
            </w:r>
          </w:p>
        </w:tc>
      </w:tr>
    </w:tbl>
    <w:p>
      <w:pPr>
        <w:pStyle w:val="Heading3"/>
      </w:pPr>
      <w:r>
        <w:t>Ограничения интерпретации</w:t>
      </w:r>
    </w:p>
    <w:p>
      <w:r>
        <w:rPr>
          <w:rFonts w:ascii="Noto Serif" w:hAnsi="Noto Serif" w:eastAsia="Noto Serif"/>
          <w:sz w:val="18"/>
        </w:rPr>
        <w:t>Итог — авторская агрегация GIR и не должен называться официальным рейтингом стран QS. Архивирование и распространение исходных строк регулируются условиями QS.</w:t>
      </w:r>
    </w:p>
    <w:tbl>
      <w:tblPr>
        <w:tblW w:type="auto" w:w="0"/>
        <w:jc w:val="center"/>
        <w:tblLook w:firstColumn="1" w:firstRow="1" w:lastColumn="0" w:lastRow="0" w:noHBand="0" w:noVBand="1" w:val="04A0"/>
      </w:tblPr>
      <w:tblGrid>
        <w:gridCol w:w="9808"/>
      </w:tblGrid>
      <w:tr>
        <w:tc>
          <w:tcPr>
            <w:tcW w:type="dxa" w:w="9808"/>
            <w:shd w:fill="FCEFEF"/>
            <w:tcMar>
              <w:top w:w="120" w:type="dxa"/>
              <w:start w:w="170" w:type="dxa"/>
              <w:bottom w:w="120" w:type="dxa"/>
              <w:end w:w="170" w:type="dxa"/>
            </w:tcMar>
            <w:tcBorders>
              <w:top w:val="nil"/>
              <w:left w:val="single" w:sz="18" w:color="B5504D"/>
              <w:bottom w:val="nil"/>
              <w:right w:val="nil"/>
            </w:tcBorders>
          </w:tcPr>
          <w:p>
            <w:r>
              <w:rPr>
                <w:rFonts w:ascii="Noto Sans" w:hAnsi="Noto Sans" w:eastAsia="Noto Sans"/>
                <w:b/>
                <w:color w:val="B5504D"/>
                <w:sz w:val="18"/>
              </w:rPr>
              <w:t xml:space="preserve">Наименование — </w:t>
            </w:r>
            <w:r>
              <w:rPr>
                <w:rFonts w:ascii="Noto Sans" w:hAnsi="Noto Sans" w:eastAsia="Noto Sans"/>
                <w:color w:val="243746"/>
                <w:sz w:val="17"/>
              </w:rPr>
              <w:t>В интерфейсе следует писать «страновая агрегация GIR по данным QS Engineering &amp; Technology», а не «официальный рейтинг стран QS».</w:t>
            </w:r>
          </w:p>
        </w:tc>
      </w:tr>
    </w:tbl>
    <w:p>
      <w:bookmarkStart w:id="1818" w:name="sec10"/>
      <w:pPr>
        <w:pStyle w:val="Heading1"/>
      </w:pPr>
      <w:r>
        <w:t>10. Авторский индекс HTEI v6</w:t>
      </w:r>
      <w:bookmarkEnd w:id="1818"/>
    </w:p>
    <w:tbl>
      <w:tblPr>
        <w:tblW w:type="auto" w:w="0"/>
        <w:jc w:val="center"/>
        <w:tblLook w:firstColumn="1" w:firstRow="1" w:lastColumn="0" w:lastRow="0" w:noHBand="0" w:noVBand="1" w:val="04A0"/>
      </w:tblPr>
      <w:tblGrid>
        <w:gridCol w:w="9808"/>
      </w:tblGrid>
      <w:tr>
        <w:tc>
          <w:tcPr>
            <w:tcW w:type="dxa" w:w="9808"/>
            <w:shd w:fill="FCEFEF"/>
            <w:tcMar>
              <w:top w:w="120" w:type="dxa"/>
              <w:start w:w="170" w:type="dxa"/>
              <w:bottom w:w="120" w:type="dxa"/>
              <w:end w:w="170" w:type="dxa"/>
            </w:tcMar>
            <w:tcBorders>
              <w:top w:val="nil"/>
              <w:left w:val="single" w:sz="18" w:color="B5504D"/>
              <w:bottom w:val="nil"/>
              <w:right w:val="nil"/>
            </w:tcBorders>
          </w:tcPr>
          <w:p>
            <w:r>
              <w:rPr>
                <w:rFonts w:ascii="Noto Sans" w:hAnsi="Noto Sans" w:eastAsia="Noto Sans"/>
                <w:b/>
                <w:color w:val="B5504D"/>
                <w:sz w:val="18"/>
              </w:rPr>
              <w:t xml:space="preserve">Статус HTEI — </w:t>
            </w:r>
            <w:r>
              <w:rPr>
                <w:rFonts w:ascii="Noto Sans" w:hAnsi="Noto Sans" w:eastAsia="Noto Sans"/>
                <w:color w:val="243746"/>
                <w:sz w:val="17"/>
              </w:rPr>
              <w:t>HTEI — авторский индекс проекта, рассчитанный на официальных международных рядах. Он не является официальным показателем Eurostat, ILO, OECD, UNESCO, Всемирного банка или иной организации-поставщика данных.</w:t>
            </w:r>
          </w:p>
        </w:tc>
      </w:tr>
    </w:tbl>
    <w:p>
      <w:pPr>
        <w:pStyle w:val="Heading2"/>
      </w:pPr>
      <w:r>
        <w:t>10.1. Концепция</w:t>
      </w:r>
    </w:p>
    <w:p>
      <w:r>
        <w:rPr>
          <w:rFonts w:ascii="Noto Serif" w:hAnsi="Noto Serif" w:eastAsia="Noto Serif"/>
          <w:sz w:val="18"/>
        </w:rPr>
        <w:t>HTEI измеряет не только текущую долю занятых в узко определённых высокотехнологичных отраслях. Концепция шире: технологическая занятость рассматривается как результат взаимодействия спроса на труд, профессиональной структуры, исследовательского потенциала, образовательного потока, технологических результатов и корпоративного спроса. Поэтому название High-Tech Employment Index следует сопровождать пояснением, что это интегральный показатель экосистемы технологических кадров.</w:t>
      </w:r>
    </w:p>
    <w:p>
      <w:r>
        <w:rPr>
          <w:rFonts w:ascii="Noto Serif" w:hAnsi="Noto Serif" w:eastAsia="Noto Serif"/>
          <w:sz w:val="18"/>
        </w:rPr>
        <w:t>В базе HTEI охватывает 214 стран и территории и содержит 1 980 унифицированных индексных оценок за 1992–2026 гг. Однако ретроспективная длина отдельных исходных рядов не означает, что все страны и годы входят в единый сопоставимый рейтинг. Основной релизный слой v6 состоит из 431 профиля четырёх режимов.</w:t>
      </w:r>
    </w:p>
    <w:p>
      <w:pPr>
        <w:jc w:val="center"/>
      </w:pPr>
      <w:r>
        <w:drawing>
          <wp:inline xmlns:a="http://schemas.openxmlformats.org/drawingml/2006/main" xmlns:pic="http://schemas.openxmlformats.org/drawingml/2006/picture">
            <wp:extent cx="5976000" cy="3363287"/>
            <wp:docPr id="6" name="Picture 6" descr="Горизонтальная диаграмма базовых весов: занятость 22%, профессии 18%, НИОКР 18%, STEM 16%, результаты 14%, корпоративный спрос 12%." title="Базовые веса шести компонентов HTEI v6."/>
            <wp:cNvGraphicFramePr>
              <a:graphicFrameLocks noChangeAspect="1"/>
            </wp:cNvGraphicFramePr>
            <a:graphic>
              <a:graphicData uri="http://schemas.openxmlformats.org/drawingml/2006/picture">
                <pic:pic>
                  <pic:nvPicPr>
                    <pic:cNvPr id="0" name="05_htei_weights.png"/>
                    <pic:cNvPicPr/>
                  </pic:nvPicPr>
                  <pic:blipFill>
                    <a:blip r:embed="rId16"/>
                    <a:stretch>
                      <a:fillRect/>
                    </a:stretch>
                  </pic:blipFill>
                  <pic:spPr>
                    <a:xfrm>
                      <a:off x="0" y="0"/>
                      <a:ext cx="5976000" cy="3363287"/>
                    </a:xfrm>
                    <a:prstGeom prst="rect"/>
                  </pic:spPr>
                </pic:pic>
              </a:graphicData>
            </a:graphic>
          </wp:inline>
        </w:drawing>
      </w:r>
    </w:p>
    <w:p>
      <w:pPr>
        <w:pStyle w:val="Caption"/>
      </w:pPr>
      <w:r>
        <w:t>Рисунок 6. Базовые веса шести компонентов HTEI v6.</w:t>
      </w:r>
    </w:p>
    <w:p>
      <w:pPr>
        <w:pStyle w:val="Caption"/>
      </w:pPr>
      <w:r>
        <w:t>Таблица 28. Компоненты HTEI v6</w:t>
      </w:r>
    </w:p>
    <w:tbl>
      <w:tblPr>
        <w:tblW w:type="auto" w:w="0"/>
        <w:jc w:val="center"/>
        <w:tblLayout w:type="autofit"/>
        <w:tblLook w:firstColumn="1" w:firstRow="1" w:lastColumn="0" w:lastRow="0" w:noHBand="0" w:noVBand="1" w:val="04A0"/>
      </w:tblPr>
      <w:tblGrid>
        <w:gridCol w:w="1962"/>
        <w:gridCol w:w="1962"/>
        <w:gridCol w:w="1962"/>
        <w:gridCol w:w="1962"/>
        <w:gridCol w:w="1962"/>
      </w:tblGrid>
      <w:tr>
        <w:trPr>
          <w:tblHeader w:val="true"/>
        </w:trPr>
        <w:tc>
          <w:tcPr>
            <w:tcW w:type="dxa" w:w="181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Код</w:t>
            </w:r>
          </w:p>
        </w:tc>
        <w:tc>
          <w:tcPr>
            <w:tcW w:type="dxa" w:w="3288"/>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Смысл</w:t>
            </w:r>
          </w:p>
        </w:tc>
        <w:tc>
          <w:tcPr>
            <w:tcW w:type="dxa" w:w="1020"/>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Базовый вес</w:t>
            </w:r>
          </w:p>
        </w:tc>
        <w:tc>
          <w:tcPr>
            <w:tcW w:type="dxa" w:w="198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Основные источники</w:t>
            </w:r>
          </w:p>
        </w:tc>
        <w:tc>
          <w:tcPr>
            <w:tcW w:type="dxa" w:w="1020"/>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Actionability</w:t>
            </w:r>
          </w:p>
        </w:tc>
      </w:tr>
      <w:tr>
        <w:trPr>
          <w:cantSplit/>
        </w:trPr>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HT_EMPLOYMENT_SHARE</w:t>
            </w:r>
          </w:p>
        </w:tc>
        <w:tc>
          <w:tcPr>
            <w:tcW w:type="dxa" w:w="328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занятость в высокотехнологичных и знаниеёмких секторах</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0,22</w:t>
            </w:r>
          </w:p>
        </w:tc>
        <w:tc>
          <w:tcPr>
            <w:tcW w:type="dxa" w:w="198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Eurostat; ILOSTAT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0,75</w:t>
            </w:r>
          </w:p>
        </w:tc>
      </w:tr>
      <w:tr>
        <w:trPr>
          <w:cantSplit/>
        </w:trPr>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HIGH_TECH_OCCUPATIONS</w:t>
            </w:r>
          </w:p>
        </w:tc>
        <w:tc>
          <w:tcPr>
            <w:tcW w:type="dxa" w:w="328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занятость в технологически интенсивных профессиональных группах</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0,18</w:t>
            </w:r>
          </w:p>
        </w:tc>
        <w:tc>
          <w:tcPr>
            <w:tcW w:type="dxa" w:w="198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Eurostat; ILOSTAT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0,80</w:t>
            </w:r>
          </w:p>
        </w:tc>
      </w:tr>
      <w:tr>
        <w:trPr>
          <w:cantSplit/>
        </w:trPr>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RD_PERSONNEL</w:t>
            </w:r>
          </w:p>
        </w:tc>
        <w:tc>
          <w:tcPr>
            <w:tcW w:type="dxa" w:w="328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исследователи и технический персонал НИОКР</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0,18</w:t>
            </w:r>
          </w:p>
        </w:tc>
        <w:tc>
          <w:tcPr>
            <w:tcW w:type="dxa" w:w="198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OECD; UIS</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0,65</w:t>
            </w:r>
          </w:p>
        </w:tc>
      </w:tr>
      <w:tr>
        <w:trPr>
          <w:cantSplit/>
        </w:trPr>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STEM_PIPELINE</w:t>
            </w:r>
          </w:p>
        </w:tc>
        <w:tc>
          <w:tcPr>
            <w:tcW w:type="dxa" w:w="328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доля выпускников STEM в третичном образовании</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0,16</w:t>
            </w:r>
          </w:p>
        </w:tc>
        <w:tc>
          <w:tcPr>
            <w:tcW w:type="dxa" w:w="198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UIS; World Bank</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0,85</w:t>
            </w:r>
          </w:p>
        </w:tc>
      </w:tr>
      <w:tr>
        <w:trPr>
          <w:cantSplit/>
        </w:trPr>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TECH_OUTPUTS</w:t>
            </w:r>
          </w:p>
        </w:tc>
        <w:tc>
          <w:tcPr>
            <w:tcW w:type="dxa" w:w="328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высокотехнологичный экспорт, ИКТ-услуги, патентные сигналы</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0,14</w:t>
            </w:r>
          </w:p>
        </w:tc>
        <w:tc>
          <w:tcPr>
            <w:tcW w:type="dxa" w:w="198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World Bank; WIPO/OECD where available</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0,55</w:t>
            </w:r>
          </w:p>
        </w:tc>
      </w:tr>
      <w:tr>
        <w:trPr>
          <w:cantSplit/>
        </w:trPr>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CORPORATE_DEMAND</w:t>
            </w:r>
          </w:p>
        </w:tc>
        <w:tc>
          <w:tcPr>
            <w:tcW w:type="dxa" w:w="328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корпоративный спрос, проксируемый бизнес-финансированием НИОКР</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0,12</w:t>
            </w:r>
          </w:p>
        </w:tc>
        <w:tc>
          <w:tcPr>
            <w:tcW w:type="dxa" w:w="198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OECD; SEC supplementary</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0,70</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HTEI_METHODOLOGY_V6.md, index_components и production_data.py.</w:t>
      </w:r>
    </w:p>
    <w:p>
      <w:pPr>
        <w:pStyle w:val="Heading2"/>
      </w:pPr>
      <w:r>
        <w:t>10.2. Основная формула</w:t>
      </w:r>
    </w:p>
    <w:tbl>
      <w:tblPr>
        <w:tblW w:type="auto" w:w="0"/>
        <w:jc w:val="center"/>
        <w:tblLook w:firstColumn="1" w:firstRow="1" w:lastColumn="0" w:lastRow="0" w:noHBand="0" w:noVBand="1" w:val="04A0"/>
      </w:tblPr>
      <w:tblGrid>
        <w:gridCol w:w="9808"/>
      </w:tblGrid>
      <w:tr>
        <w:tc>
          <w:tcPr>
            <w:tcW w:type="dxa" w:w="9808"/>
            <w:shd w:fill="F5F7F8"/>
            <w:tcMar>
              <w:top w:w="140" w:type="dxa"/>
              <w:start w:w="220" w:type="dxa"/>
              <w:bottom w:w="140" w:type="dxa"/>
              <w:end w:w="220" w:type="dxa"/>
            </w:tcMar>
            <w:tcBorders>
              <w:top w:val="single" w:sz="6" w:color="CFDCE4"/>
              <w:left w:val="single" w:sz="6" w:color="CFDCE4"/>
              <w:bottom w:val="single" w:sz="6" w:color="CFDCE4"/>
              <w:right w:val="single" w:sz="6" w:color="CFDCE4"/>
            </w:tcBorders>
          </w:tcPr>
          <w:p>
            <w:pPr>
              <w:jc w:val="center"/>
            </w:pPr>
            <w:r>
              <w:rPr>
                <w:rFonts w:ascii="Noto Sans" w:hAnsi="Noto Sans" w:eastAsia="Noto Sans"/>
                <w:b/>
                <w:color w:val="2F6B8A"/>
                <w:sz w:val="16"/>
              </w:rPr>
              <w:t>HTEI для доступного набора компонентов</w:t>
            </w:r>
          </w:p>
          <w:p>
            <w:pPr>
              <w:jc w:val="center"/>
            </w:pPr>
            <w:r>
              <w:rPr>
                <w:rFonts w:ascii="DejaVu Serif" w:hAnsi="DejaVu Serif" w:eastAsia="DejaVu Serif"/>
                <w:b/>
                <w:color w:val="17324D"/>
                <w:sz w:val="22"/>
              </w:rPr>
              <w:t>HTEI_c = Σ(i∈S_c) w̃_i z_ic,   w̃_i = w_i / Σ(j∈S_c) w_j</w:t>
            </w:r>
          </w:p>
          <w:p>
            <w:pPr>
              <w:jc w:val="left"/>
            </w:pPr>
            <w:r>
              <w:rPr>
                <w:rFonts w:ascii="Noto Sans" w:hAnsi="Noto Sans" w:eastAsia="Noto Sans"/>
                <w:color w:val="5A6E7A"/>
                <w:sz w:val="16"/>
              </w:rPr>
              <w:t>z_ic — нормированный на шкалу 0–100 компонент; S_c задаётся режимом покрытия. Качество данных в v5/v6 не умножается на содержательный балл.</w:t>
            </w:r>
          </w:p>
        </w:tc>
      </w:tr>
    </w:tbl>
    <w:p>
      <w:r>
        <w:rPr>
          <w:rFonts w:ascii="Noto Serif" w:hAnsi="Noto Serif" w:eastAsia="Noto Serif"/>
          <w:sz w:val="18"/>
        </w:rPr>
        <w:t>Разделение score и confidence принципиально. В ранних legacy-версиях v3 встречалась формула, где содержательный балл умножался на качество. Эти записи сохранены в реестре для происхождения, но не должны использоваться для объяснения текущего HTEI v6. В актуальной методике показатель отвечает на вопрос «каков профиль», а confidence — «насколько надёжно и сопоставимо он измерен».</w:t>
      </w:r>
    </w:p>
    <w:p>
      <w:pPr>
        <w:pStyle w:val="Heading2"/>
      </w:pPr>
      <w:r>
        <w:t>10.3. Режимы сопоставимости</w:t>
      </w:r>
    </w:p>
    <w:p>
      <w:pPr>
        <w:jc w:val="center"/>
      </w:pPr>
      <w:r>
        <w:drawing>
          <wp:inline xmlns:a="http://schemas.openxmlformats.org/drawingml/2006/main" xmlns:pic="http://schemas.openxmlformats.org/drawingml/2006/picture">
            <wp:extent cx="5976000" cy="3363287"/>
            <wp:docPr id="7" name="Picture 7" descr="Четыре режима HTEI: direct_core, common_support, proxy_extended и asof_diagnostic." title="Режимы покрытия HTEI v6 и границы их использования."/>
            <wp:cNvGraphicFramePr>
              <a:graphicFrameLocks noChangeAspect="1"/>
            </wp:cNvGraphicFramePr>
            <a:graphic>
              <a:graphicData uri="http://schemas.openxmlformats.org/drawingml/2006/picture">
                <pic:pic>
                  <pic:nvPicPr>
                    <pic:cNvPr id="0" name="04_htei_modes.png"/>
                    <pic:cNvPicPr/>
                  </pic:nvPicPr>
                  <pic:blipFill>
                    <a:blip r:embed="rId17"/>
                    <a:stretch>
                      <a:fillRect/>
                    </a:stretch>
                  </pic:blipFill>
                  <pic:spPr>
                    <a:xfrm>
                      <a:off x="0" y="0"/>
                      <a:ext cx="5976000" cy="3363287"/>
                    </a:xfrm>
                    <a:prstGeom prst="rect"/>
                  </pic:spPr>
                </pic:pic>
              </a:graphicData>
            </a:graphic>
          </wp:inline>
        </w:drawing>
      </w:r>
    </w:p>
    <w:p>
      <w:pPr>
        <w:pStyle w:val="Caption"/>
      </w:pPr>
      <w:r>
        <w:t>Рисунок 7. Режимы покрытия HTEI v6 и границы их использования.</w:t>
      </w:r>
    </w:p>
    <w:p>
      <w:pPr>
        <w:pStyle w:val="Caption"/>
      </w:pPr>
      <w:r>
        <w:t>Таблица 29. Режимы HTEI v6</w:t>
      </w:r>
    </w:p>
    <w:tbl>
      <w:tblPr>
        <w:tblW w:type="auto" w:w="0"/>
        <w:jc w:val="center"/>
        <w:tblLayout w:type="autofit"/>
        <w:tblLook w:firstColumn="1" w:firstRow="1" w:lastColumn="0" w:lastRow="0" w:noHBand="0" w:noVBand="1" w:val="04A0"/>
      </w:tblPr>
      <w:tblGrid>
        <w:gridCol w:w="1226"/>
        <w:gridCol w:w="1226"/>
        <w:gridCol w:w="1226"/>
        <w:gridCol w:w="1226"/>
        <w:gridCol w:w="1226"/>
        <w:gridCol w:w="1226"/>
        <w:gridCol w:w="1226"/>
        <w:gridCol w:w="1226"/>
      </w:tblGrid>
      <w:tr>
        <w:trPr>
          <w:tblHeader w:val="true"/>
        </w:trPr>
        <w:tc>
          <w:tcPr>
            <w:tcW w:type="dxa" w:w="141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Режим</w:t>
            </w:r>
          </w:p>
        </w:tc>
        <w:tc>
          <w:tcPr>
            <w:tcW w:type="dxa" w:w="73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Профили</w:t>
            </w:r>
          </w:p>
        </w:tc>
        <w:tc>
          <w:tcPr>
            <w:tcW w:type="dxa" w:w="73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С рангом</w:t>
            </w:r>
          </w:p>
        </w:tc>
        <w:tc>
          <w:tcPr>
            <w:tcW w:type="dxa" w:w="1191"/>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Средн. confidence</w:t>
            </w:r>
          </w:p>
        </w:tc>
        <w:tc>
          <w:tcPr>
            <w:tcW w:type="dxa" w:w="124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Годы исходных данных</w:t>
            </w:r>
          </w:p>
        </w:tc>
        <w:tc>
          <w:tcPr>
            <w:tcW w:type="dxa" w:w="79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Сигнатур</w:t>
            </w:r>
          </w:p>
        </w:tc>
        <w:tc>
          <w:tcPr>
            <w:tcW w:type="dxa" w:w="90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Компонентов</w:t>
            </w:r>
          </w:p>
        </w:tc>
        <w:tc>
          <w:tcPr>
            <w:tcW w:type="dxa" w:w="2835"/>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Правило</w:t>
            </w:r>
          </w:p>
        </w:tc>
      </w:tr>
      <w:tr>
        <w:trPr>
          <w:cantSplit/>
        </w:trPr>
        <w:tc>
          <w:tcPr>
            <w:tcW w:type="dxa" w:w="141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asof_diagnostic</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203</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w:t>
            </w:r>
          </w:p>
        </w:tc>
        <w:tc>
          <w:tcPr>
            <w:tcW w:type="dxa" w:w="119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0,7127</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2011–2026</w:t>
            </w:r>
          </w:p>
        </w:tc>
        <w:tc>
          <w:tcPr>
            <w:tcW w:type="dxa" w:w="79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25</w:t>
            </w:r>
          </w:p>
        </w:tc>
        <w:tc>
          <w:tcPr>
            <w:tcW w:type="dxa" w:w="90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4,36</w:t>
            </w:r>
          </w:p>
        </w:tc>
        <w:tc>
          <w:tcPr>
            <w:tcW w:type="dxa" w:w="28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последние доступные значения; не менее двух компонентов; профиль без ранга</w:t>
            </w:r>
          </w:p>
        </w:tc>
      </w:tr>
      <w:tr>
        <w:trPr>
          <w:cantSplit/>
        </w:trPr>
        <w:tc>
          <w:tcPr>
            <w:tcW w:type="dxa" w:w="141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common_support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89</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89</w:t>
            </w:r>
          </w:p>
        </w:tc>
        <w:tc>
          <w:tcPr>
            <w:tcW w:type="dxa" w:w="119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0,7473</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2021–2026</w:t>
            </w:r>
          </w:p>
        </w:tc>
        <w:tc>
          <w:tcPr>
            <w:tcW w:type="dxa" w:w="79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w:t>
            </w:r>
          </w:p>
        </w:tc>
        <w:tc>
          <w:tcPr>
            <w:tcW w:type="dxa" w:w="90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4,00</w:t>
            </w:r>
          </w:p>
        </w:tc>
        <w:tc>
          <w:tcPr>
            <w:tcW w:type="dxa" w:w="283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фиксированная опора из занятости, профессий, STEM и результатов; основной международный рейтинг</w:t>
            </w:r>
          </w:p>
        </w:tc>
      </w:tr>
      <w:tr>
        <w:trPr>
          <w:cantSplit/>
        </w:trPr>
        <w:tc>
          <w:tcPr>
            <w:tcW w:type="dxa" w:w="141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direct_core</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34</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34</w:t>
            </w:r>
          </w:p>
        </w:tc>
        <w:tc>
          <w:tcPr>
            <w:tcW w:type="dxa" w:w="119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0,7554</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2022–2025</w:t>
            </w:r>
          </w:p>
        </w:tc>
        <w:tc>
          <w:tcPr>
            <w:tcW w:type="dxa" w:w="79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w:t>
            </w:r>
          </w:p>
        </w:tc>
        <w:tc>
          <w:tcPr>
            <w:tcW w:type="dxa" w:w="90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4,00</w:t>
            </w:r>
          </w:p>
        </w:tc>
        <w:tc>
          <w:tcPr>
            <w:tcW w:type="dxa" w:w="28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четыре общих компонента; оба трудовых компонента прямые; лаг каждого ≤5 лет</w:t>
            </w:r>
          </w:p>
        </w:tc>
      </w:tr>
      <w:tr>
        <w:trPr>
          <w:cantSplit/>
        </w:trPr>
        <w:tc>
          <w:tcPr>
            <w:tcW w:type="dxa" w:w="141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proxy_extended</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105</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105</w:t>
            </w:r>
          </w:p>
        </w:tc>
        <w:tc>
          <w:tcPr>
            <w:tcW w:type="dxa" w:w="119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0,8374</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2018–2026</w:t>
            </w:r>
          </w:p>
        </w:tc>
        <w:tc>
          <w:tcPr>
            <w:tcW w:type="dxa" w:w="79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7</w:t>
            </w:r>
          </w:p>
        </w:tc>
        <w:tc>
          <w:tcPr>
            <w:tcW w:type="dxa" w:w="90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5,07</w:t>
            </w:r>
          </w:p>
        </w:tc>
        <w:tc>
          <w:tcPr>
            <w:tcW w:type="dxa" w:w="283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 менее четырёх компонентов; допускаются сопоставимые прокси и разные сигнатуры</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htei_v6_profiles и project_inventory.json.</w:t>
      </w:r>
    </w:p>
    <w:p>
      <w:pPr>
        <w:pStyle w:val="Heading2"/>
      </w:pPr>
      <w:r>
        <w:t>10.4. Common support</w:t>
      </w:r>
    </w:p>
    <w:p>
      <w:r>
        <w:rPr>
          <w:rFonts w:ascii="Noto Serif" w:hAnsi="Noto Serif" w:eastAsia="Noto Serif"/>
          <w:sz w:val="18"/>
        </w:rPr>
        <w:t>Common support — основной режим для международного ранжирования. Все страны имеют одинаковую четырёхкомпонентную сигнатуру: HT_EMPLOYMENT_SHARE, HIGH_TECH_OCCUPATIONS, STEM_PIPELINE и TECH_OUTPUTS. После исключения недоступных базовых компонентов исходные веса 0,22; 0,18; 0,16; 0,14 перенормируются к сумме 1.</w:t>
      </w:r>
    </w:p>
    <w:tbl>
      <w:tblPr>
        <w:tblW w:type="auto" w:w="0"/>
        <w:jc w:val="center"/>
        <w:tblLook w:firstColumn="1" w:firstRow="1" w:lastColumn="0" w:lastRow="0" w:noHBand="0" w:noVBand="1" w:val="04A0"/>
      </w:tblPr>
      <w:tblGrid>
        <w:gridCol w:w="9808"/>
      </w:tblGrid>
      <w:tr>
        <w:tc>
          <w:tcPr>
            <w:tcW w:type="dxa" w:w="9808"/>
            <w:shd w:fill="F5F7F8"/>
            <w:tcMar>
              <w:top w:w="140" w:type="dxa"/>
              <w:start w:w="220" w:type="dxa"/>
              <w:bottom w:w="140" w:type="dxa"/>
              <w:end w:w="220" w:type="dxa"/>
            </w:tcMar>
            <w:tcBorders>
              <w:top w:val="single" w:sz="6" w:color="CFDCE4"/>
              <w:left w:val="single" w:sz="6" w:color="CFDCE4"/>
              <w:bottom w:val="single" w:sz="6" w:color="CFDCE4"/>
              <w:right w:val="single" w:sz="6" w:color="CFDCE4"/>
            </w:tcBorders>
          </w:tcPr>
          <w:p>
            <w:pPr>
              <w:jc w:val="center"/>
            </w:pPr>
            <w:r>
              <w:rPr>
                <w:rFonts w:ascii="Noto Sans" w:hAnsi="Noto Sans" w:eastAsia="Noto Sans"/>
                <w:b/>
                <w:color w:val="2F6B8A"/>
                <w:sz w:val="16"/>
              </w:rPr>
              <w:t>Эффективные веса common support</w:t>
            </w:r>
          </w:p>
          <w:p>
            <w:pPr>
              <w:jc w:val="center"/>
            </w:pPr>
            <w:r>
              <w:rPr>
                <w:rFonts w:ascii="DejaVu Serif" w:hAnsi="DejaVu Serif" w:eastAsia="DejaVu Serif"/>
                <w:b/>
                <w:color w:val="17324D"/>
                <w:sz w:val="22"/>
              </w:rPr>
              <w:t>employment = 0,314286; occupations = 0,257143; STEM = 0,228571; outputs = 0,200000</w:t>
            </w:r>
          </w:p>
          <w:p>
            <w:pPr>
              <w:jc w:val="left"/>
            </w:pPr>
            <w:r>
              <w:rPr>
                <w:rFonts w:ascii="Noto Sans" w:hAnsi="Noto Sans" w:eastAsia="Noto Sans"/>
                <w:color w:val="5A6E7A"/>
                <w:sz w:val="16"/>
              </w:rPr>
              <w:t>Единая сигнатура обеспечивает интерпретируемость различий: страны сравниваются по одному и тому же набору компонентов.</w:t>
            </w:r>
          </w:p>
        </w:tc>
      </w:tr>
    </w:tbl>
    <w:p>
      <w:pPr>
        <w:pStyle w:val="Heading2"/>
      </w:pPr>
      <w:r>
        <w:t>10.5. Direct core</w:t>
      </w:r>
    </w:p>
    <w:p>
      <w:r>
        <w:rPr>
          <w:rFonts w:ascii="Noto Serif" w:hAnsi="Noto Serif" w:eastAsia="Noto Serif"/>
          <w:sz w:val="18"/>
        </w:rPr>
        <w:t>Direct core — наиболее строгий режим. Он использует ту же четырёхкомпонентную опору, но требует, чтобы оба трудовых компонента были получены из прямых, методологически наиболее близких рядов. В текущей сборке это 34 страны, преимущественно с Eurostat и сопоставимыми официальными рядами. Режим полезен как контрольный эталон, но не обеспечивает глобального охвата.</w:t>
      </w:r>
    </w:p>
    <w:p>
      <w:pPr>
        <w:pStyle w:val="Heading2"/>
      </w:pPr>
      <w:r>
        <w:t>10.6. Proxy extended</w:t>
      </w:r>
    </w:p>
    <w:p>
      <w:r>
        <w:rPr>
          <w:rFonts w:ascii="Noto Serif" w:hAnsi="Noto Serif" w:eastAsia="Noto Serif"/>
          <w:sz w:val="18"/>
        </w:rPr>
        <w:t>Proxy extended расширяет охват до 105 стран и в среднем использует 5,07 компонента. Он допускает семь сигнатур и прокси, прошедшие правила сопоставимости. Более высокий средний confidence этого режима не означает большей структурной однородности: он отражает хорошее покрытие и свежесть, тогда как различия сигнатур требуют осторожности при интерпретации близких мест.</w:t>
      </w:r>
    </w:p>
    <w:p>
      <w:pPr>
        <w:pStyle w:val="Heading2"/>
      </w:pPr>
      <w:r>
        <w:t>10.7. As-of diagnostic</w:t>
      </w:r>
    </w:p>
    <w:p>
      <w:r>
        <w:rPr>
          <w:rFonts w:ascii="Noto Serif" w:hAnsi="Noto Serif" w:eastAsia="Noto Serif"/>
          <w:sz w:val="18"/>
        </w:rPr>
        <w:t>As-of diagnostic строит максимально широкий профиль из последних доступных значений. В нём 203 профиля, 25 компонентных сигнатур и в среднем 4,36 компонента. Ранги намеренно отсутствуют. Режим отвечает на вопрос «что известно о стране сейчас с учётом имеющихся рядов», а не «какое место страна занимает в строго сопоставимом наборе».</w:t>
      </w:r>
    </w:p>
    <w:tbl>
      <w:tblPr>
        <w:tblW w:type="auto" w:w="0"/>
        <w:jc w:val="center"/>
        <w:tblLook w:firstColumn="1" w:firstRow="1" w:lastColumn="0" w:lastRow="0" w:noHBand="0" w:noVBand="1" w:val="04A0"/>
      </w:tblPr>
      <w:tblGrid>
        <w:gridCol w:w="9808"/>
      </w:tblGrid>
      <w:tr>
        <w:tc>
          <w:tcPr>
            <w:tcW w:type="dxa" w:w="9808"/>
            <w:shd w:fill="FCEFEF"/>
            <w:tcMar>
              <w:top w:w="120" w:type="dxa"/>
              <w:start w:w="170" w:type="dxa"/>
              <w:bottom w:w="120" w:type="dxa"/>
              <w:end w:w="170" w:type="dxa"/>
            </w:tcMar>
            <w:tcBorders>
              <w:top w:val="nil"/>
              <w:left w:val="single" w:sz="18" w:color="B5504D"/>
              <w:bottom w:val="nil"/>
              <w:right w:val="nil"/>
            </w:tcBorders>
          </w:tcPr>
          <w:p>
            <w:r>
              <w:rPr>
                <w:rFonts w:ascii="Noto Sans" w:hAnsi="Noto Sans" w:eastAsia="Noto Sans"/>
                <w:b/>
                <w:color w:val="B5504D"/>
                <w:sz w:val="18"/>
              </w:rPr>
              <w:t xml:space="preserve">Предупреждение — </w:t>
            </w:r>
            <w:r>
              <w:rPr>
                <w:rFonts w:ascii="Noto Sans" w:hAnsi="Noto Sans" w:eastAsia="Noto Sans"/>
                <w:color w:val="243746"/>
                <w:sz w:val="17"/>
              </w:rPr>
              <w:t>В текущем релизном шлюзе остаётся предупреждение о 46 as-of профилях с устаревшими компонентами. Это не блокирует релиз, поскольку режим не ранжируется, но должно быть видно пользователю как ограничение свежести.</w:t>
            </w:r>
          </w:p>
        </w:tc>
      </w:tr>
    </w:tbl>
    <w:p>
      <w:pPr>
        <w:pStyle w:val="Heading2"/>
      </w:pPr>
      <w:r>
        <w:t>10.8. Источники и прокси</w:t>
      </w:r>
    </w:p>
    <w:p>
      <w:pPr>
        <w:pStyle w:val="Caption"/>
      </w:pPr>
      <w:r>
        <w:t>Таблица 30. Источник данных HTEI и роль</w:t>
      </w:r>
    </w:p>
    <w:tbl>
      <w:tblPr>
        <w:tblW w:type="auto" w:w="0"/>
        <w:jc w:val="center"/>
        <w:tblLayout w:type="autofit"/>
        <w:tblLook w:firstColumn="1" w:firstRow="1" w:lastColumn="0" w:lastRow="0" w:noHBand="0" w:noVBand="1" w:val="04A0"/>
      </w:tblPr>
      <w:tblGrid>
        <w:gridCol w:w="1962"/>
        <w:gridCol w:w="1962"/>
        <w:gridCol w:w="1962"/>
        <w:gridCol w:w="1962"/>
        <w:gridCol w:w="1962"/>
      </w:tblGrid>
      <w:tr>
        <w:trPr>
          <w:tblHeader w:val="true"/>
        </w:trPr>
        <w:tc>
          <w:tcPr>
            <w:tcW w:type="dxa" w:w="1871"/>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Источник</w:t>
            </w:r>
          </w:p>
        </w:tc>
        <w:tc>
          <w:tcPr>
            <w:tcW w:type="dxa" w:w="113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Наблюдений</w:t>
            </w:r>
          </w:p>
        </w:tc>
        <w:tc>
          <w:tcPr>
            <w:tcW w:type="dxa" w:w="113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Стран</w:t>
            </w:r>
          </w:p>
        </w:tc>
        <w:tc>
          <w:tcPr>
            <w:tcW w:type="dxa" w:w="147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Период</w:t>
            </w:r>
          </w:p>
        </w:tc>
        <w:tc>
          <w:tcPr>
            <w:tcW w:type="dxa" w:w="3628"/>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Основная роль</w:t>
            </w:r>
          </w:p>
        </w:tc>
      </w:tr>
      <w:tr>
        <w:trPr>
          <w:cantSplit/>
        </w:trPr>
        <w:tc>
          <w:tcPr>
            <w:tcW w:type="dxa" w:w="187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Eurostat</w:t>
            </w:r>
          </w:p>
        </w:tc>
        <w:tc>
          <w:tcPr>
            <w:tcW w:type="dxa" w:w="113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349</w:t>
            </w:r>
          </w:p>
        </w:tc>
        <w:tc>
          <w:tcPr>
            <w:tcW w:type="dxa" w:w="113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39</w:t>
            </w:r>
          </w:p>
        </w:tc>
        <w:tc>
          <w:tcPr>
            <w:tcW w:type="dxa" w:w="147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2019–2025</w:t>
            </w:r>
          </w:p>
        </w:tc>
        <w:tc>
          <w:tcPr>
            <w:tcW w:type="dxa" w:w="362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прямые высокотехнологичные сектора и профессии</w:t>
            </w:r>
          </w:p>
        </w:tc>
      </w:tr>
      <w:tr>
        <w:trPr>
          <w:cantSplit/>
        </w:trPr>
        <w:tc>
          <w:tcPr>
            <w:tcW w:type="dxa" w:w="187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ILOSTAT</w:t>
            </w:r>
          </w:p>
        </w:tc>
        <w:tc>
          <w:tcPr>
            <w:tcW w:type="dxa" w:w="113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543</w:t>
            </w:r>
          </w:p>
        </w:tc>
        <w:tc>
          <w:tcPr>
            <w:tcW w:type="dxa" w:w="113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160</w:t>
            </w:r>
          </w:p>
        </w:tc>
        <w:tc>
          <w:tcPr>
            <w:tcW w:type="dxa" w:w="147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2011–2026</w:t>
            </w:r>
          </w:p>
        </w:tc>
        <w:tc>
          <w:tcPr>
            <w:tcW w:type="dxa" w:w="362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глобальные отраслевые и профессиональные прокси</w:t>
            </w:r>
          </w:p>
        </w:tc>
      </w:tr>
      <w:tr>
        <w:trPr>
          <w:cantSplit/>
        </w:trPr>
        <w:tc>
          <w:tcPr>
            <w:tcW w:type="dxa" w:w="187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OECD</w:t>
            </w:r>
          </w:p>
        </w:tc>
        <w:tc>
          <w:tcPr>
            <w:tcW w:type="dxa" w:w="113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96</w:t>
            </w:r>
          </w:p>
        </w:tc>
        <w:tc>
          <w:tcPr>
            <w:tcW w:type="dxa" w:w="113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47</w:t>
            </w:r>
          </w:p>
        </w:tc>
        <w:tc>
          <w:tcPr>
            <w:tcW w:type="dxa" w:w="147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2017–2025</w:t>
            </w:r>
          </w:p>
        </w:tc>
        <w:tc>
          <w:tcPr>
            <w:tcW w:type="dxa" w:w="362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НИОКР и бизнес-финансирование</w:t>
            </w:r>
          </w:p>
        </w:tc>
      </w:tr>
      <w:tr>
        <w:trPr>
          <w:cantSplit/>
        </w:trPr>
        <w:tc>
          <w:tcPr>
            <w:tcW w:type="dxa" w:w="187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UNESCO UIS</w:t>
            </w:r>
          </w:p>
        </w:tc>
        <w:tc>
          <w:tcPr>
            <w:tcW w:type="dxa" w:w="113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377</w:t>
            </w:r>
          </w:p>
        </w:tc>
        <w:tc>
          <w:tcPr>
            <w:tcW w:type="dxa" w:w="113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150</w:t>
            </w:r>
          </w:p>
        </w:tc>
        <w:tc>
          <w:tcPr>
            <w:tcW w:type="dxa" w:w="147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2011–2025</w:t>
            </w:r>
          </w:p>
        </w:tc>
        <w:tc>
          <w:tcPr>
            <w:tcW w:type="dxa" w:w="362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исследователи, техники, STEM-выпуск</w:t>
            </w:r>
          </w:p>
        </w:tc>
      </w:tr>
      <w:tr>
        <w:trPr>
          <w:cantSplit/>
        </w:trPr>
        <w:tc>
          <w:tcPr>
            <w:tcW w:type="dxa" w:w="187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World Bank</w:t>
            </w:r>
          </w:p>
        </w:tc>
        <w:tc>
          <w:tcPr>
            <w:tcW w:type="dxa" w:w="113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544</w:t>
            </w:r>
          </w:p>
        </w:tc>
        <w:tc>
          <w:tcPr>
            <w:tcW w:type="dxa" w:w="113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195</w:t>
            </w:r>
          </w:p>
        </w:tc>
        <w:tc>
          <w:tcPr>
            <w:tcW w:type="dxa" w:w="147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2012–2025</w:t>
            </w:r>
          </w:p>
        </w:tc>
        <w:tc>
          <w:tcPr>
            <w:tcW w:type="dxa" w:w="362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технологический экспорт, ИКТ-услуги и дополнительные ряды</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source_observations, агрегаты релизной сборки.</w:t>
      </w:r>
    </w:p>
    <w:p>
      <w:r>
        <w:rPr>
          <w:rFonts w:ascii="Noto Serif" w:hAnsi="Noto Serif" w:eastAsia="Noto Serif"/>
          <w:sz w:val="18"/>
        </w:rPr>
        <w:t>Глобальный трудовой компонент ILOSTAT использует отраслевые группы ISIC J и M как широкий прокси информационно-коммуникационной и профессионально-научной деятельности. Профессиональный компонент опирается на укрупнённые группы ISCO-08 2–3. Эти прокси шире узкого определения high-tech; поэтому direct_core и common_support должны визуально отличаться от proxy_extended.</w:t>
      </w:r>
    </w:p>
    <w:p>
      <w:r>
        <w:rPr>
          <w:rFonts w:ascii="Noto Serif" w:hAnsi="Noto Serif" w:eastAsia="Noto Serif"/>
          <w:sz w:val="18"/>
        </w:rPr>
        <w:t>Корпоративный компонент не является прямым счётчиком вакансий технологических компаний. Основной сопоставимый прокси — доля бизнеса в финансировании GERD; ограниченные корпоративные данные SEC используются как дополнительный слой, а не как глобальная замена официальной статистики.</w:t>
      </w:r>
    </w:p>
    <w:p>
      <w:pPr>
        <w:pStyle w:val="Heading2"/>
      </w:pPr>
      <w:r>
        <w:t>10.9. Confidence и интервалы</w:t>
      </w:r>
    </w:p>
    <w:tbl>
      <w:tblPr>
        <w:tblW w:type="auto" w:w="0"/>
        <w:jc w:val="center"/>
        <w:tblLook w:firstColumn="1" w:firstRow="1" w:lastColumn="0" w:lastRow="0" w:noHBand="0" w:noVBand="1" w:val="04A0"/>
      </w:tblPr>
      <w:tblGrid>
        <w:gridCol w:w="9808"/>
      </w:tblGrid>
      <w:tr>
        <w:tc>
          <w:tcPr>
            <w:tcW w:type="dxa" w:w="9808"/>
            <w:shd w:fill="F5F7F8"/>
            <w:tcMar>
              <w:top w:w="140" w:type="dxa"/>
              <w:start w:w="220" w:type="dxa"/>
              <w:bottom w:w="140" w:type="dxa"/>
              <w:end w:w="220" w:type="dxa"/>
            </w:tcMar>
            <w:tcBorders>
              <w:top w:val="single" w:sz="6" w:color="CFDCE4"/>
              <w:left w:val="single" w:sz="6" w:color="CFDCE4"/>
              <w:bottom w:val="single" w:sz="6" w:color="CFDCE4"/>
              <w:right w:val="single" w:sz="6" w:color="CFDCE4"/>
            </w:tcBorders>
          </w:tcPr>
          <w:p>
            <w:pPr>
              <w:jc w:val="center"/>
            </w:pPr>
            <w:r>
              <w:rPr>
                <w:rFonts w:ascii="Noto Sans" w:hAnsi="Noto Sans" w:eastAsia="Noto Sans"/>
                <w:b/>
                <w:color w:val="2F6B8A"/>
                <w:sz w:val="16"/>
              </w:rPr>
              <w:t>Свежесть</w:t>
            </w:r>
          </w:p>
          <w:p>
            <w:pPr>
              <w:jc w:val="center"/>
            </w:pPr>
            <w:r>
              <w:rPr>
                <w:rFonts w:ascii="DejaVu Serif" w:hAnsi="DejaVu Serif" w:eastAsia="DejaVu Serif"/>
                <w:b/>
                <w:color w:val="17324D"/>
                <w:sz w:val="22"/>
              </w:rPr>
              <w:t>freshness_c = max(0, 1 − mean_lag_c/12)</w:t>
            </w:r>
          </w:p>
          <w:p>
            <w:pPr>
              <w:jc w:val="left"/>
            </w:pPr>
            <w:r>
              <w:rPr>
                <w:rFonts w:ascii="Noto Sans" w:hAnsi="Noto Sans" w:eastAsia="Noto Sans"/>
                <w:color w:val="5A6E7A"/>
                <w:sz w:val="16"/>
              </w:rPr>
              <w:t>При среднем лаге 0 лет свежесть равна 1; при лаге 12 лет и более — 0.</w:t>
            </w:r>
          </w:p>
        </w:tc>
      </w:tr>
    </w:tbl>
    <w:tbl>
      <w:tblPr>
        <w:tblW w:type="auto" w:w="0"/>
        <w:jc w:val="center"/>
        <w:tblLook w:firstColumn="1" w:firstRow="1" w:lastColumn="0" w:lastRow="0" w:noHBand="0" w:noVBand="1" w:val="04A0"/>
      </w:tblPr>
      <w:tblGrid>
        <w:gridCol w:w="9808"/>
      </w:tblGrid>
      <w:tr>
        <w:tc>
          <w:tcPr>
            <w:tcW w:type="dxa" w:w="9808"/>
            <w:shd w:fill="F5F7F8"/>
            <w:tcMar>
              <w:top w:w="140" w:type="dxa"/>
              <w:start w:w="220" w:type="dxa"/>
              <w:bottom w:w="140" w:type="dxa"/>
              <w:end w:w="220" w:type="dxa"/>
            </w:tcMar>
            <w:tcBorders>
              <w:top w:val="single" w:sz="6" w:color="CFDCE4"/>
              <w:left w:val="single" w:sz="6" w:color="CFDCE4"/>
              <w:bottom w:val="single" w:sz="6" w:color="CFDCE4"/>
              <w:right w:val="single" w:sz="6" w:color="CFDCE4"/>
            </w:tcBorders>
          </w:tcPr>
          <w:p>
            <w:pPr>
              <w:jc w:val="center"/>
            </w:pPr>
            <w:r>
              <w:rPr>
                <w:rFonts w:ascii="Noto Sans" w:hAnsi="Noto Sans" w:eastAsia="Noto Sans"/>
                <w:b/>
                <w:color w:val="2F6B8A"/>
                <w:sz w:val="16"/>
              </w:rPr>
              <w:t>Покрытие</w:t>
            </w:r>
          </w:p>
          <w:p>
            <w:pPr>
              <w:jc w:val="center"/>
            </w:pPr>
            <w:r>
              <w:rPr>
                <w:rFonts w:ascii="DejaVu Serif" w:hAnsi="DejaVu Serif" w:eastAsia="DejaVu Serif"/>
                <w:b/>
                <w:color w:val="17324D"/>
                <w:sz w:val="22"/>
              </w:rPr>
              <w:t>coverage_c = min(1, n_components_c/6)</w:t>
            </w:r>
          </w:p>
          <w:p>
            <w:pPr>
              <w:jc w:val="left"/>
            </w:pPr>
            <w:r>
              <w:rPr>
                <w:rFonts w:ascii="Noto Sans" w:hAnsi="Noto Sans" w:eastAsia="Noto Sans"/>
                <w:color w:val="5A6E7A"/>
                <w:sz w:val="16"/>
              </w:rPr>
              <w:t>Полный шестикомпонентный профиль имеет coverage 1; четырёхкомпонентный — 0,667.</w:t>
            </w:r>
          </w:p>
        </w:tc>
      </w:tr>
    </w:tbl>
    <w:tbl>
      <w:tblPr>
        <w:tblW w:type="auto" w:w="0"/>
        <w:jc w:val="center"/>
        <w:tblLook w:firstColumn="1" w:firstRow="1" w:lastColumn="0" w:lastRow="0" w:noHBand="0" w:noVBand="1" w:val="04A0"/>
      </w:tblPr>
      <w:tblGrid>
        <w:gridCol w:w="9808"/>
      </w:tblGrid>
      <w:tr>
        <w:tc>
          <w:tcPr>
            <w:tcW w:type="dxa" w:w="9808"/>
            <w:shd w:fill="F5F7F8"/>
            <w:tcMar>
              <w:top w:w="140" w:type="dxa"/>
              <w:start w:w="220" w:type="dxa"/>
              <w:bottom w:w="140" w:type="dxa"/>
              <w:end w:w="220" w:type="dxa"/>
            </w:tcMar>
            <w:tcBorders>
              <w:top w:val="single" w:sz="6" w:color="CFDCE4"/>
              <w:left w:val="single" w:sz="6" w:color="CFDCE4"/>
              <w:bottom w:val="single" w:sz="6" w:color="CFDCE4"/>
              <w:right w:val="single" w:sz="6" w:color="CFDCE4"/>
            </w:tcBorders>
          </w:tcPr>
          <w:p>
            <w:pPr>
              <w:jc w:val="center"/>
            </w:pPr>
            <w:r>
              <w:rPr>
                <w:rFonts w:ascii="Noto Sans" w:hAnsi="Noto Sans" w:eastAsia="Noto Sans"/>
                <w:b/>
                <w:color w:val="2F6B8A"/>
                <w:sz w:val="16"/>
              </w:rPr>
              <w:t>Разнообразие источников</w:t>
            </w:r>
          </w:p>
          <w:p>
            <w:pPr>
              <w:jc w:val="center"/>
            </w:pPr>
            <w:r>
              <w:rPr>
                <w:rFonts w:ascii="DejaVu Serif" w:hAnsi="DejaVu Serif" w:eastAsia="DejaVu Serif"/>
                <w:b/>
                <w:color w:val="17324D"/>
                <w:sz w:val="22"/>
              </w:rPr>
              <w:t>diversity_c = min(1, n_source_groups_c/4)</w:t>
            </w:r>
          </w:p>
          <w:p>
            <w:pPr>
              <w:jc w:val="left"/>
            </w:pPr>
            <w:r>
              <w:rPr>
                <w:rFonts w:ascii="Noto Sans" w:hAnsi="Noto Sans" w:eastAsia="Noto Sans"/>
                <w:color w:val="5A6E7A"/>
                <w:sz w:val="16"/>
              </w:rPr>
              <w:t>Показатель поощряет независимые группы источников, но не доказывает их методологическую эквивалентность.</w:t>
            </w:r>
          </w:p>
        </w:tc>
      </w:tr>
    </w:tbl>
    <w:tbl>
      <w:tblPr>
        <w:tblW w:type="auto" w:w="0"/>
        <w:jc w:val="center"/>
        <w:tblLook w:firstColumn="1" w:firstRow="1" w:lastColumn="0" w:lastRow="0" w:noHBand="0" w:noVBand="1" w:val="04A0"/>
      </w:tblPr>
      <w:tblGrid>
        <w:gridCol w:w="9808"/>
      </w:tblGrid>
      <w:tr>
        <w:tc>
          <w:tcPr>
            <w:tcW w:type="dxa" w:w="9808"/>
            <w:shd w:fill="F5F7F8"/>
            <w:tcMar>
              <w:top w:w="140" w:type="dxa"/>
              <w:start w:w="220" w:type="dxa"/>
              <w:bottom w:w="140" w:type="dxa"/>
              <w:end w:w="220" w:type="dxa"/>
            </w:tcMar>
            <w:tcBorders>
              <w:top w:val="single" w:sz="6" w:color="CFDCE4"/>
              <w:left w:val="single" w:sz="6" w:color="CFDCE4"/>
              <w:bottom w:val="single" w:sz="6" w:color="CFDCE4"/>
              <w:right w:val="single" w:sz="6" w:color="CFDCE4"/>
            </w:tcBorders>
          </w:tcPr>
          <w:p>
            <w:pPr>
              <w:jc w:val="center"/>
            </w:pPr>
            <w:r>
              <w:rPr>
                <w:rFonts w:ascii="Noto Sans" w:hAnsi="Noto Sans" w:eastAsia="Noto Sans"/>
                <w:b/>
                <w:color w:val="2F6B8A"/>
                <w:sz w:val="16"/>
              </w:rPr>
              <w:t>Итоговая уверенность</w:t>
            </w:r>
          </w:p>
          <w:p>
            <w:pPr>
              <w:jc w:val="center"/>
            </w:pPr>
            <w:r>
              <w:rPr>
                <w:rFonts w:ascii="DejaVu Serif" w:hAnsi="DejaVu Serif" w:eastAsia="DejaVu Serif"/>
                <w:b/>
                <w:color w:val="17324D"/>
                <w:sz w:val="22"/>
              </w:rPr>
              <w:t>confidence_c = 0,45×coverage_c + 0,35×freshness_c + 0,20×diversity_c</w:t>
            </w:r>
          </w:p>
          <w:p>
            <w:pPr>
              <w:jc w:val="left"/>
            </w:pPr>
            <w:r>
              <w:rPr>
                <w:rFonts w:ascii="Noto Sans" w:hAnsi="Noto Sans" w:eastAsia="Noto Sans"/>
                <w:color w:val="5A6E7A"/>
                <w:sz w:val="16"/>
              </w:rPr>
              <w:t>Confidence — индекс качества данных 0–1, а не статистическая вероятность истинности score.</w:t>
            </w:r>
          </w:p>
        </w:tc>
      </w:tr>
    </w:tbl>
    <w:tbl>
      <w:tblPr>
        <w:tblW w:type="auto" w:w="0"/>
        <w:jc w:val="center"/>
        <w:tblLook w:firstColumn="1" w:firstRow="1" w:lastColumn="0" w:lastRow="0" w:noHBand="0" w:noVBand="1" w:val="04A0"/>
      </w:tblPr>
      <w:tblGrid>
        <w:gridCol w:w="9808"/>
      </w:tblGrid>
      <w:tr>
        <w:tc>
          <w:tcPr>
            <w:tcW w:type="dxa" w:w="9808"/>
            <w:shd w:fill="F5F7F8"/>
            <w:tcMar>
              <w:top w:w="140" w:type="dxa"/>
              <w:start w:w="220" w:type="dxa"/>
              <w:bottom w:w="140" w:type="dxa"/>
              <w:end w:w="220" w:type="dxa"/>
            </w:tcMar>
            <w:tcBorders>
              <w:top w:val="single" w:sz="6" w:color="CFDCE4"/>
              <w:left w:val="single" w:sz="6" w:color="CFDCE4"/>
              <w:bottom w:val="single" w:sz="6" w:color="CFDCE4"/>
              <w:right w:val="single" w:sz="6" w:color="CFDCE4"/>
            </w:tcBorders>
          </w:tcPr>
          <w:p>
            <w:pPr>
              <w:jc w:val="center"/>
            </w:pPr>
            <w:r>
              <w:rPr>
                <w:rFonts w:ascii="Noto Sans" w:hAnsi="Noto Sans" w:eastAsia="Noto Sans"/>
                <w:b/>
                <w:color w:val="2F6B8A"/>
                <w:sz w:val="16"/>
              </w:rPr>
              <w:t>Эвристический интервал score</w:t>
            </w:r>
          </w:p>
          <w:p>
            <w:pPr>
              <w:jc w:val="center"/>
            </w:pPr>
            <w:r>
              <w:rPr>
                <w:rFonts w:ascii="DejaVu Serif" w:hAnsi="DejaVu Serif" w:eastAsia="DejaVu Serif"/>
                <w:b/>
                <w:color w:val="17324D"/>
                <w:sz w:val="22"/>
              </w:rPr>
              <w:t>half_width_c = max(1, (1 − confidence_c)×10);  interval = [score−half_width, score+half_width]∩[0,100]</w:t>
            </w:r>
          </w:p>
          <w:p>
            <w:pPr>
              <w:jc w:val="left"/>
            </w:pPr>
            <w:r>
              <w:rPr>
                <w:rFonts w:ascii="Noto Sans" w:hAnsi="Noto Sans" w:eastAsia="Noto Sans"/>
                <w:color w:val="5A6E7A"/>
                <w:sz w:val="16"/>
              </w:rPr>
              <w:t>Интервал предназначен для интерфейсного предупреждения. Он не является доверительным интервалом, поскольку не получен из вероятностной модели ошибок.</w:t>
            </w:r>
          </w:p>
        </w:tc>
      </w:tr>
    </w:tbl>
    <w:p>
      <w:r>
        <w:rPr>
          <w:rFonts w:ascii="Noto Serif" w:hAnsi="Noto Serif" w:eastAsia="Noto Serif"/>
          <w:sz w:val="18"/>
        </w:rPr>
        <w:t>Интервал ранга определяется как набор позиций стран, чьи баллы попадают в score interval рассматриваемой страны. Он показывает чувствительность места к неопределённости качества, но не учитывает полную совместную ковариацию компонентов.</w:t>
      </w:r>
    </w:p>
    <w:p>
      <w:pPr>
        <w:pStyle w:val="Heading2"/>
      </w:pPr>
      <w:r>
        <w:t>10.10. Диагностика и рекомендации</w:t>
      </w:r>
    </w:p>
    <w:tbl>
      <w:tblPr>
        <w:tblW w:type="auto" w:w="0"/>
        <w:jc w:val="center"/>
        <w:tblLook w:firstColumn="1" w:firstRow="1" w:lastColumn="0" w:lastRow="0" w:noHBand="0" w:noVBand="1" w:val="04A0"/>
      </w:tblPr>
      <w:tblGrid>
        <w:gridCol w:w="9808"/>
      </w:tblGrid>
      <w:tr>
        <w:tc>
          <w:tcPr>
            <w:tcW w:type="dxa" w:w="9808"/>
            <w:shd w:fill="F5F7F8"/>
            <w:tcMar>
              <w:top w:w="140" w:type="dxa"/>
              <w:start w:w="220" w:type="dxa"/>
              <w:bottom w:w="140" w:type="dxa"/>
              <w:end w:w="220" w:type="dxa"/>
            </w:tcMar>
            <w:tcBorders>
              <w:top w:val="single" w:sz="6" w:color="CFDCE4"/>
              <w:left w:val="single" w:sz="6" w:color="CFDCE4"/>
              <w:bottom w:val="single" w:sz="6" w:color="CFDCE4"/>
              <w:right w:val="single" w:sz="6" w:color="CFDCE4"/>
            </w:tcBorders>
          </w:tcPr>
          <w:p>
            <w:pPr>
              <w:jc w:val="center"/>
            </w:pPr>
            <w:r>
              <w:rPr>
                <w:rFonts w:ascii="Noto Sans" w:hAnsi="Noto Sans" w:eastAsia="Noto Sans"/>
                <w:b/>
                <w:color w:val="2F6B8A"/>
                <w:sz w:val="16"/>
              </w:rPr>
              <w:t>Leverage</w:t>
            </w:r>
          </w:p>
          <w:p>
            <w:pPr>
              <w:jc w:val="center"/>
            </w:pPr>
            <w:r>
              <w:rPr>
                <w:rFonts w:ascii="DejaVu Serif" w:hAnsi="DejaVu Serif" w:eastAsia="DejaVu Serif"/>
                <w:b/>
                <w:color w:val="17324D"/>
                <w:sz w:val="22"/>
              </w:rPr>
              <w:t>leverage_ic = 1 + gap_ic/100</w:t>
            </w:r>
          </w:p>
          <w:p>
            <w:pPr>
              <w:jc w:val="left"/>
            </w:pPr>
            <w:r>
              <w:rPr>
                <w:rFonts w:ascii="Noto Sans" w:hAnsi="Noto Sans" w:eastAsia="Noto Sans"/>
                <w:color w:val="5A6E7A"/>
                <w:sz w:val="16"/>
              </w:rPr>
              <w:t>Крупный разрыв получает нелинейное усиление от 1 до 2.</w:t>
            </w:r>
          </w:p>
        </w:tc>
      </w:tr>
    </w:tbl>
    <w:tbl>
      <w:tblPr>
        <w:tblW w:type="auto" w:w="0"/>
        <w:jc w:val="center"/>
        <w:tblLook w:firstColumn="1" w:firstRow="1" w:lastColumn="0" w:lastRow="0" w:noHBand="0" w:noVBand="1" w:val="04A0"/>
      </w:tblPr>
      <w:tblGrid>
        <w:gridCol w:w="9808"/>
      </w:tblGrid>
      <w:tr>
        <w:tc>
          <w:tcPr>
            <w:tcW w:type="dxa" w:w="9808"/>
            <w:shd w:fill="F5F7F8"/>
            <w:tcMar>
              <w:top w:w="140" w:type="dxa"/>
              <w:start w:w="220" w:type="dxa"/>
              <w:bottom w:w="140" w:type="dxa"/>
              <w:end w:w="220" w:type="dxa"/>
            </w:tcMar>
            <w:tcBorders>
              <w:top w:val="single" w:sz="6" w:color="CFDCE4"/>
              <w:left w:val="single" w:sz="6" w:color="CFDCE4"/>
              <w:bottom w:val="single" w:sz="6" w:color="CFDCE4"/>
              <w:right w:val="single" w:sz="6" w:color="CFDCE4"/>
            </w:tcBorders>
          </w:tcPr>
          <w:p>
            <w:pPr>
              <w:jc w:val="center"/>
            </w:pPr>
            <w:r>
              <w:rPr>
                <w:rFonts w:ascii="Noto Sans" w:hAnsi="Noto Sans" w:eastAsia="Noto Sans"/>
                <w:b/>
                <w:color w:val="2F6B8A"/>
                <w:sz w:val="16"/>
              </w:rPr>
              <w:t>Приоритет действия</w:t>
            </w:r>
          </w:p>
          <w:p>
            <w:pPr>
              <w:jc w:val="center"/>
            </w:pPr>
            <w:r>
              <w:rPr>
                <w:rFonts w:ascii="DejaVu Serif" w:hAnsi="DejaVu Serif" w:eastAsia="DejaVu Serif"/>
                <w:b/>
                <w:color w:val="17324D"/>
                <w:sz w:val="22"/>
              </w:rPr>
              <w:t>priority_ic = gap_ic × effective_weight_i × leverage_ic × actionability_i</w:t>
            </w:r>
          </w:p>
          <w:p>
            <w:pPr>
              <w:jc w:val="left"/>
            </w:pPr>
            <w:r>
              <w:rPr>
                <w:rFonts w:ascii="Noto Sans" w:hAnsi="Noto Sans" w:eastAsia="Noto Sans"/>
                <w:color w:val="5A6E7A"/>
                <w:sz w:val="16"/>
              </w:rPr>
              <w:t>Итог сортирует компоненты для объяснения и policy brief. Значения actionability: employment 0,75; occupations 0,80; R&amp;D 0,65; STEM 0,85; outputs 0,55; corporate 0,70.</w:t>
            </w:r>
          </w:p>
        </w:tc>
      </w:tr>
    </w:tbl>
    <w:p>
      <w:pPr>
        <w:pStyle w:val="Heading2"/>
      </w:pPr>
      <w:r>
        <w:t>10.11. Устойчивость</w:t>
      </w:r>
    </w:p>
    <w:p>
      <w:pPr>
        <w:pStyle w:val="Caption"/>
      </w:pPr>
      <w:r>
        <w:t>Таблица 31. Аудит чувствительности HTEI v6</w:t>
      </w:r>
    </w:p>
    <w:tbl>
      <w:tblPr>
        <w:tblW w:type="auto" w:w="0"/>
        <w:jc w:val="center"/>
        <w:tblLayout w:type="autofit"/>
        <w:tblLook w:firstColumn="1" w:firstRow="1" w:lastColumn="0" w:lastRow="0" w:noHBand="0" w:noVBand="1" w:val="04A0"/>
      </w:tblPr>
      <w:tblGrid>
        <w:gridCol w:w="4904"/>
        <w:gridCol w:w="4904"/>
      </w:tblGrid>
      <w:tr>
        <w:trPr>
          <w:tblHeader w:val="true"/>
        </w:trPr>
        <w:tc>
          <w:tcPr>
            <w:tcW w:type="dxa" w:w="4535"/>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Показатель</w:t>
            </w:r>
          </w:p>
        </w:tc>
        <w:tc>
          <w:tcPr>
            <w:tcW w:type="dxa" w:w="4649"/>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Значение</w:t>
            </w:r>
          </w:p>
        </w:tc>
      </w:tr>
      <w:tr>
        <w:trPr>
          <w:cantSplit/>
        </w:trPr>
        <w:tc>
          <w:tcPr>
            <w:tcW w:type="dxa" w:w="45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Число прогонов</w:t>
            </w:r>
          </w:p>
        </w:tc>
        <w:tc>
          <w:tcPr>
            <w:tcW w:type="dxa" w:w="4649"/>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206</w:t>
            </w:r>
          </w:p>
        </w:tc>
      </w:tr>
      <w:tr>
        <w:trPr>
          <w:cantSplit/>
        </w:trPr>
        <w:tc>
          <w:tcPr>
            <w:tcW w:type="dxa" w:w="453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Стран в контрольном рейтинге</w:t>
            </w:r>
          </w:p>
        </w:tc>
        <w:tc>
          <w:tcPr>
            <w:tcW w:type="dxa" w:w="4649"/>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89</w:t>
            </w:r>
          </w:p>
        </w:tc>
      </w:tr>
      <w:tr>
        <w:trPr>
          <w:cantSplit/>
        </w:trPr>
        <w:tc>
          <w:tcPr>
            <w:tcW w:type="dxa" w:w="45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Средняя Spearman ρ</w:t>
            </w:r>
          </w:p>
        </w:tc>
        <w:tc>
          <w:tcPr>
            <w:tcW w:type="dxa" w:w="4649"/>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0,996861</w:t>
            </w:r>
          </w:p>
        </w:tc>
      </w:tr>
      <w:tr>
        <w:trPr>
          <w:cantSplit/>
        </w:trPr>
        <w:tc>
          <w:tcPr>
            <w:tcW w:type="dxa" w:w="453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Минимальная Spearman ρ</w:t>
            </w:r>
          </w:p>
        </w:tc>
        <w:tc>
          <w:tcPr>
            <w:tcW w:type="dxa" w:w="4649"/>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0,934729</w:t>
            </w:r>
          </w:p>
        </w:tc>
      </w:tr>
      <w:tr>
        <w:trPr>
          <w:cantSplit/>
        </w:trPr>
        <w:tc>
          <w:tcPr>
            <w:tcW w:type="dxa" w:w="45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Среднее абсолютное изменение ранга</w:t>
            </w:r>
          </w:p>
        </w:tc>
        <w:tc>
          <w:tcPr>
            <w:tcW w:type="dxa" w:w="4649"/>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1,130</w:t>
            </w:r>
          </w:p>
        </w:tc>
      </w:tr>
      <w:tr>
        <w:trPr>
          <w:cantSplit/>
        </w:trPr>
        <w:tc>
          <w:tcPr>
            <w:tcW w:type="dxa" w:w="453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Максимальное изменение ранга</w:t>
            </w:r>
          </w:p>
        </w:tc>
        <w:tc>
          <w:tcPr>
            <w:tcW w:type="dxa" w:w="4649"/>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33</w:t>
            </w:r>
          </w:p>
        </w:tc>
      </w:tr>
      <w:tr>
        <w:trPr>
          <w:cantSplit/>
        </w:trPr>
        <w:tc>
          <w:tcPr>
            <w:tcW w:type="dxa" w:w="45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Шлюз устойчивости</w:t>
            </w:r>
          </w:p>
        </w:tc>
        <w:tc>
          <w:tcPr>
            <w:tcW w:type="dxa" w:w="4649"/>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пройден</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methodology_audit_runs; возмущения весов, альтернативное нормирование и leave-one-component-out.</w:t>
      </w:r>
    </w:p>
    <w:p>
      <w:r>
        <w:rPr>
          <w:rFonts w:ascii="Noto Serif" w:hAnsi="Noto Serif" w:eastAsia="Noto Serif"/>
          <w:sz w:val="18"/>
        </w:rPr>
        <w:t>Средняя ранговая корреляция около 0,997 указывает на высокую общую устойчивость рейтинга, но минимальная корреляция около 0,935 и максимальное изменение 33 места показывают, что отдельные страны чувствительны к исключению трудовых компонентов. Поэтому рядом с местом полезно показывать компонентный профиль и интервал ранга, а не только одно число.</w:t>
      </w:r>
    </w:p>
    <w:p>
      <w:pPr>
        <w:pStyle w:val="Heading2"/>
      </w:pPr>
      <w:r>
        <w:t>10.12. Авторство и институциональная ответственность</w:t>
      </w:r>
    </w:p>
    <w:p>
      <w:r>
        <w:rPr>
          <w:rFonts w:ascii="Noto Serif" w:hAnsi="Noto Serif" w:eastAsia="Noto Serif"/>
          <w:sz w:val="18"/>
        </w:rPr>
        <w:t>В source_registry институциональным владельцем HTEI указаны MGIMO / FNISC RAS, а в документации методика описана как модель проекта. Переданный архив не содержит утверждённого списка индивидуальных авторов HTEI. Поэтому публичная страница не должна приписывать авторство конкретным лицам без отдельного согласованного библиографического основания. Рекомендуемая формулировка: «авторская методика исследовательского коллектива проекта GIR; институциональная принадлежность — MGIMO / FNISC RAS», с последующим добавлением персонального авторского списка из утверждённого научного отчёта.</w:t>
      </w:r>
    </w:p>
    <w:p>
      <w:bookmarkStart w:id="1980" w:name="sec11"/>
      <w:pPr>
        <w:pStyle w:val="Heading1"/>
      </w:pPr>
      <w:r>
        <w:t>11. Модель конкурентоспособности системы подготовки кадров</w:t>
      </w:r>
      <w:bookmarkEnd w:id="1980"/>
    </w:p>
    <w:tbl>
      <w:tblPr>
        <w:tblW w:type="auto" w:w="0"/>
        <w:jc w:val="center"/>
        <w:tblLook w:firstColumn="1" w:firstRow="1" w:lastColumn="0" w:lastRow="0" w:noHBand="0" w:noVBand="1" w:val="04A0"/>
      </w:tblPr>
      <w:tblGrid>
        <w:gridCol w:w="9808"/>
      </w:tblGrid>
      <w:tr>
        <w:tc>
          <w:tcPr>
            <w:tcW w:type="dxa" w:w="9808"/>
            <w:shd w:fill="F5F1F8"/>
            <w:tcMar>
              <w:top w:w="120" w:type="dxa"/>
              <w:start w:w="170" w:type="dxa"/>
              <w:bottom w:w="120" w:type="dxa"/>
              <w:end w:w="170" w:type="dxa"/>
            </w:tcMar>
            <w:tcBorders>
              <w:top w:val="nil"/>
              <w:left w:val="single" w:sz="18" w:color="705A8A"/>
              <w:bottom w:val="nil"/>
              <w:right w:val="nil"/>
            </w:tcBorders>
          </w:tcPr>
          <w:p>
            <w:r>
              <w:rPr>
                <w:rFonts w:ascii="Noto Sans" w:hAnsi="Noto Sans" w:eastAsia="Noto Sans"/>
                <w:b/>
                <w:color w:val="705A8A"/>
                <w:sz w:val="18"/>
              </w:rPr>
              <w:t xml:space="preserve">Статус модели — </w:t>
            </w:r>
            <w:r>
              <w:rPr>
                <w:rFonts w:ascii="Noto Sans" w:hAnsi="Noto Sans" w:eastAsia="Noto Sans"/>
                <w:color w:val="243746"/>
                <w:sz w:val="17"/>
              </w:rPr>
              <w:t>Training Model v2 — отдельная аналитическая модель. Она использует часть индексных и HTEI-компонентов, но не является второй версией HTEI и не должна смешиваться с ним в одной шкале.</w:t>
            </w:r>
          </w:p>
        </w:tc>
      </w:tr>
    </w:tbl>
    <w:p>
      <w:pPr>
        <w:pStyle w:val="Heading2"/>
      </w:pPr>
      <w:r>
        <w:t>11.1. Концепция и блоки</w:t>
      </w:r>
    </w:p>
    <w:p>
      <w:r>
        <w:rPr>
          <w:rFonts w:ascii="Noto Serif" w:hAnsi="Noto Serif" w:eastAsia="Noto Serif"/>
          <w:sz w:val="18"/>
        </w:rPr>
        <w:t>Модель оценивает, насколько национальная система способна создавать институциональные условия, обеспечивать образовательный поток, связывать подготовку с корпоративным спросом и быть включённой в международную среду. Это скорее модель конкурентоспособности экосистемы подготовки, чем показатель качества отдельных университетов.</w:t>
      </w:r>
    </w:p>
    <w:p>
      <w:pPr>
        <w:pStyle w:val="Caption"/>
      </w:pPr>
      <w:r>
        <w:t>Таблица 32. Блоки Training Model v2</w:t>
      </w:r>
    </w:p>
    <w:tbl>
      <w:tblPr>
        <w:tblW w:type="auto" w:w="0"/>
        <w:jc w:val="center"/>
        <w:tblLayout w:type="autofit"/>
        <w:tblLook w:firstColumn="1" w:firstRow="1" w:lastColumn="0" w:lastRow="0" w:noHBand="0" w:noVBand="1" w:val="04A0"/>
      </w:tblPr>
      <w:tblGrid>
        <w:gridCol w:w="3269"/>
        <w:gridCol w:w="3269"/>
        <w:gridCol w:w="3269"/>
      </w:tblGrid>
      <w:tr>
        <w:trPr>
          <w:tblHeader w:val="true"/>
        </w:trPr>
        <w:tc>
          <w:tcPr>
            <w:tcW w:type="dxa" w:w="215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Блок</w:t>
            </w:r>
          </w:p>
        </w:tc>
        <w:tc>
          <w:tcPr>
            <w:tcW w:type="dxa" w:w="1020"/>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Вес</w:t>
            </w:r>
          </w:p>
        </w:tc>
        <w:tc>
          <w:tcPr>
            <w:tcW w:type="dxa" w:w="6009"/>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Компоненты и источники</w:t>
            </w:r>
          </w:p>
        </w:tc>
      </w:tr>
      <w:tr>
        <w:trPr>
          <w:cantSplit/>
        </w:trPr>
        <w:tc>
          <w:tcPr>
            <w:tcW w:type="dxa" w:w="21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Институциональный</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0,25</w:t>
            </w:r>
          </w:p>
        </w:tc>
        <w:tc>
          <w:tcPr>
            <w:tcW w:type="dxa" w:w="6009"/>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GTCI ENABLE; GII Institutions; IDI Meaningful Connectivity</w:t>
            </w:r>
          </w:p>
        </w:tc>
      </w:tr>
      <w:tr>
        <w:trPr>
          <w:cantSplit/>
        </w:trPr>
        <w:tc>
          <w:tcPr>
            <w:tcW w:type="dxa" w:w="21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Образовательный</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0,30</w:t>
            </w:r>
          </w:p>
        </w:tc>
        <w:tc>
          <w:tcPr>
            <w:tcW w:type="dxa" w:w="6009"/>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HCI School; HCI Learning; QS_ET Top Count; HTEI STEM Pipeline</w:t>
            </w:r>
          </w:p>
        </w:tc>
      </w:tr>
      <w:tr>
        <w:trPr>
          <w:cantSplit/>
        </w:trPr>
        <w:tc>
          <w:tcPr>
            <w:tcW w:type="dxa" w:w="21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Корпоративный</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0,25</w:t>
            </w:r>
          </w:p>
        </w:tc>
        <w:tc>
          <w:tcPr>
            <w:tcW w:type="dxa" w:w="6009"/>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GII Business Sophistication; HTEI Corporate Demand; HTEI Tech Outputs</w:t>
            </w:r>
          </w:p>
        </w:tc>
      </w:tr>
      <w:tr>
        <w:trPr>
          <w:cantSplit/>
        </w:trPr>
        <w:tc>
          <w:tcPr>
            <w:tcW w:type="dxa" w:w="21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Международный</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0,20</w:t>
            </w:r>
          </w:p>
        </w:tc>
        <w:tc>
          <w:tcPr>
            <w:tcW w:type="dxa" w:w="6009"/>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GTCI Attract; QS_ET QS Score; GII Knowledge &amp; Technology Outputs</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TRAINING_MODEL_METHODOLOGY_V2.md и production_data.py.</w:t>
      </w:r>
    </w:p>
    <w:tbl>
      <w:tblPr>
        <w:tblW w:type="auto" w:w="0"/>
        <w:jc w:val="center"/>
        <w:tblLook w:firstColumn="1" w:firstRow="1" w:lastColumn="0" w:lastRow="0" w:noHBand="0" w:noVBand="1" w:val="04A0"/>
      </w:tblPr>
      <w:tblGrid>
        <w:gridCol w:w="9808"/>
      </w:tblGrid>
      <w:tr>
        <w:tc>
          <w:tcPr>
            <w:tcW w:type="dxa" w:w="9808"/>
            <w:shd w:fill="F5F7F8"/>
            <w:tcMar>
              <w:top w:w="140" w:type="dxa"/>
              <w:start w:w="220" w:type="dxa"/>
              <w:bottom w:w="140" w:type="dxa"/>
              <w:end w:w="220" w:type="dxa"/>
            </w:tcMar>
            <w:tcBorders>
              <w:top w:val="single" w:sz="6" w:color="CFDCE4"/>
              <w:left w:val="single" w:sz="6" w:color="CFDCE4"/>
              <w:bottom w:val="single" w:sz="6" w:color="CFDCE4"/>
              <w:right w:val="single" w:sz="6" w:color="CFDCE4"/>
            </w:tcBorders>
          </w:tcPr>
          <w:p>
            <w:pPr>
              <w:jc w:val="center"/>
            </w:pPr>
            <w:r>
              <w:rPr>
                <w:rFonts w:ascii="Noto Sans" w:hAnsi="Noto Sans" w:eastAsia="Noto Sans"/>
                <w:b/>
                <w:color w:val="2F6B8A"/>
                <w:sz w:val="16"/>
              </w:rPr>
              <w:t>Базовый балл модели</w:t>
            </w:r>
          </w:p>
          <w:p>
            <w:pPr>
              <w:jc w:val="center"/>
            </w:pPr>
            <w:r>
              <w:rPr>
                <w:rFonts w:ascii="DejaVu Serif" w:hAnsi="DejaVu Serif" w:eastAsia="DejaVu Serif"/>
                <w:b/>
                <w:color w:val="17324D"/>
                <w:sz w:val="22"/>
              </w:rPr>
              <w:t>Base_c = Σ(b∈B_c) W̃_b × BlockScore_bc</w:t>
            </w:r>
          </w:p>
          <w:p>
            <w:pPr>
              <w:jc w:val="left"/>
            </w:pPr>
            <w:r>
              <w:rPr>
                <w:rFonts w:ascii="Noto Sans" w:hAnsi="Noto Sans" w:eastAsia="Noto Sans"/>
                <w:color w:val="5A6E7A"/>
                <w:sz w:val="16"/>
              </w:rPr>
              <w:t>Вес доступных блоков перенормируется внутри допустимого набора B_c.</w:t>
            </w:r>
          </w:p>
        </w:tc>
      </w:tr>
    </w:tbl>
    <w:tbl>
      <w:tblPr>
        <w:tblW w:type="auto" w:w="0"/>
        <w:jc w:val="center"/>
        <w:tblLook w:firstColumn="1" w:firstRow="1" w:lastColumn="0" w:lastRow="0" w:noHBand="0" w:noVBand="1" w:val="04A0"/>
      </w:tblPr>
      <w:tblGrid>
        <w:gridCol w:w="9808"/>
      </w:tblGrid>
      <w:tr>
        <w:tc>
          <w:tcPr>
            <w:tcW w:type="dxa" w:w="9808"/>
            <w:shd w:fill="F5F7F8"/>
            <w:tcMar>
              <w:top w:w="140" w:type="dxa"/>
              <w:start w:w="220" w:type="dxa"/>
              <w:bottom w:w="140" w:type="dxa"/>
              <w:end w:w="220" w:type="dxa"/>
            </w:tcMar>
            <w:tcBorders>
              <w:top w:val="single" w:sz="6" w:color="CFDCE4"/>
              <w:left w:val="single" w:sz="6" w:color="CFDCE4"/>
              <w:bottom w:val="single" w:sz="6" w:color="CFDCE4"/>
              <w:right w:val="single" w:sz="6" w:color="CFDCE4"/>
            </w:tcBorders>
          </w:tcPr>
          <w:p>
            <w:pPr>
              <w:jc w:val="center"/>
            </w:pPr>
            <w:r>
              <w:rPr>
                <w:rFonts w:ascii="Noto Sans" w:hAnsi="Noto Sans" w:eastAsia="Noto Sans"/>
                <w:b/>
                <w:color w:val="2F6B8A"/>
                <w:sz w:val="16"/>
              </w:rPr>
              <w:t>Коэффициент качества реализации</w:t>
            </w:r>
          </w:p>
          <w:p>
            <w:pPr>
              <w:jc w:val="center"/>
            </w:pPr>
            <w:r>
              <w:rPr>
                <w:rFonts w:ascii="DejaVu Serif" w:hAnsi="DejaVu Serif" w:eastAsia="DejaVu Serif"/>
                <w:b/>
                <w:color w:val="17324D"/>
                <w:sz w:val="22"/>
              </w:rPr>
              <w:t>Final_c = Base_c × (0,90 + 0,10×data_quality_c)</w:t>
            </w:r>
          </w:p>
          <w:p>
            <w:pPr>
              <w:jc w:val="left"/>
            </w:pPr>
            <w:r>
              <w:rPr>
                <w:rFonts w:ascii="Noto Sans" w:hAnsi="Noto Sans" w:eastAsia="Noto Sans"/>
                <w:color w:val="5A6E7A"/>
                <w:sz w:val="16"/>
              </w:rPr>
              <w:t>В отличие от HTEI v6, текущая реализация training model включает небольшой quality multiplier: при качестве 0 итог уменьшается на 10%, при качестве 1 не меняется.</w:t>
            </w:r>
          </w:p>
        </w:tc>
      </w:tr>
    </w:tbl>
    <w:p>
      <w:r>
        <w:rPr>
          <w:rFonts w:ascii="Noto Serif" w:hAnsi="Noto Serif" w:eastAsia="Noto Serif"/>
          <w:sz w:val="18"/>
        </w:rPr>
        <w:t>В базе 508 страногодовых оценок для 135 стран за 2023–2026 гг. и 4 943 компонентных строки. Контроль чувствительности проведён на 117 странах в 200 прогонах.</w:t>
      </w:r>
    </w:p>
    <w:p>
      <w:pPr>
        <w:pStyle w:val="Caption"/>
      </w:pPr>
      <w:r>
        <w:t>Таблица 33. Аудит устойчивости Training Model v2</w:t>
      </w:r>
    </w:p>
    <w:tbl>
      <w:tblPr>
        <w:tblW w:type="auto" w:w="0"/>
        <w:jc w:val="center"/>
        <w:tblLayout w:type="autofit"/>
        <w:tblLook w:firstColumn="1" w:firstRow="1" w:lastColumn="0" w:lastRow="0" w:noHBand="0" w:noVBand="1" w:val="04A0"/>
      </w:tblPr>
      <w:tblGrid>
        <w:gridCol w:w="4904"/>
        <w:gridCol w:w="4904"/>
      </w:tblGrid>
      <w:tr>
        <w:trPr>
          <w:tblHeader w:val="true"/>
        </w:trPr>
        <w:tc>
          <w:tcPr>
            <w:tcW w:type="dxa" w:w="4535"/>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Показатель</w:t>
            </w:r>
          </w:p>
        </w:tc>
        <w:tc>
          <w:tcPr>
            <w:tcW w:type="dxa" w:w="4649"/>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Значение</w:t>
            </w:r>
          </w:p>
        </w:tc>
      </w:tr>
      <w:tr>
        <w:trPr>
          <w:cantSplit/>
        </w:trPr>
        <w:tc>
          <w:tcPr>
            <w:tcW w:type="dxa" w:w="45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Прогонов</w:t>
            </w:r>
          </w:p>
        </w:tc>
        <w:tc>
          <w:tcPr>
            <w:tcW w:type="dxa" w:w="4649"/>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200</w:t>
            </w:r>
          </w:p>
        </w:tc>
      </w:tr>
      <w:tr>
        <w:trPr>
          <w:cantSplit/>
        </w:trPr>
        <w:tc>
          <w:tcPr>
            <w:tcW w:type="dxa" w:w="453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Стран</w:t>
            </w:r>
          </w:p>
        </w:tc>
        <w:tc>
          <w:tcPr>
            <w:tcW w:type="dxa" w:w="4649"/>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117</w:t>
            </w:r>
          </w:p>
        </w:tc>
      </w:tr>
      <w:tr>
        <w:trPr>
          <w:cantSplit/>
        </w:trPr>
        <w:tc>
          <w:tcPr>
            <w:tcW w:type="dxa" w:w="45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Средняя Spearman ρ</w:t>
            </w:r>
          </w:p>
        </w:tc>
        <w:tc>
          <w:tcPr>
            <w:tcW w:type="dxa" w:w="4649"/>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0,998747</w:t>
            </w:r>
          </w:p>
        </w:tc>
      </w:tr>
      <w:tr>
        <w:trPr>
          <w:cantSplit/>
        </w:trPr>
        <w:tc>
          <w:tcPr>
            <w:tcW w:type="dxa" w:w="453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Минимальная Spearman ρ</w:t>
            </w:r>
          </w:p>
        </w:tc>
        <w:tc>
          <w:tcPr>
            <w:tcW w:type="dxa" w:w="4649"/>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0,996995</w:t>
            </w:r>
          </w:p>
        </w:tc>
      </w:tr>
      <w:tr>
        <w:trPr>
          <w:cantSplit/>
        </w:trPr>
        <w:tc>
          <w:tcPr>
            <w:tcW w:type="dxa" w:w="45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Среднее абсолютное изменение ранга</w:t>
            </w:r>
          </w:p>
        </w:tc>
        <w:tc>
          <w:tcPr>
            <w:tcW w:type="dxa" w:w="4649"/>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1,126</w:t>
            </w:r>
          </w:p>
        </w:tc>
      </w:tr>
      <w:tr>
        <w:trPr>
          <w:cantSplit/>
        </w:trPr>
        <w:tc>
          <w:tcPr>
            <w:tcW w:type="dxa" w:w="453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Максимальное изменение ранга</w:t>
            </w:r>
          </w:p>
        </w:tc>
        <w:tc>
          <w:tcPr>
            <w:tcW w:type="dxa" w:w="4649"/>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13</w:t>
            </w:r>
          </w:p>
        </w:tc>
      </w:tr>
      <w:tr>
        <w:trPr>
          <w:cantSplit/>
        </w:trPr>
        <w:tc>
          <w:tcPr>
            <w:tcW w:type="dxa" w:w="45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Статус</w:t>
            </w:r>
          </w:p>
        </w:tc>
        <w:tc>
          <w:tcPr>
            <w:tcW w:type="dxa" w:w="4649"/>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пройден</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methodology_audit_runs.</w:t>
      </w:r>
    </w:p>
    <w:p>
      <w:pPr>
        <w:pStyle w:val="Heading2"/>
      </w:pPr>
      <w:r>
        <w:t>11.2. Правило включения и обнаруженное расхождение</w:t>
      </w:r>
    </w:p>
    <w:p>
      <w:r>
        <w:rPr>
          <w:rFonts w:ascii="Noto Serif" w:hAnsi="Noto Serif" w:eastAsia="Noto Serif"/>
          <w:sz w:val="18"/>
        </w:rPr>
        <w:t>Текстовая методика указывает требование не менее трёх блоков и 70% суммарного веса. Фактический код production_data.py проверяет порог available_block_weight &lt; 0.65, то есть допускает профиль при 65% доступного веса. Это не стилистическое расхождение, а различие в составе публикуемой выборки.</w:t>
      </w:r>
    </w:p>
    <w:tbl>
      <w:tblPr>
        <w:tblW w:type="auto" w:w="0"/>
        <w:jc w:val="center"/>
        <w:tblLook w:firstColumn="1" w:firstRow="1" w:lastColumn="0" w:lastRow="0" w:noHBand="0" w:noVBand="1" w:val="04A0"/>
      </w:tblPr>
      <w:tblGrid>
        <w:gridCol w:w="9808"/>
      </w:tblGrid>
      <w:tr>
        <w:tc>
          <w:tcPr>
            <w:tcW w:type="dxa" w:w="9808"/>
            <w:shd w:fill="FCEFEF"/>
            <w:tcMar>
              <w:top w:w="120" w:type="dxa"/>
              <w:start w:w="170" w:type="dxa"/>
              <w:bottom w:w="120" w:type="dxa"/>
              <w:end w:w="170" w:type="dxa"/>
            </w:tcMar>
            <w:tcBorders>
              <w:top w:val="nil"/>
              <w:left w:val="single" w:sz="18" w:color="B5504D"/>
              <w:bottom w:val="nil"/>
              <w:right w:val="nil"/>
            </w:tcBorders>
          </w:tcPr>
          <w:p>
            <w:r>
              <w:rPr>
                <w:rFonts w:ascii="Noto Sans" w:hAnsi="Noto Sans" w:eastAsia="Noto Sans"/>
                <w:b/>
                <w:color w:val="B5504D"/>
                <w:sz w:val="18"/>
              </w:rPr>
              <w:t xml:space="preserve">Необходимое решение — </w:t>
            </w:r>
            <w:r>
              <w:rPr>
                <w:rFonts w:ascii="Noto Sans" w:hAnsi="Noto Sans" w:eastAsia="Noto Sans"/>
                <w:color w:val="243746"/>
                <w:sz w:val="17"/>
              </w:rPr>
              <w:t>До публикации новой страницы нужно выбрать нормативный порог — 0,65 или 0,70 — и синхронно обновить код, методику, тесты и подписи API. В настоящем документе фактической реализацией считается 0,65, а 0,70 фиксируется как заявленное правило документации.</w:t>
            </w:r>
          </w:p>
        </w:tc>
      </w:tr>
    </w:tbl>
    <w:p>
      <w:pPr>
        <w:pStyle w:val="Heading2"/>
      </w:pPr>
      <w:r>
        <w:t>11.3. Интерпретация</w:t>
      </w:r>
    </w:p>
    <w:p>
      <w:r>
        <w:rPr>
          <w:rFonts w:ascii="Noto Serif" w:hAnsi="Noto Serif" w:eastAsia="Noto Serif"/>
          <w:sz w:val="18"/>
        </w:rPr>
        <w:t>Высокий балл модели означает согласованность нескольких макроуровневых сигналов, а не доказанное качество конкретных образовательных программ. Используемые индексы частично коррелируют и могут содержать общие исходные ряды. Поэтому модель подходит для сравнительной диагностики и отбора кейсов, но не для причинной оценки эффективности реформ.</w:t>
      </w:r>
    </w:p>
    <w:p>
      <w:bookmarkStart w:id="2037" w:name="sec12"/>
      <w:pPr>
        <w:pStyle w:val="Heading1"/>
      </w:pPr>
      <w:r>
        <w:t>12. Национальная и корпоративная статистика</w:t>
      </w:r>
      <w:bookmarkEnd w:id="2037"/>
    </w:p>
    <w:p>
      <w:pPr>
        <w:pStyle w:val="Heading2"/>
      </w:pPr>
      <w:r>
        <w:t>12.1. Национальные статистические API</w:t>
      </w:r>
    </w:p>
    <w:p>
      <w:r>
        <w:rPr>
          <w:rFonts w:ascii="Noto Serif" w:hAnsi="Noto Serif" w:eastAsia="Noto Serif"/>
          <w:sz w:val="18"/>
        </w:rPr>
        <w:t>В релизе присутствует пилотный слой официальной национальной статистики четырёх североевропейских стран. Он содержит 94 строки и используется для разработки более точных трудовых компонентов и crosswalk-правил. Эти данные не включены в common_support, поскольку определения, отраслевые классификации и временные охваты ещё не подтверждены как полностью эквивалентные глобальным рядам.</w:t>
      </w:r>
    </w:p>
    <w:p>
      <w:pPr>
        <w:pStyle w:val="Caption"/>
      </w:pPr>
      <w:r>
        <w:t>Таблица 34. Национальные статистические источники</w:t>
      </w:r>
    </w:p>
    <w:tbl>
      <w:tblPr>
        <w:tblW w:type="auto" w:w="0"/>
        <w:jc w:val="center"/>
        <w:tblLayout w:type="autofit"/>
        <w:tblLook w:firstColumn="1" w:firstRow="1" w:lastColumn="0" w:lastRow="0" w:noHBand="0" w:noVBand="1" w:val="04A0"/>
      </w:tblPr>
      <w:tblGrid>
        <w:gridCol w:w="1962"/>
        <w:gridCol w:w="1962"/>
        <w:gridCol w:w="1962"/>
        <w:gridCol w:w="1962"/>
        <w:gridCol w:w="1962"/>
      </w:tblGrid>
      <w:tr>
        <w:trPr>
          <w:tblHeader w:val="true"/>
        </w:trPr>
        <w:tc>
          <w:tcPr>
            <w:tcW w:type="dxa" w:w="113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Страна</w:t>
            </w:r>
          </w:p>
        </w:tc>
        <w:tc>
          <w:tcPr>
            <w:tcW w:type="dxa" w:w="2551"/>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Ведомство</w:t>
            </w:r>
          </w:p>
        </w:tc>
        <w:tc>
          <w:tcPr>
            <w:tcW w:type="dxa" w:w="2268"/>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Хост</w:t>
            </w:r>
          </w:p>
        </w:tc>
        <w:tc>
          <w:tcPr>
            <w:tcW w:type="dxa" w:w="113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Строки</w:t>
            </w:r>
          </w:p>
        </w:tc>
        <w:tc>
          <w:tcPr>
            <w:tcW w:type="dxa" w:w="1928"/>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Период</w:t>
            </w:r>
          </w:p>
        </w:tc>
      </w:tr>
      <w:tr>
        <w:trPr>
          <w:cantSplit/>
        </w:trPr>
        <w:tc>
          <w:tcPr>
            <w:tcW w:type="dxa" w:w="113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DNK</w:t>
            </w:r>
          </w:p>
        </w:tc>
        <w:tc>
          <w:tcPr>
            <w:tcW w:type="dxa" w:w="255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Statistics Denmark</w:t>
            </w:r>
          </w:p>
        </w:tc>
        <w:tc>
          <w:tcPr>
            <w:tcW w:type="dxa" w:w="226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api.statbank.dk</w:t>
            </w:r>
          </w:p>
        </w:tc>
        <w:tc>
          <w:tcPr>
            <w:tcW w:type="dxa" w:w="113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17</w:t>
            </w:r>
          </w:p>
        </w:tc>
        <w:tc>
          <w:tcPr>
            <w:tcW w:type="dxa" w:w="192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2008–2024</w:t>
            </w:r>
          </w:p>
        </w:tc>
      </w:tr>
      <w:tr>
        <w:trPr>
          <w:cantSplit/>
        </w:trPr>
        <w:tc>
          <w:tcPr>
            <w:tcW w:type="dxa" w:w="113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FIN</w:t>
            </w:r>
          </w:p>
        </w:tc>
        <w:tc>
          <w:tcPr>
            <w:tcW w:type="dxa" w:w="255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Statistics Finland</w:t>
            </w:r>
          </w:p>
        </w:tc>
        <w:tc>
          <w:tcPr>
            <w:tcW w:type="dxa" w:w="226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pxdata.stat.fi</w:t>
            </w:r>
          </w:p>
        </w:tc>
        <w:tc>
          <w:tcPr>
            <w:tcW w:type="dxa" w:w="113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21</w:t>
            </w:r>
          </w:p>
        </w:tc>
        <w:tc>
          <w:tcPr>
            <w:tcW w:type="dxa" w:w="192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2004–2024</w:t>
            </w:r>
          </w:p>
        </w:tc>
      </w:tr>
      <w:tr>
        <w:trPr>
          <w:cantSplit/>
        </w:trPr>
        <w:tc>
          <w:tcPr>
            <w:tcW w:type="dxa" w:w="113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NOR</w:t>
            </w:r>
          </w:p>
        </w:tc>
        <w:tc>
          <w:tcPr>
            <w:tcW w:type="dxa" w:w="255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Statistics Norway</w:t>
            </w:r>
          </w:p>
        </w:tc>
        <w:tc>
          <w:tcPr>
            <w:tcW w:type="dxa" w:w="226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data.ssb.no</w:t>
            </w:r>
          </w:p>
        </w:tc>
        <w:tc>
          <w:tcPr>
            <w:tcW w:type="dxa" w:w="113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38</w:t>
            </w:r>
          </w:p>
        </w:tc>
        <w:tc>
          <w:tcPr>
            <w:tcW w:type="dxa" w:w="192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1970–2024</w:t>
            </w:r>
          </w:p>
        </w:tc>
      </w:tr>
      <w:tr>
        <w:trPr>
          <w:cantSplit/>
        </w:trPr>
        <w:tc>
          <w:tcPr>
            <w:tcW w:type="dxa" w:w="113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SWE</w:t>
            </w:r>
          </w:p>
        </w:tc>
        <w:tc>
          <w:tcPr>
            <w:tcW w:type="dxa" w:w="255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Statistics Sweden</w:t>
            </w:r>
          </w:p>
        </w:tc>
        <w:tc>
          <w:tcPr>
            <w:tcW w:type="dxa" w:w="226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api.scb.se</w:t>
            </w:r>
          </w:p>
        </w:tc>
        <w:tc>
          <w:tcPr>
            <w:tcW w:type="dxa" w:w="113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18</w:t>
            </w:r>
          </w:p>
        </w:tc>
        <w:tc>
          <w:tcPr>
            <w:tcW w:type="dxa" w:w="192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2007–2024</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national_statistics_metrics и configs/national_statistics_sources.release.json.</w:t>
      </w:r>
    </w:p>
    <w:p>
      <w:r>
        <w:rPr>
          <w:rFonts w:ascii="Noto Serif" w:hAnsi="Noto Serif" w:eastAsia="Noto Serif"/>
          <w:sz w:val="18"/>
        </w:rPr>
        <w:t>Правильный путь развития слоя — не простое добавление новых стран, а формализация таблиц соответствия отраслей и профессий, документирование единиц, половозрастного охвата, статуса занятости и разрыва классификаций. До завершения crosswalk национальные значения должны показываться как дополнительная верификация или профиль, а не как бесшовная замена Eurostat/ILOSTAT.</w:t>
      </w:r>
    </w:p>
    <w:p>
      <w:pPr>
        <w:pStyle w:val="Heading2"/>
      </w:pPr>
      <w:r>
        <w:t>12.2. Корпоративные данные SEC</w:t>
      </w:r>
    </w:p>
    <w:p>
      <w:r>
        <w:rPr>
          <w:rFonts w:ascii="Noto Serif" w:hAnsi="Noto Serif" w:eastAsia="Noto Serif"/>
          <w:sz w:val="18"/>
        </w:rPr>
        <w:t>Корпоративный слой содержит 26 строк для восьми публичных компаний из пяти стран: SAP, ARM, ASML, TSMC, Alphabet, Apple, IBM и Microsoft. Источник — SEC EDGAR API. Выборка предназначена для доказательства технической возможности извлечения и для дополнительного аналитического контекста, а не для построения репрезентативного глобального индикатора вакансий или спроса на кадры.</w:t>
      </w:r>
    </w:p>
    <w:p>
      <w:pPr>
        <w:pStyle w:val="Caption"/>
      </w:pPr>
      <w:r>
        <w:t>Таблица 35. Границы корпоративного слоя</w:t>
      </w:r>
    </w:p>
    <w:tbl>
      <w:tblPr>
        <w:tblW w:type="auto" w:w="0"/>
        <w:jc w:val="center"/>
        <w:tblLayout w:type="autofit"/>
        <w:tblLook w:firstColumn="1" w:firstRow="1" w:lastColumn="0" w:lastRow="0" w:noHBand="0" w:noVBand="1" w:val="04A0"/>
      </w:tblPr>
      <w:tblGrid>
        <w:gridCol w:w="3269"/>
        <w:gridCol w:w="3269"/>
        <w:gridCol w:w="3269"/>
      </w:tblGrid>
      <w:tr>
        <w:trPr>
          <w:tblHeader w:val="true"/>
        </w:trPr>
        <w:tc>
          <w:tcPr>
            <w:tcW w:type="dxa" w:w="198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Аспект</w:t>
            </w:r>
          </w:p>
        </w:tc>
        <w:tc>
          <w:tcPr>
            <w:tcW w:type="dxa" w:w="3175"/>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Текущее состояние</w:t>
            </w:r>
          </w:p>
        </w:tc>
        <w:tc>
          <w:tcPr>
            <w:tcW w:type="dxa" w:w="4082"/>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Следствие</w:t>
            </w:r>
          </w:p>
        </w:tc>
      </w:tr>
      <w:tr>
        <w:trPr>
          <w:cantSplit/>
        </w:trPr>
        <w:tc>
          <w:tcPr>
            <w:tcW w:type="dxa" w:w="198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Охват компаний</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8 крупных публичных технологических компаний</w:t>
            </w:r>
          </w:p>
        </w:tc>
        <w:tc>
          <w:tcPr>
            <w:tcW w:type="dxa" w:w="4082"/>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сильная селекция по размеру, юрисдикции и публичности</w:t>
            </w:r>
          </w:p>
        </w:tc>
      </w:tr>
      <w:tr>
        <w:trPr>
          <w:cantSplit/>
        </w:trPr>
        <w:tc>
          <w:tcPr>
            <w:tcW w:type="dxa" w:w="198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Охват стран</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5 стран</w:t>
            </w:r>
          </w:p>
        </w:tc>
        <w:tc>
          <w:tcPr>
            <w:tcW w:type="dxa" w:w="4082"/>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недостаточно для глобального рейтинга</w:t>
            </w:r>
          </w:p>
        </w:tc>
      </w:tr>
      <w:tr>
        <w:trPr>
          <w:cantSplit/>
        </w:trPr>
        <w:tc>
          <w:tcPr>
            <w:tcW w:type="dxa" w:w="198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Источник</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финансовые раскрытия SEC</w:t>
            </w:r>
          </w:p>
        </w:tc>
        <w:tc>
          <w:tcPr>
            <w:tcW w:type="dxa" w:w="4082"/>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показатели не равны вакансиям и структуре занятости</w:t>
            </w:r>
          </w:p>
        </w:tc>
      </w:tr>
      <w:tr>
        <w:trPr>
          <w:cantSplit/>
        </w:trPr>
        <w:tc>
          <w:tcPr>
            <w:tcW w:type="dxa" w:w="198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Роль в HTEI</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дополнительный контекст</w:t>
            </w:r>
          </w:p>
        </w:tc>
        <w:tc>
          <w:tcPr>
            <w:tcW w:type="dxa" w:w="4082"/>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 подменяет официальный корпоративный прокси</w:t>
            </w:r>
          </w:p>
        </w:tc>
      </w:tr>
      <w:tr>
        <w:trPr>
          <w:cantSplit/>
        </w:trPr>
        <w:tc>
          <w:tcPr>
            <w:tcW w:type="dxa" w:w="198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Правовой режим</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официальный API с правилами доступа</w:t>
            </w:r>
          </w:p>
        </w:tc>
        <w:tc>
          <w:tcPr>
            <w:tcW w:type="dxa" w:w="4082"/>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нужно соблюдать user-agent и ограничения SEC</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corporate_metrics, sec_companies.release.json, SEC EDGAR.</w:t>
      </w:r>
    </w:p>
    <w:tbl>
      <w:tblPr>
        <w:tblW w:type="auto" w:w="0"/>
        <w:jc w:val="center"/>
        <w:tblLook w:firstColumn="1" w:firstRow="1" w:lastColumn="0" w:lastRow="0" w:noHBand="0" w:noVBand="1" w:val="04A0"/>
      </w:tblPr>
      <w:tblGrid>
        <w:gridCol w:w="9808"/>
      </w:tblGrid>
      <w:tr>
        <w:tc>
          <w:tcPr>
            <w:tcW w:type="dxa" w:w="9808"/>
            <w:shd w:fill="FCEFEF"/>
            <w:tcMar>
              <w:top w:w="120" w:type="dxa"/>
              <w:start w:w="170" w:type="dxa"/>
              <w:bottom w:w="120" w:type="dxa"/>
              <w:end w:w="170" w:type="dxa"/>
            </w:tcMar>
            <w:tcBorders>
              <w:top w:val="nil"/>
              <w:left w:val="single" w:sz="18" w:color="B5504D"/>
              <w:bottom w:val="nil"/>
              <w:right w:val="nil"/>
            </w:tcBorders>
          </w:tcPr>
          <w:p>
            <w:r>
              <w:rPr>
                <w:rFonts w:ascii="Noto Sans" w:hAnsi="Noto Sans" w:eastAsia="Noto Sans"/>
                <w:b/>
                <w:color w:val="B5504D"/>
                <w:sz w:val="18"/>
              </w:rPr>
              <w:t xml:space="preserve">Рекомендация — </w:t>
            </w:r>
            <w:r>
              <w:rPr>
                <w:rFonts w:ascii="Noto Sans" w:hAnsi="Noto Sans" w:eastAsia="Noto Sans"/>
                <w:color w:val="243746"/>
                <w:sz w:val="17"/>
              </w:rPr>
              <w:t>На веб-странице корпоративные данные следует вынести в раздел «экспериментальные дополнительные источники» и не визуально смешивать с официальными глобальными рядами HTEI.</w:t>
            </w:r>
          </w:p>
        </w:tc>
      </w:tr>
    </w:tbl>
    <w:p>
      <w:bookmarkStart w:id="2074" w:name="sec13"/>
      <w:pPr>
        <w:pStyle w:val="Heading1"/>
      </w:pPr>
      <w:r>
        <w:t>13. API и экспорт</w:t>
      </w:r>
      <w:bookmarkEnd w:id="2074"/>
    </w:p>
    <w:p>
      <w:pPr>
        <w:pStyle w:val="Heading2"/>
      </w:pPr>
      <w:r>
        <w:t>13.1. Назначение API</w:t>
      </w:r>
    </w:p>
    <w:p>
      <w:r>
        <w:rPr>
          <w:rFonts w:ascii="Noto Serif" w:hAnsi="Noto Serif" w:eastAsia="Noto Serif"/>
          <w:sz w:val="18"/>
        </w:rPr>
        <w:t>FastAPI предоставляет единый программный контракт для интерфейса, внешней интеграции и проверки. OpenAPI-описание включает 47 маршрутов. Базовый локальный адрес — http://127.0.0.1:8000; интерактивная документация FastAPI в типовой конфигурации доступна через /docs и /openapi.json, если она не отключена при развёртывании.</w:t>
      </w:r>
    </w:p>
    <w:p>
      <w:r>
        <w:rPr>
          <w:rFonts w:ascii="Noto Serif" w:hAnsi="Noto Serif" w:eastAsia="Noto Serif"/>
          <w:sz w:val="18"/>
        </w:rPr>
        <w:t>Маршруты можно разделить на восемь групп: системное состояние; справочники; страновые профили; индексные рейтинги и компоненты; HTEI; training model и policy; происхождение/качество/управление; экспорт и геоданные. Большинство операций только читают подготовленную базу.</w:t>
      </w:r>
    </w:p>
    <w:p>
      <w:pPr>
        <w:pStyle w:val="Caption"/>
      </w:pPr>
      <w:r>
        <w:t>Таблица 36. Группы API-маршрутов</w:t>
      </w:r>
    </w:p>
    <w:tbl>
      <w:tblPr>
        <w:tblW w:type="auto" w:w="0"/>
        <w:jc w:val="center"/>
        <w:tblLayout w:type="autofit"/>
        <w:tblLook w:firstColumn="1" w:firstRow="1" w:lastColumn="0" w:lastRow="0" w:noHBand="0" w:noVBand="1" w:val="04A0"/>
      </w:tblPr>
      <w:tblGrid>
        <w:gridCol w:w="3269"/>
        <w:gridCol w:w="3269"/>
        <w:gridCol w:w="3269"/>
      </w:tblGrid>
      <w:tr>
        <w:trPr>
          <w:tblHeader w:val="true"/>
        </w:trPr>
        <w:tc>
          <w:tcPr>
            <w:tcW w:type="dxa" w:w="2721"/>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Группа</w:t>
            </w:r>
          </w:p>
        </w:tc>
        <w:tc>
          <w:tcPr>
            <w:tcW w:type="dxa" w:w="1191"/>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Маршрутов</w:t>
            </w:r>
          </w:p>
        </w:tc>
        <w:tc>
          <w:tcPr>
            <w:tcW w:type="dxa" w:w="5216"/>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Основное назначение</w:t>
            </w:r>
          </w:p>
        </w:tc>
      </w:tr>
      <w:tr>
        <w:trPr>
          <w:cantSplit/>
        </w:trPr>
        <w:tc>
          <w:tcPr>
            <w:tcW w:type="dxa" w:w="272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Система и релиз</w:t>
            </w:r>
          </w:p>
        </w:tc>
        <w:tc>
          <w:tcPr>
            <w:tcW w:type="dxa" w:w="119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5</w:t>
            </w:r>
          </w:p>
        </w:tc>
        <w:tc>
          <w:tcPr>
            <w:tcW w:type="dxa" w:w="5216"/>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health, readiness, acceptance и журнал операций</w:t>
            </w:r>
          </w:p>
        </w:tc>
      </w:tr>
      <w:tr>
        <w:trPr>
          <w:cantSplit/>
        </w:trPr>
        <w:tc>
          <w:tcPr>
            <w:tcW w:type="dxa" w:w="272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Индексы и рейтинги</w:t>
            </w:r>
          </w:p>
        </w:tc>
        <w:tc>
          <w:tcPr>
            <w:tcW w:type="dxa" w:w="119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8</w:t>
            </w:r>
          </w:p>
        </w:tc>
        <w:tc>
          <w:tcPr>
            <w:tcW w:type="dxa" w:w="5216"/>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общие index endpoints, formula, explainer и QS</w:t>
            </w:r>
          </w:p>
        </w:tc>
      </w:tr>
      <w:tr>
        <w:trPr>
          <w:cantSplit/>
        </w:trPr>
        <w:tc>
          <w:tcPr>
            <w:tcW w:type="dxa" w:w="272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Справочники и методология</w:t>
            </w:r>
          </w:p>
        </w:tc>
        <w:tc>
          <w:tcPr>
            <w:tcW w:type="dxa" w:w="119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8</w:t>
            </w:r>
          </w:p>
        </w:tc>
        <w:tc>
          <w:tcPr>
            <w:tcW w:type="dxa" w:w="5216"/>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страны, индексы, источники, формулы и локализация</w:t>
            </w:r>
          </w:p>
        </w:tc>
      </w:tr>
      <w:tr>
        <w:trPr>
          <w:cantSplit/>
        </w:trPr>
        <w:tc>
          <w:tcPr>
            <w:tcW w:type="dxa" w:w="272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Страновые профили</w:t>
            </w:r>
          </w:p>
        </w:tc>
        <w:tc>
          <w:tcPr>
            <w:tcW w:type="dxa" w:w="119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6</w:t>
            </w:r>
          </w:p>
        </w:tc>
        <w:tc>
          <w:tcPr>
            <w:tcW w:type="dxa" w:w="5216"/>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карточки, command center, диагностика и HCI/HCI+</w:t>
            </w:r>
          </w:p>
        </w:tc>
      </w:tr>
      <w:tr>
        <w:trPr>
          <w:cantSplit/>
        </w:trPr>
        <w:tc>
          <w:tcPr>
            <w:tcW w:type="dxa" w:w="272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Экспорт и матрицы</w:t>
            </w:r>
          </w:p>
        </w:tc>
        <w:tc>
          <w:tcPr>
            <w:tcW w:type="dxa" w:w="119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4</w:t>
            </w:r>
          </w:p>
        </w:tc>
        <w:tc>
          <w:tcPr>
            <w:tcW w:type="dxa" w:w="5216"/>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CSV, brief, GeoJSON и cross-index matrix</w:t>
            </w:r>
          </w:p>
        </w:tc>
      </w:tr>
      <w:tr>
        <w:trPr>
          <w:cantSplit/>
        </w:trPr>
        <w:tc>
          <w:tcPr>
            <w:tcW w:type="dxa" w:w="272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w:t>
            </w:r>
          </w:p>
        </w:tc>
        <w:tc>
          <w:tcPr>
            <w:tcW w:type="dxa" w:w="119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9</w:t>
            </w:r>
          </w:p>
        </w:tc>
        <w:tc>
          <w:tcPr>
            <w:tcW w:type="dxa" w:w="5216"/>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модель, профили, рейтинги и аудит v5/v6</w:t>
            </w:r>
          </w:p>
        </w:tc>
      </w:tr>
      <w:tr>
        <w:trPr>
          <w:cantSplit/>
        </w:trPr>
        <w:tc>
          <w:tcPr>
            <w:tcW w:type="dxa" w:w="272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Модель подготовки и policy</w:t>
            </w:r>
          </w:p>
        </w:tc>
        <w:tc>
          <w:tcPr>
            <w:tcW w:type="dxa" w:w="119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4</w:t>
            </w:r>
          </w:p>
        </w:tc>
        <w:tc>
          <w:tcPr>
            <w:tcW w:type="dxa" w:w="5216"/>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баллы, рейтинги и рекомендации</w:t>
            </w:r>
          </w:p>
        </w:tc>
      </w:tr>
      <w:tr>
        <w:trPr>
          <w:cantSplit/>
        </w:trPr>
        <w:tc>
          <w:tcPr>
            <w:tcW w:type="dxa" w:w="272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Качество и управление</w:t>
            </w:r>
          </w:p>
        </w:tc>
        <w:tc>
          <w:tcPr>
            <w:tcW w:type="dxa" w:w="119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5</w:t>
            </w:r>
          </w:p>
        </w:tc>
        <w:tc>
          <w:tcPr>
            <w:tcW w:type="dxa" w:w="5216"/>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provenance, лицензии, review и data quality</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OpenAPI 3.1, версия 1.0.0-rc6.</w:t>
      </w:r>
    </w:p>
    <w:p>
      <w:pPr>
        <w:pStyle w:val="Heading2"/>
      </w:pPr>
      <w:r>
        <w:t>13.2. Основные сценарии</w:t>
      </w:r>
    </w:p>
    <w:p>
      <w:pPr>
        <w:pStyle w:val="Caption"/>
      </w:pPr>
      <w:r>
        <w:t>Таблица 37. Типовые запросы API</w:t>
      </w:r>
    </w:p>
    <w:tbl>
      <w:tblPr>
        <w:tblW w:type="auto" w:w="0"/>
        <w:jc w:val="center"/>
        <w:tblLayout w:type="autofit"/>
        <w:tblLook w:firstColumn="1" w:firstRow="1" w:lastColumn="0" w:lastRow="0" w:noHBand="0" w:noVBand="1" w:val="04A0"/>
      </w:tblPr>
      <w:tblGrid>
        <w:gridCol w:w="3269"/>
        <w:gridCol w:w="3269"/>
        <w:gridCol w:w="3269"/>
      </w:tblGrid>
      <w:tr>
        <w:trPr>
          <w:tblHeader w:val="true"/>
        </w:trPr>
        <w:tc>
          <w:tcPr>
            <w:tcW w:type="dxa" w:w="2438"/>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Задача</w:t>
            </w:r>
          </w:p>
        </w:tc>
        <w:tc>
          <w:tcPr>
            <w:tcW w:type="dxa" w:w="3231"/>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Метод и путь</w:t>
            </w:r>
          </w:p>
        </w:tc>
        <w:tc>
          <w:tcPr>
            <w:tcW w:type="dxa" w:w="3515"/>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Параметры/результат</w:t>
            </w:r>
          </w:p>
        </w:tc>
      </w:tr>
      <w:tr>
        <w:trPr>
          <w:cantSplit/>
        </w:trPr>
        <w:tc>
          <w:tcPr>
            <w:tcW w:type="dxa" w:w="243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Проверить сервис</w:t>
            </w:r>
          </w:p>
        </w:tc>
        <w:tc>
          <w:tcPr>
            <w:tcW w:type="dxa" w:w="323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GET /api/health</w:t>
            </w:r>
          </w:p>
        </w:tc>
        <w:tc>
          <w:tcPr>
            <w:tcW w:type="dxa" w:w="351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статус процесса и доступность базы</w:t>
            </w:r>
          </w:p>
        </w:tc>
      </w:tr>
      <w:tr>
        <w:trPr>
          <w:cantSplit/>
        </w:trPr>
        <w:tc>
          <w:tcPr>
            <w:tcW w:type="dxa" w:w="243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Получить список индексов</w:t>
            </w:r>
          </w:p>
        </w:tc>
        <w:tc>
          <w:tcPr>
            <w:tcW w:type="dxa" w:w="323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GET /api/indices</w:t>
            </w:r>
          </w:p>
        </w:tc>
        <w:tc>
          <w:tcPr>
            <w:tcW w:type="dxa" w:w="351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метаданные, шкала, авторитет и статус</w:t>
            </w:r>
          </w:p>
        </w:tc>
      </w:tr>
      <w:tr>
        <w:trPr>
          <w:cantSplit/>
        </w:trPr>
        <w:tc>
          <w:tcPr>
            <w:tcW w:type="dxa" w:w="243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Открыть страновой профиль</w:t>
            </w:r>
          </w:p>
        </w:tc>
        <w:tc>
          <w:tcPr>
            <w:tcW w:type="dxa" w:w="323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GET /api/country/{iso3}/profile</w:t>
            </w:r>
          </w:p>
        </w:tc>
        <w:tc>
          <w:tcPr>
            <w:tcW w:type="dxa" w:w="351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path ISO3; optional year</w:t>
            </w:r>
          </w:p>
        </w:tc>
      </w:tr>
      <w:tr>
        <w:trPr>
          <w:cantSplit/>
        </w:trPr>
        <w:tc>
          <w:tcPr>
            <w:tcW w:type="dxa" w:w="243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Получить рейтинг индекса</w:t>
            </w:r>
          </w:p>
        </w:tc>
        <w:tc>
          <w:tcPr>
            <w:tcW w:type="dxa" w:w="323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GET /api/index/{code}/ranking</w:t>
            </w:r>
          </w:p>
        </w:tc>
        <w:tc>
          <w:tcPr>
            <w:tcW w:type="dxa" w:w="351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code и optional year</w:t>
            </w:r>
          </w:p>
        </w:tc>
      </w:tr>
      <w:tr>
        <w:trPr>
          <w:cantSplit/>
        </w:trPr>
        <w:tc>
          <w:tcPr>
            <w:tcW w:type="dxa" w:w="243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Показать компоненты</w:t>
            </w:r>
          </w:p>
        </w:tc>
        <w:tc>
          <w:tcPr>
            <w:tcW w:type="dxa" w:w="323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GET /api/index/{code}/components</w:t>
            </w:r>
          </w:p>
        </w:tc>
        <w:tc>
          <w:tcPr>
            <w:tcW w:type="dxa" w:w="351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iso3 и year</w:t>
            </w:r>
          </w:p>
        </w:tc>
      </w:tr>
      <w:tr>
        <w:trPr>
          <w:cantSplit/>
        </w:trPr>
        <w:tc>
          <w:tcPr>
            <w:tcW w:type="dxa" w:w="243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Объяснить формулу</w:t>
            </w:r>
          </w:p>
        </w:tc>
        <w:tc>
          <w:tcPr>
            <w:tcW w:type="dxa" w:w="323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GET /api/index/{code}/formula</w:t>
            </w:r>
          </w:p>
        </w:tc>
        <w:tc>
          <w:tcPr>
            <w:tcW w:type="dxa" w:w="351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версия формулы, веса, нормирование</w:t>
            </w:r>
          </w:p>
        </w:tc>
      </w:tr>
      <w:tr>
        <w:trPr>
          <w:cantSplit/>
        </w:trPr>
        <w:tc>
          <w:tcPr>
            <w:tcW w:type="dxa" w:w="243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Трассировать значение</w:t>
            </w:r>
          </w:p>
        </w:tc>
        <w:tc>
          <w:tcPr>
            <w:tcW w:type="dxa" w:w="323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GET /api/provenance/value/{value_id}</w:t>
            </w:r>
          </w:p>
        </w:tc>
        <w:tc>
          <w:tcPr>
            <w:tcW w:type="dxa" w:w="351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источник, снимок, трансформация</w:t>
            </w:r>
          </w:p>
        </w:tc>
      </w:tr>
      <w:tr>
        <w:trPr>
          <w:cantSplit/>
        </w:trPr>
        <w:tc>
          <w:tcPr>
            <w:tcW w:type="dxa" w:w="243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Получить HTEI v6</w:t>
            </w:r>
          </w:p>
        </w:tc>
        <w:tc>
          <w:tcPr>
            <w:tcW w:type="dxa" w:w="323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GET /api/htei/v6/profile/{iso3}</w:t>
            </w:r>
          </w:p>
        </w:tc>
        <w:tc>
          <w:tcPr>
            <w:tcW w:type="dxa" w:w="351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режимы, компоненты, confidence, интервалы</w:t>
            </w:r>
          </w:p>
        </w:tc>
      </w:tr>
      <w:tr>
        <w:trPr>
          <w:cantSplit/>
        </w:trPr>
        <w:tc>
          <w:tcPr>
            <w:tcW w:type="dxa" w:w="243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Экспортировать brief</w:t>
            </w:r>
          </w:p>
        </w:tc>
        <w:tc>
          <w:tcPr>
            <w:tcW w:type="dxa" w:w="323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GET /api/export/country/{iso3}/brief</w:t>
            </w:r>
          </w:p>
        </w:tc>
        <w:tc>
          <w:tcPr>
            <w:tcW w:type="dxa" w:w="351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структурированный страновой обзор</w:t>
            </w:r>
          </w:p>
        </w:tc>
      </w:tr>
      <w:tr>
        <w:trPr>
          <w:cantSplit/>
        </w:trPr>
        <w:tc>
          <w:tcPr>
            <w:tcW w:type="dxa" w:w="243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Проверить релиз</w:t>
            </w:r>
          </w:p>
        </w:tc>
        <w:tc>
          <w:tcPr>
            <w:tcW w:type="dxa" w:w="323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GET /api/release/readiness</w:t>
            </w:r>
          </w:p>
        </w:tc>
        <w:tc>
          <w:tcPr>
            <w:tcW w:type="dxa" w:w="351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гейты, блокеры и предупреждения</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giip_openapi.json.</w:t>
      </w:r>
    </w:p>
    <w:p>
      <w:pPr>
        <w:pStyle w:val="Heading2"/>
      </w:pPr>
      <w:r>
        <w:t>13.3. Параметры, ошибки и стабильность</w:t>
      </w:r>
    </w:p>
    <w:p>
      <w:r>
        <w:rPr>
          <w:rFonts w:ascii="Noto Serif" w:hAnsi="Noto Serif" w:eastAsia="Noto Serif"/>
          <w:sz w:val="18"/>
        </w:rPr>
        <w:t>Параметры code и iso3 должны проверяться по справочникам; year — по доступности конкретного модуля. Клиенту нельзя предполагать, что один и тот же год есть у всех индексов. Ответы должны сохранять различие между requested year, profile year и source data year, особенно для HTEI и модели подготовки.</w:t>
      </w:r>
    </w:p>
    <w:p>
      <w:r>
        <w:rPr>
          <w:rFonts w:ascii="Noto Serif" w:hAnsi="Noto Serif" w:eastAsia="Noto Serif"/>
          <w:sz w:val="18"/>
        </w:rPr>
        <w:t>Для публичной интеграции желательно формализовать единый error envelope с кодом, человеческим сообщением, деталями параметров и request id. OpenAPI-версия в архиве обозначена как 1.0.0-rc6, тогда как актуальный релизный валидатор выдаёт customer_final_release. Перед внешней публикацией версию API и статусные документы следует синхронизировать.</w:t>
      </w:r>
    </w:p>
    <w:p>
      <w:pPr>
        <w:pStyle w:val="Heading2"/>
      </w:pPr>
      <w:r>
        <w:t>13.4. Обновление данных через API</w:t>
      </w:r>
    </w:p>
    <w:tbl>
      <w:tblPr>
        <w:tblW w:type="auto" w:w="0"/>
        <w:jc w:val="center"/>
        <w:tblLook w:firstColumn="1" w:firstRow="1" w:lastColumn="0" w:lastRow="0" w:noHBand="0" w:noVBand="1" w:val="04A0"/>
      </w:tblPr>
      <w:tblGrid>
        <w:gridCol w:w="9808"/>
      </w:tblGrid>
      <w:tr>
        <w:tc>
          <w:tcPr>
            <w:tcW w:type="dxa" w:w="9808"/>
            <w:shd w:fill="EEF3F6"/>
            <w:tcMar>
              <w:top w:w="120" w:type="dxa"/>
              <w:start w:w="170" w:type="dxa"/>
              <w:bottom w:w="120" w:type="dxa"/>
              <w:end w:w="170" w:type="dxa"/>
            </w:tcMar>
            <w:tcBorders>
              <w:top w:val="nil"/>
              <w:left w:val="single" w:sz="18" w:color="2F6B8A"/>
              <w:bottom w:val="nil"/>
              <w:right w:val="nil"/>
            </w:tcBorders>
          </w:tcPr>
          <w:p>
            <w:r>
              <w:rPr>
                <w:rFonts w:ascii="Noto Sans" w:hAnsi="Noto Sans" w:eastAsia="Noto Sans"/>
                <w:b/>
                <w:color w:val="2F6B8A"/>
                <w:sz w:val="18"/>
              </w:rPr>
              <w:t xml:space="preserve">Безопасность — </w:t>
            </w:r>
            <w:r>
              <w:rPr>
                <w:rFonts w:ascii="Noto Sans" w:hAnsi="Noto Sans" w:eastAsia="Noto Sans"/>
                <w:color w:val="243746"/>
                <w:sz w:val="17"/>
              </w:rPr>
              <w:t>POST /api/refresh/{source_code} не должен восприниматься как удалённая административная команда. В текущем проекте он информирует о способе обновления; фактическая мутация выполняется CLI/планировщиком в контролируемой среде.</w:t>
            </w:r>
          </w:p>
        </w:tc>
      </w:tr>
    </w:tbl>
    <w:p>
      <w:pPr>
        <w:pStyle w:val="Heading2"/>
      </w:pPr>
      <w:r>
        <w:t>13.5. Экспорт</w:t>
      </w:r>
    </w:p>
    <w:p>
      <w:r>
        <w:rPr>
          <w:rFonts w:ascii="Noto Serif" w:hAnsi="Noto Serif" w:eastAsia="Noto Serif"/>
          <w:sz w:val="18"/>
        </w:rPr>
        <w:t>Экспортные маршруты предоставляют cross-index matrix в JSON/CSV, страновой brief и world.geojson. Для исследовательского использования к каждому экспорту желательно добавлять generated_at, версию базы, формулу, список источников и лицензионные примечания. CSV должен сохранять машинно читаемые коды, а локализованные названия — предоставляться отдельными колонками.</w:t>
      </w:r>
    </w:p>
    <w:p>
      <w:bookmarkStart w:id="2130" w:name="sec14"/>
      <w:pPr>
        <w:pStyle w:val="Heading1"/>
      </w:pPr>
      <w:r>
        <w:t>14. Техническая архитектура и эксплуатация</w:t>
      </w:r>
      <w:bookmarkEnd w:id="2130"/>
    </w:p>
    <w:p>
      <w:pPr>
        <w:pStyle w:val="Heading2"/>
      </w:pPr>
      <w:r>
        <w:t>14.1. Программный стек</w:t>
      </w:r>
    </w:p>
    <w:p>
      <w:pPr>
        <w:pStyle w:val="Caption"/>
      </w:pPr>
      <w:r>
        <w:t>Таблица 38. Основные технологии</w:t>
      </w:r>
    </w:p>
    <w:tbl>
      <w:tblPr>
        <w:tblW w:type="auto" w:w="0"/>
        <w:jc w:val="center"/>
        <w:tblLayout w:type="autofit"/>
        <w:tblLook w:firstColumn="1" w:firstRow="1" w:lastColumn="0" w:lastRow="0" w:noHBand="0" w:noVBand="1" w:val="04A0"/>
      </w:tblPr>
      <w:tblGrid>
        <w:gridCol w:w="3269"/>
        <w:gridCol w:w="3269"/>
        <w:gridCol w:w="3269"/>
      </w:tblGrid>
      <w:tr>
        <w:trPr>
          <w:tblHeader w:val="true"/>
        </w:trPr>
        <w:tc>
          <w:tcPr>
            <w:tcW w:type="dxa" w:w="2041"/>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Слой</w:t>
            </w:r>
          </w:p>
        </w:tc>
        <w:tc>
          <w:tcPr>
            <w:tcW w:type="dxa" w:w="3685"/>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Технологии</w:t>
            </w:r>
          </w:p>
        </w:tc>
        <w:tc>
          <w:tcPr>
            <w:tcW w:type="dxa" w:w="3458"/>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Роль</w:t>
            </w:r>
          </w:p>
        </w:tc>
      </w:tr>
      <w:tr>
        <w:trPr>
          <w:cantSplit/>
        </w:trPr>
        <w:tc>
          <w:tcPr>
            <w:tcW w:type="dxa" w:w="204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Backend</w:t>
            </w:r>
          </w:p>
        </w:tc>
        <w:tc>
          <w:tcPr>
            <w:tcW w:type="dxa" w:w="368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Python 3.12; FastAPI 0.128.2; Uvicorn 0.48.0</w:t>
            </w:r>
          </w:p>
        </w:tc>
        <w:tc>
          <w:tcPr>
            <w:tcW w:type="dxa" w:w="345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API, валидация, чтение SQLite</w:t>
            </w:r>
          </w:p>
        </w:tc>
      </w:tr>
      <w:tr>
        <w:trPr>
          <w:cantSplit/>
        </w:trPr>
        <w:tc>
          <w:tcPr>
            <w:tcW w:type="dxa" w:w="204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Хранилище</w:t>
            </w:r>
          </w:p>
        </w:tc>
        <w:tc>
          <w:tcPr>
            <w:tcW w:type="dxa" w:w="368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SQLite</w:t>
            </w:r>
          </w:p>
        </w:tc>
        <w:tc>
          <w:tcPr>
            <w:tcW w:type="dxa" w:w="345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переносимый релизный data store</w:t>
            </w:r>
          </w:p>
        </w:tc>
      </w:tr>
      <w:tr>
        <w:trPr>
          <w:cantSplit/>
        </w:trPr>
        <w:tc>
          <w:tcPr>
            <w:tcW w:type="dxa" w:w="204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Загрузка/обработка</w:t>
            </w:r>
          </w:p>
        </w:tc>
        <w:tc>
          <w:tcPr>
            <w:tcW w:type="dxa" w:w="368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requests, httpx, openpyxl, pdfplumber, pycountry, Babel</w:t>
            </w:r>
          </w:p>
        </w:tc>
        <w:tc>
          <w:tcPr>
            <w:tcW w:type="dxa" w:w="345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API, таблицы, PDF, ISO3, локализация</w:t>
            </w:r>
          </w:p>
        </w:tc>
      </w:tr>
      <w:tr>
        <w:trPr>
          <w:cantSplit/>
        </w:trPr>
        <w:tc>
          <w:tcPr>
            <w:tcW w:type="dxa" w:w="204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Frontend</w:t>
            </w:r>
          </w:p>
        </w:tc>
        <w:tc>
          <w:tcPr>
            <w:tcW w:type="dxa" w:w="368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vanilla HTML/CSS/JavaScript</w:t>
            </w:r>
          </w:p>
        </w:tc>
        <w:tc>
          <w:tcPr>
            <w:tcW w:type="dxa" w:w="345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двуязычный интерактивный интерфейс без тяжёлого framework</w:t>
            </w:r>
          </w:p>
        </w:tc>
      </w:tr>
      <w:tr>
        <w:trPr>
          <w:cantSplit/>
        </w:trPr>
        <w:tc>
          <w:tcPr>
            <w:tcW w:type="dxa" w:w="204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Тестирование</w:t>
            </w:r>
          </w:p>
        </w:tc>
        <w:tc>
          <w:tcPr>
            <w:tcW w:type="dxa" w:w="368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pytest; Playwright</w:t>
            </w:r>
          </w:p>
        </w:tc>
        <w:tc>
          <w:tcPr>
            <w:tcW w:type="dxa" w:w="345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unit/integration и end-to-end UI</w:t>
            </w:r>
          </w:p>
        </w:tc>
      </w:tr>
      <w:tr>
        <w:trPr>
          <w:cantSplit/>
        </w:trPr>
        <w:tc>
          <w:tcPr>
            <w:tcW w:type="dxa" w:w="204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Контейнеризация</w:t>
            </w:r>
          </w:p>
        </w:tc>
        <w:tc>
          <w:tcPr>
            <w:tcW w:type="dxa" w:w="368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Docker; docker-compose</w:t>
            </w:r>
          </w:p>
        </w:tc>
        <w:tc>
          <w:tcPr>
            <w:tcW w:type="dxa" w:w="345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повторяемое развёртывание и healthcheck</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requirements.lock, Dockerfile, package.json и исходный код.</w:t>
      </w:r>
    </w:p>
    <w:p>
      <w:pPr>
        <w:pStyle w:val="Heading2"/>
      </w:pPr>
      <w:r>
        <w:t>14.2. Модули backend</w:t>
      </w:r>
    </w:p>
    <w:p>
      <w:pPr>
        <w:pStyle w:val="Caption"/>
      </w:pPr>
      <w:r>
        <w:t>Таблица 39. Ключевые Python-модули</w:t>
      </w:r>
    </w:p>
    <w:tbl>
      <w:tblPr>
        <w:tblW w:type="auto" w:w="0"/>
        <w:jc w:val="center"/>
        <w:tblLayout w:type="autofit"/>
        <w:tblLook w:firstColumn="1" w:firstRow="1" w:lastColumn="0" w:lastRow="0" w:noHBand="0" w:noVBand="1" w:val="04A0"/>
      </w:tblPr>
      <w:tblGrid>
        <w:gridCol w:w="4904"/>
        <w:gridCol w:w="4904"/>
      </w:tblGrid>
      <w:tr>
        <w:trPr>
          <w:tblHeader w:val="true"/>
        </w:trPr>
        <w:tc>
          <w:tcPr>
            <w:tcW w:type="dxa" w:w="3458"/>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Модуль</w:t>
            </w:r>
          </w:p>
        </w:tc>
        <w:tc>
          <w:tcPr>
            <w:tcW w:type="dxa" w:w="5726"/>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Назначение</w:t>
            </w:r>
          </w:p>
        </w:tc>
      </w:tr>
      <w:tr>
        <w:trPr>
          <w:cantSplit/>
        </w:trPr>
        <w:tc>
          <w:tcPr>
            <w:tcW w:type="dxa" w:w="345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giip/api.py</w:t>
            </w:r>
          </w:p>
        </w:tc>
        <w:tc>
          <w:tcPr>
            <w:tcW w:type="dxa" w:w="5726"/>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FastAPI-маршруты, сборка ответов, статические ресурсы</w:t>
            </w:r>
          </w:p>
        </w:tc>
      </w:tr>
      <w:tr>
        <w:trPr>
          <w:cantSplit/>
        </w:trPr>
        <w:tc>
          <w:tcPr>
            <w:tcW w:type="dxa" w:w="345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giip/db.py</w:t>
            </w:r>
          </w:p>
        </w:tc>
        <w:tc>
          <w:tcPr>
            <w:tcW w:type="dxa" w:w="5726"/>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инициализация, схема и доступ к SQLite</w:t>
            </w:r>
          </w:p>
        </w:tc>
      </w:tr>
      <w:tr>
        <w:trPr>
          <w:cantSplit/>
        </w:trPr>
        <w:tc>
          <w:tcPr>
            <w:tcW w:type="dxa" w:w="345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giip/production_data.py</w:t>
            </w:r>
          </w:p>
        </w:tc>
        <w:tc>
          <w:tcPr>
            <w:tcW w:type="dxa" w:w="5726"/>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производственная загрузка и расчёт индексов/моделей</w:t>
            </w:r>
          </w:p>
        </w:tc>
      </w:tr>
      <w:tr>
        <w:trPr>
          <w:cantSplit/>
        </w:trPr>
        <w:tc>
          <w:tcPr>
            <w:tcW w:type="dxa" w:w="345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giip/htei_release_finalization.py</w:t>
            </w:r>
          </w:p>
        </w:tc>
        <w:tc>
          <w:tcPr>
            <w:tcW w:type="dxa" w:w="5726"/>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финализация HTEI и релизных артефактов</w:t>
            </w:r>
          </w:p>
        </w:tc>
      </w:tr>
      <w:tr>
        <w:trPr>
          <w:cantSplit/>
        </w:trPr>
        <w:tc>
          <w:tcPr>
            <w:tcW w:type="dxa" w:w="345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giip/release_readiness.py</w:t>
            </w:r>
          </w:p>
        </w:tc>
        <w:tc>
          <w:tcPr>
            <w:tcW w:type="dxa" w:w="5726"/>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контрольные гейты релиза</w:t>
            </w:r>
          </w:p>
        </w:tc>
      </w:tr>
      <w:tr>
        <w:trPr>
          <w:cantSplit/>
        </w:trPr>
        <w:tc>
          <w:tcPr>
            <w:tcW w:type="dxa" w:w="345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giip/final_release_v6.py</w:t>
            </w:r>
          </w:p>
        </w:tc>
        <w:tc>
          <w:tcPr>
            <w:tcW w:type="dxa" w:w="5726"/>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финальный процесс v6</w:t>
            </w:r>
          </w:p>
        </w:tc>
      </w:tr>
      <w:tr>
        <w:trPr>
          <w:cantSplit/>
        </w:trPr>
        <w:tc>
          <w:tcPr>
            <w:tcW w:type="dxa" w:w="345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giip/acceptance.py</w:t>
            </w:r>
          </w:p>
        </w:tc>
        <w:tc>
          <w:tcPr>
            <w:tcW w:type="dxa" w:w="5726"/>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проверка соответствия техническому заданию</w:t>
            </w:r>
          </w:p>
        </w:tc>
      </w:tr>
      <w:tr>
        <w:trPr>
          <w:cantSplit/>
        </w:trPr>
        <w:tc>
          <w:tcPr>
            <w:tcW w:type="dxa" w:w="345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giip/cli.py</w:t>
            </w:r>
          </w:p>
        </w:tc>
        <w:tc>
          <w:tcPr>
            <w:tcW w:type="dxa" w:w="5726"/>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команды init, validate, runserver</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Структура исходного кода.</w:t>
      </w:r>
    </w:p>
    <w:p>
      <w:pPr>
        <w:pStyle w:val="Heading2"/>
      </w:pPr>
      <w:r>
        <w:t>14.3. Запуск</w:t>
      </w:r>
    </w:p>
    <w:tbl>
      <w:tblPr>
        <w:tblW w:type="auto" w:w="0"/>
        <w:jc w:val="center"/>
        <w:tblLook w:firstColumn="1" w:firstRow="1" w:lastColumn="0" w:lastRow="0" w:noHBand="0" w:noVBand="1" w:val="04A0"/>
      </w:tblPr>
      <w:tblGrid>
        <w:gridCol w:w="9808"/>
      </w:tblGrid>
      <w:tr>
        <w:tc>
          <w:tcPr>
            <w:tcW w:type="dxa" w:w="9808"/>
            <w:shd w:fill="F5F7F8"/>
            <w:tcMar>
              <w:top w:w="140" w:type="dxa"/>
              <w:start w:w="220" w:type="dxa"/>
              <w:bottom w:w="140" w:type="dxa"/>
              <w:end w:w="220" w:type="dxa"/>
            </w:tcMar>
            <w:tcBorders>
              <w:top w:val="single" w:sz="6" w:color="CFDCE4"/>
              <w:left w:val="single" w:sz="6" w:color="CFDCE4"/>
              <w:bottom w:val="single" w:sz="6" w:color="CFDCE4"/>
              <w:right w:val="single" w:sz="6" w:color="CFDCE4"/>
            </w:tcBorders>
          </w:tcPr>
          <w:p>
            <w:pPr>
              <w:jc w:val="center"/>
            </w:pPr>
            <w:r>
              <w:rPr>
                <w:rFonts w:ascii="Noto Sans" w:hAnsi="Noto Sans" w:eastAsia="Noto Sans"/>
                <w:b/>
                <w:color w:val="2F6B8A"/>
                <w:sz w:val="16"/>
              </w:rPr>
              <w:t>Локальная инициализация</w:t>
            </w:r>
          </w:p>
          <w:p>
            <w:pPr>
              <w:jc w:val="center"/>
            </w:pPr>
            <w:r>
              <w:rPr>
                <w:rFonts w:ascii="DejaVu Serif" w:hAnsi="DejaVu Serif" w:eastAsia="DejaVu Serif"/>
                <w:b/>
                <w:color w:val="17324D"/>
                <w:sz w:val="22"/>
              </w:rPr>
              <w:t>python -m giip.cli init</w:t>
            </w:r>
          </w:p>
        </w:tc>
      </w:tr>
    </w:tbl>
    <w:tbl>
      <w:tblPr>
        <w:tblW w:type="auto" w:w="0"/>
        <w:jc w:val="center"/>
        <w:tblLook w:firstColumn="1" w:firstRow="1" w:lastColumn="0" w:lastRow="0" w:noHBand="0" w:noVBand="1" w:val="04A0"/>
      </w:tblPr>
      <w:tblGrid>
        <w:gridCol w:w="9808"/>
      </w:tblGrid>
      <w:tr>
        <w:tc>
          <w:tcPr>
            <w:tcW w:type="dxa" w:w="9808"/>
            <w:shd w:fill="F5F7F8"/>
            <w:tcMar>
              <w:top w:w="140" w:type="dxa"/>
              <w:start w:w="220" w:type="dxa"/>
              <w:bottom w:w="140" w:type="dxa"/>
              <w:end w:w="220" w:type="dxa"/>
            </w:tcMar>
            <w:tcBorders>
              <w:top w:val="single" w:sz="6" w:color="CFDCE4"/>
              <w:left w:val="single" w:sz="6" w:color="CFDCE4"/>
              <w:bottom w:val="single" w:sz="6" w:color="CFDCE4"/>
              <w:right w:val="single" w:sz="6" w:color="CFDCE4"/>
            </w:tcBorders>
          </w:tcPr>
          <w:p>
            <w:pPr>
              <w:jc w:val="center"/>
            </w:pPr>
            <w:r>
              <w:rPr>
                <w:rFonts w:ascii="Noto Sans" w:hAnsi="Noto Sans" w:eastAsia="Noto Sans"/>
                <w:b/>
                <w:color w:val="2F6B8A"/>
                <w:sz w:val="16"/>
              </w:rPr>
              <w:t>Проверка данных</w:t>
            </w:r>
          </w:p>
          <w:p>
            <w:pPr>
              <w:jc w:val="center"/>
            </w:pPr>
            <w:r>
              <w:rPr>
                <w:rFonts w:ascii="DejaVu Serif" w:hAnsi="DejaVu Serif" w:eastAsia="DejaVu Serif"/>
                <w:b/>
                <w:color w:val="17324D"/>
                <w:sz w:val="22"/>
              </w:rPr>
              <w:t>python -m giip.cli validate</w:t>
            </w:r>
          </w:p>
        </w:tc>
      </w:tr>
    </w:tbl>
    <w:tbl>
      <w:tblPr>
        <w:tblW w:type="auto" w:w="0"/>
        <w:jc w:val="center"/>
        <w:tblLook w:firstColumn="1" w:firstRow="1" w:lastColumn="0" w:lastRow="0" w:noHBand="0" w:noVBand="1" w:val="04A0"/>
      </w:tblPr>
      <w:tblGrid>
        <w:gridCol w:w="9808"/>
      </w:tblGrid>
      <w:tr>
        <w:tc>
          <w:tcPr>
            <w:tcW w:type="dxa" w:w="9808"/>
            <w:shd w:fill="F5F7F8"/>
            <w:tcMar>
              <w:top w:w="140" w:type="dxa"/>
              <w:start w:w="220" w:type="dxa"/>
              <w:bottom w:w="140" w:type="dxa"/>
              <w:end w:w="220" w:type="dxa"/>
            </w:tcMar>
            <w:tcBorders>
              <w:top w:val="single" w:sz="6" w:color="CFDCE4"/>
              <w:left w:val="single" w:sz="6" w:color="CFDCE4"/>
              <w:bottom w:val="single" w:sz="6" w:color="CFDCE4"/>
              <w:right w:val="single" w:sz="6" w:color="CFDCE4"/>
            </w:tcBorders>
          </w:tcPr>
          <w:p>
            <w:pPr>
              <w:jc w:val="center"/>
            </w:pPr>
            <w:r>
              <w:rPr>
                <w:rFonts w:ascii="Noto Sans" w:hAnsi="Noto Sans" w:eastAsia="Noto Sans"/>
                <w:b/>
                <w:color w:val="2F6B8A"/>
                <w:sz w:val="16"/>
              </w:rPr>
              <w:t>Запуск сервера</w:t>
            </w:r>
          </w:p>
          <w:p>
            <w:pPr>
              <w:jc w:val="center"/>
            </w:pPr>
            <w:r>
              <w:rPr>
                <w:rFonts w:ascii="DejaVu Serif" w:hAnsi="DejaVu Serif" w:eastAsia="DejaVu Serif"/>
                <w:b/>
                <w:color w:val="17324D"/>
                <w:sz w:val="22"/>
              </w:rPr>
              <w:t>python -m giip.cli runserver</w:t>
            </w:r>
          </w:p>
        </w:tc>
      </w:tr>
    </w:tbl>
    <w:p>
      <w:r>
        <w:rPr>
          <w:rFonts w:ascii="Noto Serif" w:hAnsi="Noto Serif" w:eastAsia="Noto Serif"/>
          <w:sz w:val="18"/>
        </w:rPr>
        <w:t>Скрипты run_platform.sh, open_platform.cmd и docker-compose.yml предоставляют более удобные сценарии запуска. Docker-образ работает от непривилегированного пользователя giip, содержит healthcheck и выносит data/outputs в тома. Для production следует дополнительно настроить reverse proxy, HTTPS, журналирование, резервное копирование и ограничения ресурсов.</w:t>
      </w:r>
    </w:p>
    <w:p>
      <w:pPr>
        <w:pStyle w:val="Heading2"/>
      </w:pPr>
      <w:r>
        <w:t>14.4. Обновление и планировщик</w:t>
      </w:r>
    </w:p>
    <w:p>
      <w:r>
        <w:rPr>
          <w:rFonts w:ascii="Noto Serif" w:hAnsi="Noto Serif" w:eastAsia="Noto Serif"/>
          <w:sz w:val="18"/>
        </w:rPr>
        <w:t>Скрипты refresh_official_sources.py, fetch_hci_plus_2026.py, fetch_national_statistics_metrics.py, fetch_sec_corporate_metrics.py, import_qs_official_export.py и run_scheduled_refresh.py разделяют источники по типу. После загрузки production builder формирует факты и артефакты. Отдельный release_gate.sh последовательно запускает валидаторы. Такая модульность полезна для точечного обновления и диагностики ошибок.</w:t>
      </w:r>
    </w:p>
    <w:p>
      <w:pPr>
        <w:pStyle w:val="Heading2"/>
      </w:pPr>
      <w:r>
        <w:t>14.5. Резервное копирование</w:t>
      </w:r>
    </w:p>
    <w:p>
      <w:r>
        <w:rPr>
          <w:rFonts w:ascii="Noto Serif" w:hAnsi="Noto Serif" w:eastAsia="Noto Serif"/>
          <w:sz w:val="18"/>
        </w:rPr>
        <w:t>SQLite требует резервировать не только основной файл, но и, при активном режиме WAL, связанные файлы журнала либо выполнять согласованную backup-операцию. В архиве предусмотрен scripts/backup_restore.py и регламент обновления. Для формального сопровождения рекомендуется хранить: базу, raw/derived artifacts, конфигурации источников, OpenAPI, release evidence и git commit/manifest одной версией.</w:t>
      </w:r>
    </w:p>
    <w:p>
      <w:pPr>
        <w:pStyle w:val="Heading2"/>
      </w:pPr>
      <w:r>
        <w:t>14.6. Безопасность</w:t>
      </w:r>
    </w:p>
    <w:p>
      <w:r>
        <w:rPr>
          <w:rFonts w:ascii="Noto Serif" w:hAnsi="Noto Serif" w:eastAsia="Noto Serif"/>
          <w:sz w:val="18"/>
        </w:rPr>
        <w:t>Публичный слой в основном read-only. Тем не менее следует ограничить административные маршруты, не раскрывать локальные пути в ответах, проверять пользовательские path-параметры и не допускать произвольных SQL/URL. Внешние загрузчики должны иметь тайм-ауты, контролируемый user-agent, лимиты размера и запрет следования на небезопасные схемы. Архив не должен содержать ключи, cookies или credential-bearing URL.</w:t>
      </w:r>
    </w:p>
    <w:p>
      <w:bookmarkStart w:id="2192" w:name="sec15"/>
      <w:pPr>
        <w:pStyle w:val="Heading1"/>
      </w:pPr>
      <w:r>
        <w:t>15. Контроль качества и релиз</w:t>
      </w:r>
      <w:bookmarkEnd w:id="2192"/>
    </w:p>
    <w:p>
      <w:pPr>
        <w:jc w:val="center"/>
      </w:pPr>
      <w:r>
        <w:drawing>
          <wp:inline xmlns:a="http://schemas.openxmlformats.org/drawingml/2006/main" xmlns:pic="http://schemas.openxmlformats.org/drawingml/2006/picture">
            <wp:extent cx="5976000" cy="3363287"/>
            <wp:docPr id="8" name="Picture 8" descr="Пять успешных гейтов: данные, происхождение, методология, интерфейс и код; ниже текущий статус customer_final_release." title="Контрольные шлюзы финального релиза."/>
            <wp:cNvGraphicFramePr>
              <a:graphicFrameLocks noChangeAspect="1"/>
            </wp:cNvGraphicFramePr>
            <a:graphic>
              <a:graphicData uri="http://schemas.openxmlformats.org/drawingml/2006/picture">
                <pic:pic>
                  <pic:nvPicPr>
                    <pic:cNvPr id="0" name="08_release_gates.png"/>
                    <pic:cNvPicPr/>
                  </pic:nvPicPr>
                  <pic:blipFill>
                    <a:blip r:embed="rId18"/>
                    <a:stretch>
                      <a:fillRect/>
                    </a:stretch>
                  </pic:blipFill>
                  <pic:spPr>
                    <a:xfrm>
                      <a:off x="0" y="0"/>
                      <a:ext cx="5976000" cy="3363287"/>
                    </a:xfrm>
                    <a:prstGeom prst="rect"/>
                  </pic:spPr>
                </pic:pic>
              </a:graphicData>
            </a:graphic>
          </wp:inline>
        </w:drawing>
      </w:r>
    </w:p>
    <w:p>
      <w:pPr>
        <w:pStyle w:val="Caption"/>
      </w:pPr>
      <w:r>
        <w:t>Рисунок 8. Контрольные шлюзы финального релиза.</w:t>
      </w:r>
    </w:p>
    <w:p>
      <w:pPr>
        <w:pStyle w:val="Heading2"/>
      </w:pPr>
      <w:r>
        <w:t>15.1. Автоматические проверки</w:t>
      </w:r>
    </w:p>
    <w:p>
      <w:pPr>
        <w:pStyle w:val="Caption"/>
      </w:pPr>
      <w:r>
        <w:t>Таблица 40. Актуальные результаты проверок от 12.07.2026</w:t>
      </w:r>
    </w:p>
    <w:tbl>
      <w:tblPr>
        <w:tblW w:type="auto" w:w="0"/>
        <w:jc w:val="center"/>
        <w:tblLayout w:type="autofit"/>
        <w:tblLook w:firstColumn="1" w:firstRow="1" w:lastColumn="0" w:lastRow="0" w:noHBand="0" w:noVBand="1" w:val="04A0"/>
      </w:tblPr>
      <w:tblGrid>
        <w:gridCol w:w="3269"/>
        <w:gridCol w:w="3269"/>
        <w:gridCol w:w="3269"/>
      </w:tblGrid>
      <w:tr>
        <w:trPr>
          <w:tblHeader w:val="true"/>
        </w:trPr>
        <w:tc>
          <w:tcPr>
            <w:tcW w:type="dxa" w:w="3288"/>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Проверка</w:t>
            </w:r>
          </w:p>
        </w:tc>
        <w:tc>
          <w:tcPr>
            <w:tcW w:type="dxa" w:w="215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Результат</w:t>
            </w:r>
          </w:p>
        </w:tc>
        <w:tc>
          <w:tcPr>
            <w:tcW w:type="dxa" w:w="3742"/>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Что подтверждает</w:t>
            </w:r>
          </w:p>
        </w:tc>
      </w:tr>
      <w:tr>
        <w:trPr>
          <w:cantSplit/>
        </w:trPr>
        <w:tc>
          <w:tcPr>
            <w:tcW w:type="dxa" w:w="328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pytest</w:t>
            </w:r>
          </w:p>
        </w:tc>
        <w:tc>
          <w:tcPr>
            <w:tcW w:type="dxa" w:w="21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72 passed</w:t>
            </w:r>
          </w:p>
        </w:tc>
        <w:tc>
          <w:tcPr>
            <w:tcW w:type="dxa" w:w="3742"/>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backend, загрузчики, API, регрессии и ассеты</w:t>
            </w:r>
          </w:p>
        </w:tc>
      </w:tr>
      <w:tr>
        <w:trPr>
          <w:cantSplit/>
        </w:trPr>
        <w:tc>
          <w:tcPr>
            <w:tcW w:type="dxa" w:w="328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Playwright</w:t>
            </w:r>
          </w:p>
        </w:tc>
        <w:tc>
          <w:tcPr>
            <w:tcW w:type="dxa" w:w="21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640 passed; 0 failed/skipped/flaky</w:t>
            </w:r>
          </w:p>
        </w:tc>
        <w:tc>
          <w:tcPr>
            <w:tcW w:type="dxa" w:w="3742"/>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8 desktop/mobile/tablet × ru/en × light/dark проектов</w:t>
            </w:r>
          </w:p>
        </w:tc>
      </w:tr>
      <w:tr>
        <w:trPr>
          <w:cantSplit/>
        </w:trPr>
        <w:tc>
          <w:tcPr>
            <w:tcW w:type="dxa" w:w="328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validate_no_generated_data --strict</w:t>
            </w:r>
          </w:p>
        </w:tc>
        <w:tc>
          <w:tcPr>
            <w:tcW w:type="dxa" w:w="21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passed</w:t>
            </w:r>
          </w:p>
        </w:tc>
        <w:tc>
          <w:tcPr>
            <w:tcW w:type="dxa" w:w="3742"/>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отсутствие запрещённых синтетических значений</w:t>
            </w:r>
          </w:p>
        </w:tc>
      </w:tr>
      <w:tr>
        <w:trPr>
          <w:cantSplit/>
        </w:trPr>
        <w:tc>
          <w:tcPr>
            <w:tcW w:type="dxa" w:w="328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validate_i18n_labels --strict</w:t>
            </w:r>
          </w:p>
        </w:tc>
        <w:tc>
          <w:tcPr>
            <w:tcW w:type="dxa" w:w="21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passed</w:t>
            </w:r>
          </w:p>
        </w:tc>
        <w:tc>
          <w:tcPr>
            <w:tcW w:type="dxa" w:w="3742"/>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полнота и корректность двуязычных меток</w:t>
            </w:r>
          </w:p>
        </w:tc>
      </w:tr>
      <w:tr>
        <w:trPr>
          <w:cantSplit/>
        </w:trPr>
        <w:tc>
          <w:tcPr>
            <w:tcW w:type="dxa" w:w="328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validate_source_provenance --strict</w:t>
            </w:r>
          </w:p>
        </w:tc>
        <w:tc>
          <w:tcPr>
            <w:tcW w:type="dxa" w:w="21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passed; 275/275</w:t>
            </w:r>
          </w:p>
        </w:tc>
        <w:tc>
          <w:tcPr>
            <w:tcW w:type="dxa" w:w="3742"/>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воспроизводимость всех зарегистрированных снимков</w:t>
            </w:r>
          </w:p>
        </w:tc>
      </w:tr>
      <w:tr>
        <w:trPr>
          <w:cantSplit/>
        </w:trPr>
        <w:tc>
          <w:tcPr>
            <w:tcW w:type="dxa" w:w="328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validate_index_formulas --strict</w:t>
            </w:r>
          </w:p>
        </w:tc>
        <w:tc>
          <w:tcPr>
            <w:tcW w:type="dxa" w:w="21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passed</w:t>
            </w:r>
          </w:p>
        </w:tc>
        <w:tc>
          <w:tcPr>
            <w:tcW w:type="dxa" w:w="3742"/>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формулы и методологические статусы</w:t>
            </w:r>
          </w:p>
        </w:tc>
      </w:tr>
      <w:tr>
        <w:trPr>
          <w:cantSplit/>
        </w:trPr>
        <w:tc>
          <w:tcPr>
            <w:tcW w:type="dxa" w:w="328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validate_final_release_candidate</w:t>
            </w:r>
          </w:p>
        </w:tc>
        <w:tc>
          <w:tcPr>
            <w:tcW w:type="dxa" w:w="21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customer_final_release</w:t>
            </w:r>
          </w:p>
        </w:tc>
        <w:tc>
          <w:tcPr>
            <w:tcW w:type="dxa" w:w="3742"/>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финальная классификация сборки</w:t>
            </w:r>
          </w:p>
        </w:tc>
      </w:tr>
      <w:tr>
        <w:trPr>
          <w:cantSplit/>
        </w:trPr>
        <w:tc>
          <w:tcPr>
            <w:tcW w:type="dxa" w:w="328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validate_release_readiness --strict</w:t>
            </w:r>
          </w:p>
        </w:tc>
        <w:tc>
          <w:tcPr>
            <w:tcW w:type="dxa" w:w="21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release_ready=true</w:t>
            </w:r>
          </w:p>
        </w:tc>
        <w:tc>
          <w:tcPr>
            <w:tcW w:type="dxa" w:w="3742"/>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 блокеров; одно предупреждение HTEI as-of</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current_release_validation.txt и final_v6_playwright_manifest.json.</w:t>
      </w:r>
    </w:p>
    <w:p>
      <w:pPr>
        <w:pStyle w:val="Heading2"/>
      </w:pPr>
      <w:r>
        <w:t>15.2. Playwright-матрица</w:t>
      </w:r>
    </w:p>
    <w:p>
      <w:r>
        <w:rPr>
          <w:rFonts w:ascii="Noto Serif" w:hAnsi="Noto Serif" w:eastAsia="Noto Serif"/>
          <w:sz w:val="18"/>
        </w:rPr>
        <w:t>E2E-проверка включает desktop-en-dark, desktop-en-light, desktop-ru-dark, desktop-ru-light, mobile-en, mobile-ru, tablet-en и tablet-ru. Полный прогон от 12 июля 2026 г. содержит 640 успешных сценариев. Это подтверждает широкое покрытие интерфейсных состояний, но не заменяет ручную научную экспертизу содержания, доступность для assistive technologies и нагрузочное тестирование.</w:t>
      </w:r>
    </w:p>
    <w:p>
      <w:pPr>
        <w:pStyle w:val="Heading2"/>
      </w:pPr>
      <w:r>
        <w:t>15.3. Научная устойчивость</w:t>
      </w:r>
    </w:p>
    <w:p>
      <w:r>
        <w:rPr>
          <w:rFonts w:ascii="Noto Serif" w:hAnsi="Noto Serif" w:eastAsia="Noto Serif"/>
          <w:sz w:val="18"/>
        </w:rPr>
        <w:t>Методологические аудиты HTEI и training model сохранены в базе как отдельные записи. Это правильнее, чем приводить только итог «устойчив»: проверяющий может видеть число прогонов, ранговые корреляции и максимальные сдвиги. Внешние рецензии должны храниться в external_method_reviews, но сейчас таблица пуста.</w:t>
      </w:r>
    </w:p>
    <w:tbl>
      <w:tblPr>
        <w:tblW w:type="auto" w:w="0"/>
        <w:jc w:val="center"/>
        <w:tblLook w:firstColumn="1" w:firstRow="1" w:lastColumn="0" w:lastRow="0" w:noHBand="0" w:noVBand="1" w:val="04A0"/>
      </w:tblPr>
      <w:tblGrid>
        <w:gridCol w:w="9808"/>
      </w:tblGrid>
      <w:tr>
        <w:tc>
          <w:tcPr>
            <w:tcW w:type="dxa" w:w="9808"/>
            <w:shd w:fill="FCEFEF"/>
            <w:tcMar>
              <w:top w:w="120" w:type="dxa"/>
              <w:start w:w="170" w:type="dxa"/>
              <w:bottom w:w="120" w:type="dxa"/>
              <w:end w:w="170" w:type="dxa"/>
            </w:tcMar>
            <w:tcBorders>
              <w:top w:val="nil"/>
              <w:left w:val="single" w:sz="18" w:color="B5504D"/>
              <w:bottom w:val="nil"/>
              <w:right w:val="nil"/>
            </w:tcBorders>
          </w:tcPr>
          <w:p>
            <w:r>
              <w:rPr>
                <w:rFonts w:ascii="Noto Sans" w:hAnsi="Noto Sans" w:eastAsia="Noto Sans"/>
                <w:b/>
                <w:color w:val="B5504D"/>
                <w:sz w:val="18"/>
              </w:rPr>
              <w:t xml:space="preserve">Внешняя экспертиза — </w:t>
            </w:r>
            <w:r>
              <w:rPr>
                <w:rFonts w:ascii="Noto Sans" w:hAnsi="Noto Sans" w:eastAsia="Noto Sans"/>
                <w:color w:val="243746"/>
                <w:sz w:val="17"/>
              </w:rPr>
              <w:t>Наличие таблицы external_method_reviews не означает прохождение внешнего научного рецензирования. В текущей базе 0 записей. На странице следует писать «контур внешней экспертизы предусмотрен», а не «методика прошла внешнее рецензирование».</w:t>
            </w:r>
          </w:p>
        </w:tc>
      </w:tr>
    </w:tbl>
    <w:p>
      <w:pPr>
        <w:pStyle w:val="Heading2"/>
      </w:pPr>
      <w:r>
        <w:t>15.4. Текущий релизный статус</w:t>
      </w:r>
    </w:p>
    <w:p>
      <w:r>
        <w:rPr>
          <w:rFonts w:ascii="Noto Serif" w:hAnsi="Noto Serif" w:eastAsia="Noto Serif"/>
          <w:sz w:val="18"/>
        </w:rPr>
        <w:t>Свежий пересчёт всех валидаторов классифицирует архив как customer_final_release и release_ready=true. Блокирующих ошибок нет. Единственное предупреждение относится к 46 устаревшим профилям asof_diagnostic HTEI. Это предупреждение методологически обосновано и не должно быть скрыто.</w:t>
      </w:r>
    </w:p>
    <w:p>
      <w:r>
        <w:rPr>
          <w:rFonts w:ascii="Noto Serif" w:hAnsi="Noto Serif" w:eastAsia="Noto Serif"/>
          <w:sz w:val="18"/>
        </w:rPr>
        <w:t>Одновременно в архиве присутствуют сгенерированные файлы RELEASE_STATUS.md и release_readiness.json от 11 июля 2026 г., где ещё указан final_release_candidate и отсутствующий Playwright manifest. Эти документы устарели относительно фактического manifest от 12 июля и свежей проверки. Следует регенерировать статусные файлы перед формальным распространением.</w:t>
      </w:r>
    </w:p>
    <w:p>
      <w:pPr>
        <w:pStyle w:val="Heading2"/>
      </w:pPr>
      <w:r>
        <w:t>15.5. Рекомендуемый релизный чек-лист</w:t>
      </w:r>
    </w:p>
    <w:p>
      <w:pPr>
        <w:pStyle w:val="ListNumber"/>
        <w:ind w:left="369" w:hanging="142"/>
      </w:pPr>
      <w:r>
        <w:rPr>
          <w:rFonts w:ascii="Noto Serif" w:hAnsi="Noto Serif" w:eastAsia="Noto Serif"/>
          <w:sz w:val="18"/>
        </w:rPr>
        <w:t>зафиксировать git commit или patch manifest и SHA-256 релизного архива;</w:t>
      </w:r>
    </w:p>
    <w:p>
      <w:pPr>
        <w:pStyle w:val="ListNumber"/>
        <w:ind w:left="369" w:hanging="142"/>
      </w:pPr>
      <w:r>
        <w:rPr>
          <w:rFonts w:ascii="Noto Serif" w:hAnsi="Noto Serif" w:eastAsia="Noto Serif"/>
          <w:sz w:val="18"/>
        </w:rPr>
        <w:t>обновить источники и создать новые raw snapshots без перезаписи старых;</w:t>
      </w:r>
    </w:p>
    <w:p>
      <w:pPr>
        <w:pStyle w:val="ListNumber"/>
        <w:ind w:left="369" w:hanging="142"/>
      </w:pPr>
      <w:r>
        <w:rPr>
          <w:rFonts w:ascii="Noto Serif" w:hAnsi="Noto Serif" w:eastAsia="Noto Serif"/>
          <w:sz w:val="18"/>
        </w:rPr>
        <w:t>выполнить production build в чистой среде;</w:t>
      </w:r>
    </w:p>
    <w:p>
      <w:pPr>
        <w:pStyle w:val="ListNumber"/>
        <w:ind w:left="369" w:hanging="142"/>
      </w:pPr>
      <w:r>
        <w:rPr>
          <w:rFonts w:ascii="Noto Serif" w:hAnsi="Noto Serif" w:eastAsia="Noto Serif"/>
          <w:sz w:val="18"/>
        </w:rPr>
        <w:t>проверить схемы, происхождение, формулы, i18n и отсутствие generated data;</w:t>
      </w:r>
    </w:p>
    <w:p>
      <w:pPr>
        <w:pStyle w:val="ListNumber"/>
        <w:ind w:left="369" w:hanging="142"/>
      </w:pPr>
      <w:r>
        <w:rPr>
          <w:rFonts w:ascii="Noto Serif" w:hAnsi="Noto Serif" w:eastAsia="Noto Serif"/>
          <w:sz w:val="18"/>
        </w:rPr>
        <w:t>запустить pytest и полный Playwright matrix;</w:t>
      </w:r>
    </w:p>
    <w:p>
      <w:pPr>
        <w:pStyle w:val="ListNumber"/>
        <w:ind w:left="369" w:hanging="142"/>
      </w:pPr>
      <w:r>
        <w:rPr>
          <w:rFonts w:ascii="Noto Serif" w:hAnsi="Noto Serif" w:eastAsia="Noto Serif"/>
          <w:sz w:val="18"/>
        </w:rPr>
        <w:t>пересчитать audits при изменении HTEI/training methodology;</w:t>
      </w:r>
    </w:p>
    <w:p>
      <w:pPr>
        <w:pStyle w:val="ListNumber"/>
        <w:ind w:left="369" w:hanging="142"/>
      </w:pPr>
      <w:r>
        <w:rPr>
          <w:rFonts w:ascii="Noto Serif" w:hAnsi="Noto Serif" w:eastAsia="Noto Serif"/>
          <w:sz w:val="18"/>
        </w:rPr>
        <w:t>сгенерировать OpenAPI, release status, evidence manifest и пользовательские документы одной датой;</w:t>
      </w:r>
    </w:p>
    <w:p>
      <w:pPr>
        <w:pStyle w:val="ListNumber"/>
        <w:ind w:left="369" w:hanging="142"/>
      </w:pPr>
      <w:r>
        <w:rPr>
          <w:rFonts w:ascii="Noto Serif" w:hAnsi="Noto Serif" w:eastAsia="Noto Serif"/>
          <w:sz w:val="18"/>
        </w:rPr>
        <w:t>проверить лицензионные решения и отсутствие чувствительных данных;</w:t>
      </w:r>
    </w:p>
    <w:p>
      <w:pPr>
        <w:pStyle w:val="ListNumber"/>
        <w:ind w:left="369" w:hanging="142"/>
      </w:pPr>
      <w:r>
        <w:rPr>
          <w:rFonts w:ascii="Noto Serif" w:hAnsi="Noto Serif" w:eastAsia="Noto Serif"/>
          <w:sz w:val="18"/>
        </w:rPr>
        <w:t>собрать архив, вычислить SHA-256 и выполнить smoke-test из архива.</w:t>
      </w:r>
    </w:p>
    <w:p>
      <w:bookmarkStart w:id="2241" w:name="sec16"/>
      <w:pPr>
        <w:pStyle w:val="Heading1"/>
      </w:pPr>
      <w:r>
        <w:t>16. Ограничения и корректная интерпретация</w:t>
      </w:r>
      <w:bookmarkEnd w:id="2241"/>
    </w:p>
    <w:p>
      <w:pPr>
        <w:pStyle w:val="Heading2"/>
      </w:pPr>
      <w:r>
        <w:t>16.1. Несопоставимость выпусков</w:t>
      </w:r>
    </w:p>
    <w:p>
      <w:r>
        <w:rPr>
          <w:rFonts w:ascii="Noto Serif" w:hAnsi="Noto Serif" w:eastAsia="Noto Serif"/>
          <w:sz w:val="18"/>
        </w:rPr>
        <w:t>Международные индексы пересматривают источники, состав показателей, географический охват и формулы. Поэтому временная линия официальных баллов может отражать не только изменение страны, но и изменение методики. Наиболее жёсткий разрыв в проекте — HCI 2020 и HCI+ 2026. Для GII, GTCI и IDI также следует проверять методические notes каждого выпуска.</w:t>
      </w:r>
    </w:p>
    <w:p>
      <w:pPr>
        <w:pStyle w:val="Heading2"/>
      </w:pPr>
      <w:r>
        <w:t>16.2. Запаздывание исходных данных</w:t>
      </w:r>
    </w:p>
    <w:p>
      <w:r>
        <w:rPr>
          <w:rFonts w:ascii="Noto Serif" w:hAnsi="Noto Serif" w:eastAsia="Noto Serif"/>
          <w:sz w:val="18"/>
        </w:rPr>
        <w:t>Год публикации индекса может быть новее фактического года наблюдения. В HTEI это отражено явным lag и confidence. В официальных агрегатах лаги могут быть скрыты внутри методики первоисточника. Интерфейс должен по возможности показывать «выпуск» и «данные преимущественно за…» отдельно.</w:t>
      </w:r>
    </w:p>
    <w:p>
      <w:pPr>
        <w:pStyle w:val="Heading2"/>
      </w:pPr>
      <w:r>
        <w:t>16.3. Прокси и конструктивная валидность</w:t>
      </w:r>
    </w:p>
    <w:p>
      <w:r>
        <w:rPr>
          <w:rFonts w:ascii="Noto Serif" w:hAnsi="Noto Serif" w:eastAsia="Noto Serif"/>
          <w:sz w:val="18"/>
        </w:rPr>
        <w:t>Высокотехнологичная занятость не имеет единого глобально доступного определения. ILO ISIC J+M, укрупнённые ISCO 2–3, бизнес-финансирование НИОКР и технологический экспорт являются содержательно связанными, но неполными прокси. Их использование оправдано для международной диагностики при явной маркировке, crosswalk и анализе чувствительности.</w:t>
      </w:r>
    </w:p>
    <w:p>
      <w:pPr>
        <w:pStyle w:val="Heading2"/>
      </w:pPr>
      <w:r>
        <w:t>16.4. Ранги и ложная точность</w:t>
      </w:r>
    </w:p>
    <w:p>
      <w:r>
        <w:rPr>
          <w:rFonts w:ascii="Noto Serif" w:hAnsi="Noto Serif" w:eastAsia="Noto Serif"/>
          <w:sz w:val="18"/>
        </w:rPr>
        <w:t>Разница в одно место может быть вызвана сотыми долями score, округлением, составом стран или изменением доступности. Поэтому рядом с рангом полезнее показывать балл, перцентиль, интервал ранга и ключевые компоненты. Ранг — порядок, а не расстояние и не вероятность превосходства.</w:t>
      </w:r>
    </w:p>
    <w:p>
      <w:pPr>
        <w:pStyle w:val="Heading2"/>
      </w:pPr>
      <w:r>
        <w:t>16.5. Корреляция источников</w:t>
      </w:r>
    </w:p>
    <w:p>
      <w:r>
        <w:rPr>
          <w:rFonts w:ascii="Noto Serif" w:hAnsi="Noto Serif" w:eastAsia="Noto Serif"/>
          <w:sz w:val="18"/>
        </w:rPr>
        <w:t>Составные модели используют индексы и компоненты, которые могут иметь общие макроэкономические основания или одни и те же первичные источники. Формально разные блоки не всегда независимы. Это может усиливать устойчивый сигнал уровня развития, но одновременно создавать скрытое двойное считывание. Для следующей версии полезен аудит lineage на уровне первичных индикаторов.</w:t>
      </w:r>
    </w:p>
    <w:p>
      <w:pPr>
        <w:pStyle w:val="Heading2"/>
      </w:pPr>
      <w:r>
        <w:t>16.6. Причинность и рекомендации</w:t>
      </w:r>
    </w:p>
    <w:p>
      <w:r>
        <w:rPr>
          <w:rFonts w:ascii="Noto Serif" w:hAnsi="Noto Serif" w:eastAsia="Noto Serif"/>
          <w:sz w:val="18"/>
        </w:rPr>
        <w:t>Диагностика отвечает на вопрос «где наблюдается относительный дефицит», но не доказывает, какая мера устранит его. Policy brief должен включать проверяемые гипотезы, ответственные институты, горизонт, измеримый outcome и риски. Для принятия решений требуется сочетать GIR с отраслевой статистикой, кейсами и оценкой политики.</w:t>
      </w:r>
    </w:p>
    <w:p>
      <w:pPr>
        <w:pStyle w:val="Heading2"/>
      </w:pPr>
      <w:r>
        <w:t>16.7. Территории и ISO3</w:t>
      </w:r>
    </w:p>
    <w:p>
      <w:r>
        <w:rPr>
          <w:rFonts w:ascii="Noto Serif" w:hAnsi="Noto Serif" w:eastAsia="Noto Serif"/>
          <w:sz w:val="18"/>
        </w:rPr>
        <w:t>Справочник содержит 225 стран и территорий. Разные источники могут включать зависимые территории, Косово, агрегаты или специальные экономические единицы. Сопоставление должно сохранять исходное название и правило мэппинга. Отдельно нужно документировать исключённые записи; пример — Косово в HCI+ 2026, не сопоставленное с основной таблицей.</w:t>
      </w:r>
    </w:p>
    <w:p>
      <w:pPr>
        <w:pStyle w:val="Heading2"/>
      </w:pPr>
      <w:r>
        <w:t>16.8. Ограничения внешней проверки</w:t>
      </w:r>
    </w:p>
    <w:p>
      <w:r>
        <w:rPr>
          <w:rFonts w:ascii="Noto Serif" w:hAnsi="Noto Serif" w:eastAsia="Noto Serif"/>
          <w:sz w:val="18"/>
        </w:rPr>
        <w:t>Автоматические тесты подтверждают формальную целостность реализации, но не заменяют независимую валидацию конструкта HTEI, рецензирование весов, проверку национальными экспертами и сравнительный анализ с альтернативными показателями рынка труда. Таблица external_method_reviews пока пуста, поэтому научная уверенность должна формулироваться умеренно.</w:t>
      </w:r>
    </w:p>
    <w:p>
      <w:bookmarkStart w:id="2275" w:name="sec17"/>
      <w:pPr>
        <w:pStyle w:val="Heading1"/>
      </w:pPr>
      <w:r>
        <w:t>17. Выявленные несогласованности и необходимые решения</w:t>
      </w:r>
      <w:bookmarkEnd w:id="2275"/>
    </w:p>
    <w:p>
      <w:pPr>
        <w:pStyle w:val="Caption"/>
      </w:pPr>
      <w:r>
        <w:t>Таблица 41. Реестр расхождений</w:t>
      </w:r>
    </w:p>
    <w:tbl>
      <w:tblPr>
        <w:tblW w:type="auto" w:w="0"/>
        <w:jc w:val="center"/>
        <w:tblLayout w:type="autofit"/>
        <w:tblLook w:firstColumn="1" w:firstRow="1" w:lastColumn="0" w:lastRow="0" w:noHBand="0" w:noVBand="1" w:val="04A0"/>
      </w:tblPr>
      <w:tblGrid>
        <w:gridCol w:w="3269"/>
        <w:gridCol w:w="3269"/>
        <w:gridCol w:w="3269"/>
      </w:tblGrid>
      <w:tr>
        <w:trPr>
          <w:tblHeader w:val="true"/>
        </w:trPr>
        <w:tc>
          <w:tcPr>
            <w:tcW w:type="dxa" w:w="1928"/>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Объект</w:t>
            </w:r>
          </w:p>
        </w:tc>
        <w:tc>
          <w:tcPr>
            <w:tcW w:type="dxa" w:w="3628"/>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Наблюдение</w:t>
            </w:r>
          </w:p>
        </w:tc>
        <w:tc>
          <w:tcPr>
            <w:tcW w:type="dxa" w:w="3628"/>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Рекомендуемое действие</w:t>
            </w:r>
          </w:p>
        </w:tc>
      </w:tr>
      <w:tr>
        <w:trPr>
          <w:cantSplit/>
        </w:trPr>
        <w:tc>
          <w:tcPr>
            <w:tcW w:type="dxa" w:w="192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Релизный статус</w:t>
            </w:r>
          </w:p>
        </w:tc>
        <w:tc>
          <w:tcPr>
            <w:tcW w:type="dxa" w:w="362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Старые файлы от 11.07: final_release_candidate / missing Playwright; свежая проверка 12.07: customer_final_release, 640/640</w:t>
            </w:r>
          </w:p>
        </w:tc>
        <w:tc>
          <w:tcPr>
            <w:tcW w:type="dxa" w:w="362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регенерировать RELEASE_STATUS.md, readiness JSON и acceptance outputs одной датой</w:t>
            </w:r>
          </w:p>
        </w:tc>
      </w:tr>
      <w:tr>
        <w:trPr>
          <w:cantSplit/>
        </w:trPr>
        <w:tc>
          <w:tcPr>
            <w:tcW w:type="dxa" w:w="192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Версия OpenAPI</w:t>
            </w:r>
          </w:p>
        </w:tc>
        <w:tc>
          <w:tcPr>
            <w:tcW w:type="dxa" w:w="362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info.version = 1.0.0-rc6 при финальном статусе</w:t>
            </w:r>
          </w:p>
        </w:tc>
        <w:tc>
          <w:tcPr>
            <w:tcW w:type="dxa" w:w="362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принять схему версионирования и выпустить 1.0.0 либо явно оставить rc6</w:t>
            </w:r>
          </w:p>
        </w:tc>
      </w:tr>
      <w:tr>
        <w:trPr>
          <w:cantSplit/>
        </w:trPr>
        <w:tc>
          <w:tcPr>
            <w:tcW w:type="dxa" w:w="192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Training model threshold</w:t>
            </w:r>
          </w:p>
        </w:tc>
        <w:tc>
          <w:tcPr>
            <w:tcW w:type="dxa" w:w="362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методика: 70%; код: 65% доступного веса</w:t>
            </w:r>
          </w:p>
        </w:tc>
        <w:tc>
          <w:tcPr>
            <w:tcW w:type="dxa" w:w="362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выбрать порог, синхронизировать код/док/тест и пересчитать охват</w:t>
            </w:r>
          </w:p>
        </w:tc>
      </w:tr>
      <w:tr>
        <w:trPr>
          <w:cantSplit/>
        </w:trPr>
        <w:tc>
          <w:tcPr>
            <w:tcW w:type="dxa" w:w="192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IDI edition</w:t>
            </w:r>
          </w:p>
        </w:tc>
        <w:tc>
          <w:tcPr>
            <w:tcW w:type="dxa" w:w="362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база и URL — 2025; официально доступна редакция 2026</w:t>
            </w:r>
          </w:p>
        </w:tc>
        <w:tc>
          <w:tcPr>
            <w:tcW w:type="dxa" w:w="362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создать новый snapshot и обновить набор до IDI 2026</w:t>
            </w:r>
          </w:p>
        </w:tc>
      </w:tr>
      <w:tr>
        <w:trPr>
          <w:cantSplit/>
        </w:trPr>
        <w:tc>
          <w:tcPr>
            <w:tcW w:type="dxa" w:w="192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 as-of freshness</w:t>
            </w:r>
          </w:p>
        </w:tc>
        <w:tc>
          <w:tcPr>
            <w:tcW w:type="dxa" w:w="362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46 профилей отмечены как устаревшие</w:t>
            </w:r>
          </w:p>
        </w:tc>
        <w:tc>
          <w:tcPr>
            <w:tcW w:type="dxa" w:w="362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показать warning; обновить источники или ужесточить профиль</w:t>
            </w:r>
          </w:p>
        </w:tc>
      </w:tr>
      <w:tr>
        <w:trPr>
          <w:cantSplit/>
        </w:trPr>
        <w:tc>
          <w:tcPr>
            <w:tcW w:type="dxa" w:w="192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Внешние рецензии</w:t>
            </w:r>
          </w:p>
        </w:tc>
        <w:tc>
          <w:tcPr>
            <w:tcW w:type="dxa" w:w="362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external_method_reviews содержит 0 строк</w:t>
            </w:r>
          </w:p>
        </w:tc>
        <w:tc>
          <w:tcPr>
            <w:tcW w:type="dxa" w:w="362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 заявлять завершённое рецензирование; организовать и импортировать reviews</w:t>
            </w:r>
          </w:p>
        </w:tc>
      </w:tr>
      <w:tr>
        <w:trPr>
          <w:cantSplit/>
        </w:trPr>
        <w:tc>
          <w:tcPr>
            <w:tcW w:type="dxa" w:w="192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Авторство HTEI</w:t>
            </w:r>
          </w:p>
        </w:tc>
        <w:tc>
          <w:tcPr>
            <w:tcW w:type="dxa" w:w="362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в архиве есть институциональный владелец, но нет персонального списка</w:t>
            </w:r>
          </w:p>
        </w:tc>
        <w:tc>
          <w:tcPr>
            <w:tcW w:type="dxa" w:w="362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добавить утверждённую библиографическую запись авторов</w:t>
            </w:r>
          </w:p>
        </w:tc>
      </w:tr>
      <w:tr>
        <w:trPr>
          <w:cantSplit/>
        </w:trPr>
        <w:tc>
          <w:tcPr>
            <w:tcW w:type="dxa" w:w="192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HCI+ coverage</w:t>
            </w:r>
          </w:p>
        </w:tc>
        <w:tc>
          <w:tcPr>
            <w:tcW w:type="dxa" w:w="362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159 PDF, 158 строк, Косово не сопоставлено</w:t>
            </w:r>
          </w:p>
        </w:tc>
        <w:tc>
          <w:tcPr>
            <w:tcW w:type="dxa" w:w="362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документировать исключение и решить политику ISO3/XKX</w:t>
            </w:r>
          </w:p>
        </w:tc>
      </w:tr>
      <w:tr>
        <w:trPr>
          <w:cantSplit/>
        </w:trPr>
        <w:tc>
          <w:tcPr>
            <w:tcW w:type="dxa" w:w="192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Legacy HTEI formulas</w:t>
            </w:r>
          </w:p>
        </w:tc>
        <w:tc>
          <w:tcPr>
            <w:tcW w:type="dxa" w:w="362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в реестре сохранены версии с quality multiplier</w:t>
            </w:r>
          </w:p>
        </w:tc>
        <w:tc>
          <w:tcPr>
            <w:tcW w:type="dxa" w:w="362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явно маркировать как historical/legacy, не показывать по умолчанию</w:t>
            </w:r>
          </w:p>
        </w:tc>
      </w:tr>
      <w:tr>
        <w:trPr>
          <w:cantSplit/>
        </w:trPr>
        <w:tc>
          <w:tcPr>
            <w:tcW w:type="dxa" w:w="192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QS status</w:t>
            </w:r>
          </w:p>
        </w:tc>
        <w:tc>
          <w:tcPr>
            <w:tcW w:type="dxa" w:w="362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риск восприятия как официального странового рейтинга</w:t>
            </w:r>
          </w:p>
        </w:tc>
        <w:tc>
          <w:tcPr>
            <w:tcW w:type="dxa" w:w="362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переименовать интерфейс и показать формулу агрегации GIR</w:t>
            </w:r>
          </w:p>
        </w:tc>
      </w:tr>
      <w:tr>
        <w:trPr>
          <w:cantSplit/>
        </w:trPr>
        <w:tc>
          <w:tcPr>
            <w:tcW w:type="dxa" w:w="192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Current methodology page</w:t>
            </w:r>
          </w:p>
        </w:tc>
        <w:tc>
          <w:tcPr>
            <w:tcW w:type="dxa" w:w="362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карточки статуса вместо связного объяснения</w:t>
            </w:r>
          </w:p>
        </w:tc>
        <w:tc>
          <w:tcPr>
            <w:tcW w:type="dxa" w:w="362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заменить длинной структурой из раздела 18; карточки оставить как резюме</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Сопоставление кода, базы, сгенерированных документов, валидаторов и OpenAPI.</w:t>
      </w:r>
    </w:p>
    <w:tbl>
      <w:tblPr>
        <w:tblW w:type="auto" w:w="0"/>
        <w:jc w:val="center"/>
        <w:tblLook w:firstColumn="1" w:firstRow="1" w:lastColumn="0" w:lastRow="0" w:noHBand="0" w:noVBand="1" w:val="04A0"/>
      </w:tblPr>
      <w:tblGrid>
        <w:gridCol w:w="9808"/>
      </w:tblGrid>
      <w:tr>
        <w:tc>
          <w:tcPr>
            <w:tcW w:type="dxa" w:w="9808"/>
            <w:shd w:fill="FCEFEF"/>
            <w:tcMar>
              <w:top w:w="120" w:type="dxa"/>
              <w:start w:w="170" w:type="dxa"/>
              <w:bottom w:w="120" w:type="dxa"/>
              <w:end w:w="170" w:type="dxa"/>
            </w:tcMar>
            <w:tcBorders>
              <w:top w:val="nil"/>
              <w:left w:val="single" w:sz="18" w:color="B5504D"/>
              <w:bottom w:val="nil"/>
              <w:right w:val="nil"/>
            </w:tcBorders>
          </w:tcPr>
          <w:p>
            <w:r>
              <w:rPr>
                <w:rFonts w:ascii="Noto Sans" w:hAnsi="Noto Sans" w:eastAsia="Noto Sans"/>
                <w:b/>
                <w:color w:val="B5504D"/>
                <w:sz w:val="18"/>
              </w:rPr>
              <w:t xml:space="preserve">Приоритет — </w:t>
            </w:r>
            <w:r>
              <w:rPr>
                <w:rFonts w:ascii="Noto Sans" w:hAnsi="Noto Sans" w:eastAsia="Noto Sans"/>
                <w:color w:val="243746"/>
                <w:sz w:val="17"/>
              </w:rPr>
              <w:t>Наиболее существенное содержательное решение — порог Training Model 65/70%. Наиболее существенное релизное решение — синхронизация статусных файлов и версии API. Остальные пункты преимущественно относятся к прозрачности и обновлению данных.</w:t>
            </w:r>
          </w:p>
        </w:tc>
      </w:tr>
    </w:tbl>
    <w:p>
      <w:bookmarkStart w:id="2297" w:name="sec18"/>
      <w:pPr>
        <w:pStyle w:val="Heading1"/>
      </w:pPr>
      <w:r>
        <w:t>18. Проект новой страницы «Методология»</w:t>
      </w:r>
      <w:bookmarkEnd w:id="2297"/>
    </w:p>
    <w:p>
      <w:pPr>
        <w:jc w:val="center"/>
      </w:pPr>
      <w:r>
        <w:drawing>
          <wp:inline xmlns:a="http://schemas.openxmlformats.org/drawingml/2006/main" xmlns:pic="http://schemas.openxmlformats.org/drawingml/2006/picture">
            <wp:extent cx="5976000" cy="3363287"/>
            <wp:docPr id="9" name="Picture 9" descr="Семь уровней страницы: обзор, данные, паспорта, авторские модели, техника, верификация, справочники." title="Предлагаемая информационная архитектура длинной страницы."/>
            <wp:cNvGraphicFramePr>
              <a:graphicFrameLocks noChangeAspect="1"/>
            </wp:cNvGraphicFramePr>
            <a:graphic>
              <a:graphicData uri="http://schemas.openxmlformats.org/drawingml/2006/picture">
                <pic:pic>
                  <pic:nvPicPr>
                    <pic:cNvPr id="0" name="09_page_architecture.png"/>
                    <pic:cNvPicPr/>
                  </pic:nvPicPr>
                  <pic:blipFill>
                    <a:blip r:embed="rId19"/>
                    <a:stretch>
                      <a:fillRect/>
                    </a:stretch>
                  </pic:blipFill>
                  <pic:spPr>
                    <a:xfrm>
                      <a:off x="0" y="0"/>
                      <a:ext cx="5976000" cy="3363287"/>
                    </a:xfrm>
                    <a:prstGeom prst="rect"/>
                  </pic:spPr>
                </pic:pic>
              </a:graphicData>
            </a:graphic>
          </wp:inline>
        </w:drawing>
      </w:r>
    </w:p>
    <w:p>
      <w:pPr>
        <w:pStyle w:val="Caption"/>
      </w:pPr>
      <w:r>
        <w:t>Рисунок 9. Предлагаемая информационная архитектура длинной страницы.</w:t>
      </w:r>
    </w:p>
    <w:p>
      <w:pPr>
        <w:pStyle w:val="Heading2"/>
      </w:pPr>
      <w:r>
        <w:t>18.1. Общий принцип</w:t>
      </w:r>
    </w:p>
    <w:p>
      <w:r>
        <w:rPr>
          <w:rFonts w:ascii="Noto Serif" w:hAnsi="Noto Serif" w:eastAsia="Noto Serif"/>
          <w:sz w:val="18"/>
        </w:rPr>
        <w:t>Страница должна быть не панелью статусов, а читаемым документом. Карточки полезны только как верхнее резюме. Основной контент следует организовать в одноколоночный поток с фиксированным оглавлением, якорными ссылками, раскрываемыми техническими деталями и отдельными предупреждениями. Проверяющий должен получить смысл без чтения кода, а разработчик — точные поля, формулы и API в тех же разделах.</w:t>
      </w:r>
    </w:p>
    <w:p>
      <w:pPr>
        <w:pStyle w:val="Heading2"/>
      </w:pPr>
      <w:r>
        <w:t>18.2. Рекомендуемая структура</w:t>
      </w:r>
    </w:p>
    <w:p>
      <w:pPr>
        <w:pStyle w:val="Caption"/>
      </w:pPr>
      <w:r>
        <w:t>Таблица 42. Блоки новой страницы</w:t>
      </w:r>
    </w:p>
    <w:tbl>
      <w:tblPr>
        <w:tblW w:type="auto" w:w="0"/>
        <w:jc w:val="center"/>
        <w:tblLayout w:type="autofit"/>
        <w:tblLook w:firstColumn="1" w:firstRow="1" w:lastColumn="0" w:lastRow="0" w:noHBand="0" w:noVBand="1" w:val="04A0"/>
      </w:tblPr>
      <w:tblGrid>
        <w:gridCol w:w="3269"/>
        <w:gridCol w:w="3269"/>
        <w:gridCol w:w="3269"/>
      </w:tblGrid>
      <w:tr>
        <w:trPr>
          <w:tblHeader w:val="true"/>
        </w:trPr>
        <w:tc>
          <w:tcPr>
            <w:tcW w:type="dxa" w:w="198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Блок</w:t>
            </w:r>
          </w:p>
        </w:tc>
        <w:tc>
          <w:tcPr>
            <w:tcW w:type="dxa" w:w="4082"/>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Содержание</w:t>
            </w:r>
          </w:p>
        </w:tc>
        <w:tc>
          <w:tcPr>
            <w:tcW w:type="dxa" w:w="3175"/>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Форма представления</w:t>
            </w:r>
          </w:p>
        </w:tc>
      </w:tr>
      <w:tr>
        <w:trPr>
          <w:cantSplit/>
        </w:trPr>
        <w:tc>
          <w:tcPr>
            <w:tcW w:type="dxa" w:w="198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 Что такое GIR</w:t>
            </w:r>
          </w:p>
        </w:tc>
        <w:tc>
          <w:tcPr>
            <w:tcW w:type="dxa" w:w="4082"/>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цель, аудитория, границы, 8 модулей, типология official/derived/project</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короткое резюме + схема + ключевые числа</w:t>
            </w:r>
          </w:p>
        </w:tc>
      </w:tr>
      <w:tr>
        <w:trPr>
          <w:cantSplit/>
        </w:trPr>
        <w:tc>
          <w:tcPr>
            <w:tcW w:type="dxa" w:w="198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 Как устроены данные</w:t>
            </w:r>
          </w:p>
        </w:tc>
        <w:tc>
          <w:tcPr>
            <w:tcW w:type="dxa" w:w="4082"/>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источники, raw snapshots, ETL, ISO3, provenance, лицензии</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текст + pipeline + таблица источников</w:t>
            </w:r>
          </w:p>
        </w:tc>
      </w:tr>
      <w:tr>
        <w:trPr>
          <w:cantSplit/>
        </w:trPr>
        <w:tc>
          <w:tcPr>
            <w:tcW w:type="dxa" w:w="198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 Паспорта индексов</w:t>
            </w:r>
          </w:p>
        </w:tc>
        <w:tc>
          <w:tcPr>
            <w:tcW w:type="dxa" w:w="4082"/>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автор, смысл, шкала, формула, данные GIR, ограничения</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повторяемые секции / accordion</w:t>
            </w:r>
          </w:p>
        </w:tc>
      </w:tr>
      <w:tr>
        <w:trPr>
          <w:cantSplit/>
        </w:trPr>
        <w:tc>
          <w:tcPr>
            <w:tcW w:type="dxa" w:w="198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4. HTEI</w:t>
            </w:r>
          </w:p>
        </w:tc>
        <w:tc>
          <w:tcPr>
            <w:tcW w:type="dxa" w:w="4082"/>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концепция, 6 компонентов, 4 режима, confidence, устойчивость</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полный самостоятельный раздел</w:t>
            </w:r>
          </w:p>
        </w:tc>
      </w:tr>
      <w:tr>
        <w:trPr>
          <w:cantSplit/>
        </w:trPr>
        <w:tc>
          <w:tcPr>
            <w:tcW w:type="dxa" w:w="198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5. Training model</w:t>
            </w:r>
          </w:p>
        </w:tc>
        <w:tc>
          <w:tcPr>
            <w:tcW w:type="dxa" w:w="4082"/>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4 блока, формула, качество, порог включения, аудит</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самостоятельный раздел с warning</w:t>
            </w:r>
          </w:p>
        </w:tc>
      </w:tr>
      <w:tr>
        <w:trPr>
          <w:cantSplit/>
        </w:trPr>
        <w:tc>
          <w:tcPr>
            <w:tcW w:type="dxa" w:w="198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6. Техническая реализация</w:t>
            </w:r>
          </w:p>
        </w:tc>
        <w:tc>
          <w:tcPr>
            <w:tcW w:type="dxa" w:w="4082"/>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БД, API, Docker, обновление, экспорт</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диаграммы + справочные таблицы</w:t>
            </w:r>
          </w:p>
        </w:tc>
      </w:tr>
      <w:tr>
        <w:trPr>
          <w:cantSplit/>
        </w:trPr>
        <w:tc>
          <w:tcPr>
            <w:tcW w:type="dxa" w:w="198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7. Проверка и ограничения</w:t>
            </w:r>
          </w:p>
        </w:tc>
        <w:tc>
          <w:tcPr>
            <w:tcW w:type="dxa" w:w="4082"/>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тесты, release status, known issues, внешняя экспертиза</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checklist + dated evidence</w:t>
            </w:r>
          </w:p>
        </w:tc>
      </w:tr>
      <w:tr>
        <w:trPr>
          <w:cantSplit/>
        </w:trPr>
        <w:tc>
          <w:tcPr>
            <w:tcW w:type="dxa" w:w="198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8. Справочник</w:t>
            </w:r>
          </w:p>
        </w:tc>
        <w:tc>
          <w:tcPr>
            <w:tcW w:type="dxa" w:w="4082"/>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API, schema, formulas, glossary, references</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поиск, якоря, скачивание документа</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Результат анализа текущей страницы и всего релизного пакета.</w:t>
      </w:r>
    </w:p>
    <w:p>
      <w:pPr>
        <w:pStyle w:val="Heading2"/>
      </w:pPr>
      <w:r>
        <w:t>18.3. Навигация</w:t>
      </w:r>
    </w:p>
    <w:p>
      <w:pPr>
        <w:pStyle w:val="ListBullet"/>
        <w:ind w:left="369" w:hanging="142"/>
      </w:pPr>
      <w:r>
        <w:rPr>
          <w:rFonts w:ascii="Noto Serif" w:hAnsi="Noto Serif" w:eastAsia="Noto Serif"/>
          <w:sz w:val="18"/>
        </w:rPr>
        <w:t>фиксированное боковое оглавление на desktop и кнопка «Содержание» на mobile;</w:t>
      </w:r>
    </w:p>
    <w:p>
      <w:pPr>
        <w:pStyle w:val="ListBullet"/>
        <w:ind w:left="369" w:hanging="142"/>
      </w:pPr>
      <w:r>
        <w:rPr>
          <w:rFonts w:ascii="Noto Serif" w:hAnsi="Noto Serif" w:eastAsia="Noto Serif"/>
          <w:sz w:val="18"/>
        </w:rPr>
        <w:t>якорь на каждый индекс, формулу, источник и API-группу;</w:t>
      </w:r>
    </w:p>
    <w:p>
      <w:pPr>
        <w:pStyle w:val="ListBullet"/>
        <w:ind w:left="369" w:hanging="142"/>
      </w:pPr>
      <w:r>
        <w:rPr>
          <w:rFonts w:ascii="Noto Serif" w:hAnsi="Noto Serif" w:eastAsia="Noto Serif"/>
          <w:sz w:val="18"/>
        </w:rPr>
        <w:t>плашка «официальное / рассчитано GIR / авторская модель» в заголовке каждого паспорта;</w:t>
      </w:r>
    </w:p>
    <w:p>
      <w:pPr>
        <w:pStyle w:val="ListBullet"/>
        <w:ind w:left="369" w:hanging="142"/>
      </w:pPr>
      <w:r>
        <w:rPr>
          <w:rFonts w:ascii="Noto Serif" w:hAnsi="Noto Serif" w:eastAsia="Noto Serif"/>
          <w:sz w:val="18"/>
        </w:rPr>
        <w:t>переключатель «кратко / подробно», скрывающий таблицы БД и технические детали, но не методологические warnings;</w:t>
      </w:r>
    </w:p>
    <w:p>
      <w:pPr>
        <w:pStyle w:val="ListBullet"/>
        <w:ind w:left="369" w:hanging="142"/>
      </w:pPr>
      <w:r>
        <w:rPr>
          <w:rFonts w:ascii="Noto Serif" w:hAnsi="Noto Serif" w:eastAsia="Noto Serif"/>
          <w:sz w:val="18"/>
        </w:rPr>
        <w:t>поиск по коду индекса, компоненту, источнику и endpoint;</w:t>
      </w:r>
    </w:p>
    <w:p>
      <w:pPr>
        <w:pStyle w:val="ListBullet"/>
        <w:ind w:left="369" w:hanging="142"/>
      </w:pPr>
      <w:r>
        <w:rPr>
          <w:rFonts w:ascii="Noto Serif" w:hAnsi="Noto Serif" w:eastAsia="Noto Serif"/>
          <w:sz w:val="18"/>
        </w:rPr>
        <w:t>кнопки копирования формулы и API-примера;</w:t>
      </w:r>
    </w:p>
    <w:p>
      <w:pPr>
        <w:pStyle w:val="ListBullet"/>
        <w:ind w:left="369" w:hanging="142"/>
      </w:pPr>
      <w:r>
        <w:rPr>
          <w:rFonts w:ascii="Noto Serif" w:hAnsi="Noto Serif" w:eastAsia="Noto Serif"/>
          <w:sz w:val="18"/>
        </w:rPr>
        <w:t>ссылки на raw/derived provenance только при допустимом режиме распространения.</w:t>
      </w:r>
    </w:p>
    <w:p>
      <w:pPr>
        <w:pStyle w:val="Heading2"/>
      </w:pPr>
      <w:r>
        <w:t>18.4. Типовой паспорт индекса на странице</w:t>
      </w:r>
    </w:p>
    <w:p>
      <w:pPr>
        <w:pStyle w:val="Caption"/>
      </w:pPr>
      <w:r>
        <w:t>Таблица 43. Шаблон карточки-паспорта</w:t>
      </w:r>
    </w:p>
    <w:tbl>
      <w:tblPr>
        <w:tblW w:type="auto" w:w="0"/>
        <w:jc w:val="center"/>
        <w:tblLayout w:type="autofit"/>
        <w:tblLook w:firstColumn="1" w:firstRow="1" w:lastColumn="0" w:lastRow="0" w:noHBand="0" w:noVBand="1" w:val="04A0"/>
      </w:tblPr>
      <w:tblGrid>
        <w:gridCol w:w="4904"/>
        <w:gridCol w:w="4904"/>
      </w:tblGrid>
      <w:tr>
        <w:trPr>
          <w:tblHeader w:val="true"/>
        </w:trPr>
        <w:tc>
          <w:tcPr>
            <w:tcW w:type="dxa" w:w="2551"/>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Поле</w:t>
            </w:r>
          </w:p>
        </w:tc>
        <w:tc>
          <w:tcPr>
            <w:tcW w:type="dxa" w:w="6633"/>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Что показать</w:t>
            </w:r>
          </w:p>
        </w:tc>
      </w:tr>
      <w:tr>
        <w:trPr>
          <w:cantSplit/>
        </w:trPr>
        <w:tc>
          <w:tcPr>
            <w:tcW w:type="dxa" w:w="255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Название</w:t>
            </w:r>
          </w:p>
        </w:tc>
        <w:tc>
          <w:tcPr>
            <w:tcW w:type="dxa" w:w="6633"/>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русское и английское, код, текущий выпуск</w:t>
            </w:r>
          </w:p>
        </w:tc>
      </w:tr>
      <w:tr>
        <w:trPr>
          <w:cantSplit/>
        </w:trPr>
        <w:tc>
          <w:tcPr>
            <w:tcW w:type="dxa" w:w="255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Статус</w:t>
            </w:r>
          </w:p>
        </w:tc>
        <w:tc>
          <w:tcPr>
            <w:tcW w:type="dxa" w:w="6633"/>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 index / official components / derived / project</w:t>
            </w:r>
          </w:p>
        </w:tc>
      </w:tr>
      <w:tr>
        <w:trPr>
          <w:cantSplit/>
        </w:trPr>
        <w:tc>
          <w:tcPr>
            <w:tcW w:type="dxa" w:w="255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Автор</w:t>
            </w:r>
          </w:p>
        </w:tc>
        <w:tc>
          <w:tcPr>
            <w:tcW w:type="dxa" w:w="6633"/>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организация; редакторы/авторы методики, если они официально указаны</w:t>
            </w:r>
          </w:p>
        </w:tc>
      </w:tr>
      <w:tr>
        <w:trPr>
          <w:cantSplit/>
        </w:trPr>
        <w:tc>
          <w:tcPr>
            <w:tcW w:type="dxa" w:w="255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Что измеряет</w:t>
            </w:r>
          </w:p>
        </w:tc>
        <w:tc>
          <w:tcPr>
            <w:tcW w:type="dxa" w:w="6633"/>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2–3 абзаца человеческим языком</w:t>
            </w:r>
          </w:p>
        </w:tc>
      </w:tr>
      <w:tr>
        <w:trPr>
          <w:cantSplit/>
        </w:trPr>
        <w:tc>
          <w:tcPr>
            <w:tcW w:type="dxa" w:w="255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Шкала и направление</w:t>
            </w:r>
          </w:p>
        </w:tc>
        <w:tc>
          <w:tcPr>
            <w:tcW w:type="dxa" w:w="6633"/>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официальная шкала и интерфейсное отображение</w:t>
            </w:r>
          </w:p>
        </w:tc>
      </w:tr>
      <w:tr>
        <w:trPr>
          <w:cantSplit/>
        </w:trPr>
        <w:tc>
          <w:tcPr>
            <w:tcW w:type="dxa" w:w="255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Формула</w:t>
            </w:r>
          </w:p>
        </w:tc>
        <w:tc>
          <w:tcPr>
            <w:tcW w:type="dxa" w:w="6633"/>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официальная формула либо честное описание «импортируется без пересчёта»</w:t>
            </w:r>
          </w:p>
        </w:tc>
      </w:tr>
      <w:tr>
        <w:trPr>
          <w:cantSplit/>
        </w:trPr>
        <w:tc>
          <w:tcPr>
            <w:tcW w:type="dxa" w:w="255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Реализация GIR</w:t>
            </w:r>
          </w:p>
        </w:tc>
        <w:tc>
          <w:tcPr>
            <w:tcW w:type="dxa" w:w="6633"/>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источник, охват, трансформации, ранги, version</w:t>
            </w:r>
          </w:p>
        </w:tc>
      </w:tr>
      <w:tr>
        <w:trPr>
          <w:cantSplit/>
        </w:trPr>
        <w:tc>
          <w:tcPr>
            <w:tcW w:type="dxa" w:w="255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Компоненты</w:t>
            </w:r>
          </w:p>
        </w:tc>
        <w:tc>
          <w:tcPr>
            <w:tcW w:type="dxa" w:w="6633"/>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таблица кодов, названий, весов и происхождения</w:t>
            </w:r>
          </w:p>
        </w:tc>
      </w:tr>
      <w:tr>
        <w:trPr>
          <w:cantSplit/>
        </w:trPr>
        <w:tc>
          <w:tcPr>
            <w:tcW w:type="dxa" w:w="255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Ограничения</w:t>
            </w:r>
          </w:p>
        </w:tc>
        <w:tc>
          <w:tcPr>
            <w:tcW w:type="dxa" w:w="6633"/>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методические разрывы, пропуски, прокси, неофициальные операции</w:t>
            </w:r>
          </w:p>
        </w:tc>
      </w:tr>
      <w:tr>
        <w:trPr>
          <w:cantSplit/>
        </w:trPr>
        <w:tc>
          <w:tcPr>
            <w:tcW w:type="dxa" w:w="255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Данные/API</w:t>
            </w:r>
          </w:p>
        </w:tc>
        <w:tc>
          <w:tcPr>
            <w:tcW w:type="dxa" w:w="6633"/>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год, число стран, endpoint, export, дата обновления</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Рекомендуемый унифицированный шаблон.</w:t>
      </w:r>
    </w:p>
    <w:p>
      <w:pPr>
        <w:pStyle w:val="Heading2"/>
      </w:pPr>
      <w:r>
        <w:t>18.5. Визуальная система</w:t>
      </w:r>
    </w:p>
    <w:p>
      <w:r>
        <w:rPr>
          <w:rFonts w:ascii="Noto Serif" w:hAnsi="Noto Serif" w:eastAsia="Noto Serif"/>
          <w:sz w:val="18"/>
        </w:rPr>
        <w:t>Цвет должен кодировать тип методологического объекта, а не «хорошо/плохо»: синий — официальный индекс, бирюзовый — официальный компонент, золотой — диагностика, фиолетовый — авторская модель, красный — предупреждение, зелёный — пройденная проверка. Основной текст должен оставаться чёрным на светлом фоне; тёмная тема требует отдельной проверки контраста.</w:t>
      </w:r>
    </w:p>
    <w:p>
      <w:pPr>
        <w:pStyle w:val="Heading2"/>
      </w:pPr>
      <w:r>
        <w:t>18.6. Что оставить из текущей страницы</w:t>
      </w:r>
    </w:p>
    <w:p>
      <w:r>
        <w:rPr>
          <w:rFonts w:ascii="Noto Serif" w:hAnsi="Noto Serif" w:eastAsia="Noto Serif"/>
          <w:sz w:val="18"/>
        </w:rPr>
        <w:t>Текущие карточки архитектуры, качества, реестра методик и release readiness полезны как краткое состояние системы. Их следует перенести под executive summary и связать с подробными якорями. Не следует оставлять карточки единственным объяснением: они не раскрывают смысл индексов, происхождение формул и пределы интерпретации.</w:t>
      </w:r>
    </w:p>
    <w:p>
      <w:pPr>
        <w:pStyle w:val="Heading2"/>
      </w:pPr>
      <w:r>
        <w:t>18.7. Машиночитаемая документация</w:t>
      </w:r>
    </w:p>
    <w:p>
      <w:r>
        <w:rPr>
          <w:rFonts w:ascii="Noto Serif" w:hAnsi="Noto Serif" w:eastAsia="Noto Serif"/>
          <w:sz w:val="18"/>
        </w:rPr>
        <w:t>Длинная HTML-страница должна строиться из тех же реестров, что и API, чтобы формула или статус не расходились между интерфейсом и базой. Текстовые пояснения можно хранить в структурированном контентном слое, но критические значения — code, score_status, methodology_version, weights, source_id, release_year — должны подтягиваться из БД/OpenAPI. Настоящий DOCX и Markdown могут служить исходной редакцией и техническим заданием на такую сборку.</w:t>
      </w:r>
    </w:p>
    <w:p>
      <w:bookmarkStart w:id="2363" w:name="sec19"/>
      <w:pPr>
        <w:pStyle w:val="Heading1"/>
      </w:pPr>
      <w:r>
        <w:t>19. Заключение</w:t>
      </w:r>
      <w:bookmarkEnd w:id="2363"/>
    </w:p>
    <w:p>
      <w:r>
        <w:rPr>
          <w:rFonts w:ascii="Noto Serif" w:hAnsi="Noto Serif" w:eastAsia="Noto Serif"/>
          <w:sz w:val="18"/>
        </w:rPr>
        <w:t>GIR уже обладает существенно более сильной методологической основой, чем это видно на текущей странице «Методология». В архиве присутствуют первичные снимки, реестры, контрольные суммы, версии формул, специализированные модели, аудиты устойчивости, 72 backend-теста и 640 end-to-end сценариев. Основная задача переосмысления страницы — сделать эту доказательную инфраструктуру видимой и понятной.</w:t>
      </w:r>
    </w:p>
    <w:p>
      <w:r>
        <w:rPr>
          <w:rFonts w:ascii="Noto Serif" w:hAnsi="Noto Serif" w:eastAsia="Noto Serif"/>
          <w:sz w:val="18"/>
        </w:rPr>
        <w:t>Центральная содержательная идея будущей документации — честное разделение происхождения показателей. Официальные значения должны сопровождаться автором и первоисточником; диагностические преобразования — собственной формулой GIR; авторские модели — полным описанием конструкта, прокси, весов, пропусков, качества и устойчивости. Это одновременно повышает научную добросовестность и облегчает техническую проверку.</w:t>
      </w:r>
    </w:p>
    <w:p>
      <w:r>
        <w:rPr>
          <w:rFonts w:ascii="Noto Serif" w:hAnsi="Noto Serif" w:eastAsia="Noto Serif"/>
          <w:sz w:val="18"/>
        </w:rPr>
        <w:t>Перед формальной публикацией рекомендуется синхронизировать release-status артефакты, OpenAPI version и порог Training Model, обновить IDI до выпуска 2026, документировать HCI+ Kosovo mapping, добавить утверждённый список авторов HTEI и организовать внешнее методологическое рецензирование. Эти шаги не отменяют готовности текущей сборки, но переводят её из технически завершённого продукта в зрелую публичную научно-аналитическую систему.</w:t>
      </w:r>
    </w:p>
    <w:tbl>
      <w:tblPr>
        <w:tblW w:type="auto" w:w="0"/>
        <w:jc w:val="center"/>
        <w:tblLook w:firstColumn="1" w:firstRow="1" w:lastColumn="0" w:lastRow="0" w:noHBand="0" w:noVBand="1" w:val="04A0"/>
      </w:tblPr>
      <w:tblGrid>
        <w:gridCol w:w="9808"/>
      </w:tblGrid>
      <w:tr>
        <w:tc>
          <w:tcPr>
            <w:tcW w:type="dxa" w:w="9808"/>
            <w:shd w:fill="EDF6EF"/>
            <w:tcMar>
              <w:top w:w="120" w:type="dxa"/>
              <w:start w:w="170" w:type="dxa"/>
              <w:bottom w:w="120" w:type="dxa"/>
              <w:end w:w="170" w:type="dxa"/>
            </w:tcMar>
            <w:tcBorders>
              <w:top w:val="nil"/>
              <w:left w:val="single" w:sz="18" w:color="4B8B5A"/>
              <w:bottom w:val="nil"/>
              <w:right w:val="nil"/>
            </w:tcBorders>
          </w:tcPr>
          <w:p>
            <w:r>
              <w:rPr>
                <w:rFonts w:ascii="Noto Sans" w:hAnsi="Noto Sans" w:eastAsia="Noto Sans"/>
                <w:b/>
                <w:color w:val="4B8B5A"/>
                <w:sz w:val="18"/>
              </w:rPr>
              <w:t xml:space="preserve">Итоговая рекомендация — </w:t>
            </w:r>
            <w:r>
              <w:rPr>
                <w:rFonts w:ascii="Noto Sans" w:hAnsi="Noto Sans" w:eastAsia="Noto Sans"/>
                <w:color w:val="243746"/>
                <w:sz w:val="17"/>
              </w:rPr>
              <w:t>Использовать данный документ как master-спецификацию: основной текст — для страницы, таблицы API и БД — для справочных раскрывающихся блоков, а реестр расхождений — как план завершающих правок перед публичным релизом.</w:t>
            </w:r>
          </w:p>
        </w:tc>
      </w:tr>
    </w:tbl>
    <w:p>
      <w:r>
        <w:br w:type="page"/>
      </w:r>
    </w:p>
    <w:p>
      <w:bookmarkStart w:id="2373" w:name="appendices"/>
      <w:pPr>
        <w:pStyle w:val="Heading1"/>
      </w:pPr>
      <w:r>
        <w:t>Приложения</w:t>
      </w:r>
      <w:bookmarkEnd w:id="2373"/>
    </w:p>
    <w:p>
      <w:r>
        <w:rPr>
          <w:rFonts w:ascii="Noto Serif" w:hAnsi="Noto Serif" w:eastAsia="Noto Serif"/>
          <w:sz w:val="18"/>
        </w:rPr>
        <w:t>Приложения являются техническим справочником и могут быть перенесены на веб-страницу в виде раскрывающихся таблиц или отдельного downloadable reference. Числа и структуры соответствуют анализируемой сборке от 12 июля 2026 г.</w:t>
      </w:r>
    </w:p>
    <w:p>
      <w:bookmarkStart w:id="2377" w:name="appa"/>
      <w:pPr>
        <w:pStyle w:val="Heading2"/>
      </w:pPr>
      <w:r>
        <w:t>Приложение A. Реестр индексов и компонентов</w:t>
      </w:r>
      <w:bookmarkEnd w:id="2377"/>
    </w:p>
    <w:p>
      <w:pPr>
        <w:pStyle w:val="Caption"/>
      </w:pPr>
      <w:r>
        <w:t>Таблица 44. Полный реестр индексов</w:t>
      </w:r>
    </w:p>
    <w:tbl>
      <w:tblPr>
        <w:tblW w:type="auto" w:w="0"/>
        <w:jc w:val="center"/>
        <w:tblLayout w:type="autofit"/>
        <w:tblLook w:firstColumn="1" w:firstRow="1" w:lastColumn="0" w:lastRow="0" w:noHBand="0" w:noVBand="1" w:val="04A0"/>
      </w:tblPr>
      <w:tblGrid>
        <w:gridCol w:w="1635"/>
        <w:gridCol w:w="1635"/>
        <w:gridCol w:w="1635"/>
        <w:gridCol w:w="1635"/>
        <w:gridCol w:w="1635"/>
        <w:gridCol w:w="1635"/>
      </w:tblGrid>
      <w:tr>
        <w:trPr>
          <w:tblHeader w:val="true"/>
        </w:trPr>
        <w:tc>
          <w:tcPr>
            <w:tcW w:type="dxa" w:w="1020"/>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Код</w:t>
            </w:r>
          </w:p>
        </w:tc>
        <w:tc>
          <w:tcPr>
            <w:tcW w:type="dxa" w:w="2268"/>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Название</w:t>
            </w:r>
          </w:p>
        </w:tc>
        <w:tc>
          <w:tcPr>
            <w:tcW w:type="dxa" w:w="1701"/>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Авторитет</w:t>
            </w:r>
          </w:p>
        </w:tc>
        <w:tc>
          <w:tcPr>
            <w:tcW w:type="dxa" w:w="1701"/>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Шкала</w:t>
            </w:r>
          </w:p>
        </w:tc>
        <w:tc>
          <w:tcPr>
            <w:tcW w:type="dxa" w:w="181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Статус</w:t>
            </w:r>
          </w:p>
        </w:tc>
        <w:tc>
          <w:tcPr>
            <w:tcW w:type="dxa" w:w="2381"/>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Режим расчёта</w:t>
            </w:r>
          </w:p>
        </w:tc>
      </w:tr>
      <w:tr>
        <w:trPr>
          <w:cantSplit/>
        </w:trPr>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HDI</w:t>
            </w:r>
          </w:p>
        </w:tc>
        <w:tc>
          <w:tcPr>
            <w:tcW w:type="dxa" w:w="226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Индекс человеческого развития</w:t>
            </w:r>
          </w:p>
        </w:tc>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UNDP</w:t>
            </w:r>
          </w:p>
        </w:tc>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0-1 official score shown on a 0-100 display scale</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official_index</w:t>
            </w:r>
          </w:p>
        </w:tc>
        <w:tc>
          <w:tcPr>
            <w:tcW w:type="dxa" w:w="238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 score with diagnostic components normalized from official fields</w:t>
            </w:r>
          </w:p>
        </w:tc>
      </w:tr>
      <w:tr>
        <w:trPr>
          <w:cantSplit/>
        </w:trPr>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HCI</w:t>
            </w:r>
          </w:p>
        </w:tc>
        <w:tc>
          <w:tcPr>
            <w:tcW w:type="dxa" w:w="226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Индекс человеческого капитала</w:t>
            </w:r>
          </w:p>
        </w:tc>
        <w:tc>
          <w:tcPr>
            <w:tcW w:type="dxa" w:w="170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World Bank</w:t>
            </w:r>
          </w:p>
        </w:tc>
        <w:tc>
          <w:tcPr>
            <w:tcW w:type="dxa" w:w="170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0-1 official score shown on a 0-100 display scale</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official_index</w:t>
            </w:r>
          </w:p>
        </w:tc>
        <w:tc>
          <w:tcPr>
            <w:tcW w:type="dxa" w:w="238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 API score with available official HCI component indicators</w:t>
            </w:r>
          </w:p>
        </w:tc>
      </w:tr>
      <w:tr>
        <w:trPr>
          <w:cantSplit/>
        </w:trPr>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GTCI</w:t>
            </w:r>
          </w:p>
        </w:tc>
        <w:tc>
          <w:tcPr>
            <w:tcW w:type="dxa" w:w="226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Индекс глобальной конкурентоспособности талантов</w:t>
            </w:r>
          </w:p>
        </w:tc>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INSEAD / Portulans</w:t>
            </w:r>
          </w:p>
        </w:tc>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0-100</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official_index</w:t>
            </w:r>
          </w:p>
        </w:tc>
        <w:tc>
          <w:tcPr>
            <w:tcW w:type="dxa" w:w="238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 report rank and score extraction</w:t>
            </w:r>
          </w:p>
        </w:tc>
      </w:tr>
      <w:tr>
        <w:trPr>
          <w:cantSplit/>
        </w:trPr>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GII</w:t>
            </w:r>
          </w:p>
        </w:tc>
        <w:tc>
          <w:tcPr>
            <w:tcW w:type="dxa" w:w="226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Глобальный инновационный индекс</w:t>
            </w:r>
          </w:p>
        </w:tc>
        <w:tc>
          <w:tcPr>
            <w:tcW w:type="dxa" w:w="170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WIPO</w:t>
            </w:r>
          </w:p>
        </w:tc>
        <w:tc>
          <w:tcPr>
            <w:tcW w:type="dxa" w:w="170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0-100</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official_index</w:t>
            </w:r>
          </w:p>
        </w:tc>
        <w:tc>
          <w:tcPr>
            <w:tcW w:type="dxa" w:w="238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 score and pillar import from WIPO database</w:t>
            </w:r>
          </w:p>
        </w:tc>
      </w:tr>
      <w:tr>
        <w:trPr>
          <w:cantSplit/>
        </w:trPr>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IDI</w:t>
            </w:r>
          </w:p>
        </w:tc>
        <w:tc>
          <w:tcPr>
            <w:tcW w:type="dxa" w:w="226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Индекс развития ИКТ</w:t>
            </w:r>
          </w:p>
        </w:tc>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ITU</w:t>
            </w:r>
          </w:p>
        </w:tc>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0-100</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official_index</w:t>
            </w:r>
          </w:p>
        </w:tc>
        <w:tc>
          <w:tcPr>
            <w:tcW w:type="dxa" w:w="238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 aggregate and pillar scores from ITU dataset</w:t>
            </w:r>
          </w:p>
        </w:tc>
      </w:tr>
      <w:tr>
        <w:trPr>
          <w:cantSplit/>
        </w:trPr>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QS_ET</w:t>
            </w:r>
          </w:p>
        </w:tc>
        <w:tc>
          <w:tcPr>
            <w:tcW w:type="dxa" w:w="226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QS: инженерия и технологии</w:t>
            </w:r>
          </w:p>
        </w:tc>
        <w:tc>
          <w:tcPr>
            <w:tcW w:type="dxa" w:w="170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QS</w:t>
            </w:r>
          </w:p>
        </w:tc>
        <w:tc>
          <w:tcPr>
            <w:tcW w:type="dxa" w:w="170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0-100 country aggregation from archived official endpoint rows</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derived_country_aggregation</w:t>
            </w:r>
          </w:p>
        </w:tc>
        <w:tc>
          <w:tcPr>
            <w:tcW w:type="dxa" w:w="238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derived_country_aggregation from archived official QS endpoint rows</w:t>
            </w:r>
          </w:p>
        </w:tc>
      </w:tr>
      <w:tr>
        <w:trPr>
          <w:cantSplit/>
        </w:trPr>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w:t>
            </w:r>
          </w:p>
        </w:tc>
        <w:tc>
          <w:tcPr>
            <w:tcW w:type="dxa" w:w="226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Индекс занятости в высокотехнологичных отраслях</w:t>
            </w:r>
          </w:p>
        </w:tc>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MGIMO / FNISC RAS</w:t>
            </w:r>
          </w:p>
        </w:tc>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0-100</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project_index_required_by_TZ</w:t>
            </w:r>
          </w:p>
        </w:tc>
        <w:tc>
          <w:tcPr>
            <w:tcW w:type="dxa" w:w="238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computed from official workforce, R&amp;D, STEM and technology output indicators</w:t>
            </w:r>
          </w:p>
        </w:tc>
      </w:tr>
      <w:tr>
        <w:trPr>
          <w:cantSplit/>
        </w:trPr>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HCI_PLUS</w:t>
            </w:r>
          </w:p>
        </w:tc>
        <w:tc>
          <w:tcPr>
            <w:tcW w:type="dxa" w:w="226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Индекс человеческого капитала плюс (HCI+)</w:t>
            </w:r>
          </w:p>
        </w:tc>
        <w:tc>
          <w:tcPr>
            <w:tcW w:type="dxa" w:w="170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World Bank</w:t>
            </w:r>
          </w:p>
        </w:tc>
        <w:tc>
          <w:tcPr>
            <w:tcW w:type="dxa" w:w="170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0-325 official score</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official_index</w:t>
            </w:r>
          </w:p>
        </w:tc>
        <w:tc>
          <w:tcPr>
            <w:tcW w:type="dxa" w:w="238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 HCI+ 2026 country-brief import</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indices.</w:t>
      </w:r>
    </w:p>
    <w:p>
      <w:pPr>
        <w:pStyle w:val="Caption"/>
      </w:pPr>
      <w:r>
        <w:t>Таблица 45. Компоненты индексных модулей</w:t>
      </w:r>
    </w:p>
    <w:tbl>
      <w:tblPr>
        <w:tblW w:type="auto" w:w="0"/>
        <w:jc w:val="center"/>
        <w:tblLayout w:type="autofit"/>
        <w:tblLook w:firstColumn="1" w:firstRow="1" w:lastColumn="0" w:lastRow="0" w:noHBand="0" w:noVBand="1" w:val="04A0"/>
      </w:tblPr>
      <w:tblGrid>
        <w:gridCol w:w="1962"/>
        <w:gridCol w:w="1962"/>
        <w:gridCol w:w="1962"/>
        <w:gridCol w:w="1962"/>
        <w:gridCol w:w="1962"/>
      </w:tblGrid>
      <w:tr>
        <w:trPr>
          <w:tblHeader w:val="true"/>
        </w:trPr>
        <w:tc>
          <w:tcPr>
            <w:tcW w:type="dxa" w:w="96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Индекс</w:t>
            </w:r>
          </w:p>
        </w:tc>
        <w:tc>
          <w:tcPr>
            <w:tcW w:type="dxa" w:w="1928"/>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Код компонента</w:t>
            </w:r>
          </w:p>
        </w:tc>
        <w:tc>
          <w:tcPr>
            <w:tcW w:type="dxa" w:w="3231"/>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Название</w:t>
            </w:r>
          </w:p>
        </w:tc>
        <w:tc>
          <w:tcPr>
            <w:tcW w:type="dxa" w:w="850"/>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Вес</w:t>
            </w:r>
          </w:p>
        </w:tc>
        <w:tc>
          <w:tcPr>
            <w:tcW w:type="dxa" w:w="3345"/>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Источник/примечание</w:t>
            </w:r>
          </w:p>
        </w:tc>
      </w:tr>
      <w:tr>
        <w:trPr>
          <w:cantSplit/>
        </w:trPr>
        <w:tc>
          <w:tcPr>
            <w:tcW w:type="dxa" w:w="96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HDI</w:t>
            </w:r>
          </w:p>
        </w:tc>
        <w:tc>
          <w:tcPr>
            <w:tcW w:type="dxa" w:w="192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LE</w:t>
            </w:r>
          </w:p>
        </w:tc>
        <w:tc>
          <w:tcPr>
            <w:tcW w:type="dxa" w:w="323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Ожидаемая продолжительность жизни</w:t>
            </w:r>
          </w:p>
        </w:tc>
        <w:tc>
          <w:tcPr>
            <w:tcW w:type="dxa" w:w="85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0,3333</w:t>
            </w:r>
          </w:p>
        </w:tc>
        <w:tc>
          <w:tcPr>
            <w:tcW w:type="dxa" w:w="334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UNDP HDR component</w:t>
            </w:r>
          </w:p>
        </w:tc>
      </w:tr>
      <w:tr>
        <w:trPr>
          <w:cantSplit/>
        </w:trPr>
        <w:tc>
          <w:tcPr>
            <w:tcW w:type="dxa" w:w="96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HDI</w:t>
            </w:r>
          </w:p>
        </w:tc>
        <w:tc>
          <w:tcPr>
            <w:tcW w:type="dxa" w:w="192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EDU</w:t>
            </w:r>
          </w:p>
        </w:tc>
        <w:tc>
          <w:tcPr>
            <w:tcW w:type="dxa" w:w="323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Образование</w:t>
            </w:r>
          </w:p>
        </w:tc>
        <w:tc>
          <w:tcPr>
            <w:tcW w:type="dxa" w:w="85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0,3333</w:t>
            </w:r>
          </w:p>
        </w:tc>
        <w:tc>
          <w:tcPr>
            <w:tcW w:type="dxa" w:w="334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UNDP expected and mean years of schooling</w:t>
            </w:r>
          </w:p>
        </w:tc>
      </w:tr>
      <w:tr>
        <w:trPr>
          <w:cantSplit/>
        </w:trPr>
        <w:tc>
          <w:tcPr>
            <w:tcW w:type="dxa" w:w="96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HDI</w:t>
            </w:r>
          </w:p>
        </w:tc>
        <w:tc>
          <w:tcPr>
            <w:tcW w:type="dxa" w:w="192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GNI</w:t>
            </w:r>
          </w:p>
        </w:tc>
        <w:tc>
          <w:tcPr>
            <w:tcW w:type="dxa" w:w="323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ВНД на душу населения</w:t>
            </w:r>
          </w:p>
        </w:tc>
        <w:tc>
          <w:tcPr>
            <w:tcW w:type="dxa" w:w="85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0,3333</w:t>
            </w:r>
          </w:p>
        </w:tc>
        <w:tc>
          <w:tcPr>
            <w:tcW w:type="dxa" w:w="334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UNDP GNI per capita component</w:t>
            </w:r>
          </w:p>
        </w:tc>
      </w:tr>
      <w:tr>
        <w:trPr>
          <w:cantSplit/>
        </w:trPr>
        <w:tc>
          <w:tcPr>
            <w:tcW w:type="dxa" w:w="96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HCI</w:t>
            </w:r>
          </w:p>
        </w:tc>
        <w:tc>
          <w:tcPr>
            <w:tcW w:type="dxa" w:w="192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SURV</w:t>
            </w:r>
          </w:p>
        </w:tc>
        <w:tc>
          <w:tcPr>
            <w:tcW w:type="dxa" w:w="323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Выживаемость</w:t>
            </w:r>
          </w:p>
        </w:tc>
        <w:tc>
          <w:tcPr>
            <w:tcW w:type="dxa" w:w="85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0,2500</w:t>
            </w:r>
          </w:p>
        </w:tc>
        <w:tc>
          <w:tcPr>
            <w:tcW w:type="dxa" w:w="334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World Bank HCI survival indicators</w:t>
            </w:r>
          </w:p>
        </w:tc>
      </w:tr>
      <w:tr>
        <w:trPr>
          <w:cantSplit/>
        </w:trPr>
        <w:tc>
          <w:tcPr>
            <w:tcW w:type="dxa" w:w="96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HCI</w:t>
            </w:r>
          </w:p>
        </w:tc>
        <w:tc>
          <w:tcPr>
            <w:tcW w:type="dxa" w:w="192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SCHOOL</w:t>
            </w:r>
          </w:p>
        </w:tc>
        <w:tc>
          <w:tcPr>
            <w:tcW w:type="dxa" w:w="323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Ожидаемые годы обучения</w:t>
            </w:r>
          </w:p>
        </w:tc>
        <w:tc>
          <w:tcPr>
            <w:tcW w:type="dxa" w:w="85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0,2500</w:t>
            </w:r>
          </w:p>
        </w:tc>
        <w:tc>
          <w:tcPr>
            <w:tcW w:type="dxa" w:w="334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World Bank HCI schooling</w:t>
            </w:r>
          </w:p>
        </w:tc>
      </w:tr>
      <w:tr>
        <w:trPr>
          <w:cantSplit/>
        </w:trPr>
        <w:tc>
          <w:tcPr>
            <w:tcW w:type="dxa" w:w="96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HCI</w:t>
            </w:r>
          </w:p>
        </w:tc>
        <w:tc>
          <w:tcPr>
            <w:tcW w:type="dxa" w:w="192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LEARN</w:t>
            </w:r>
          </w:p>
        </w:tc>
        <w:tc>
          <w:tcPr>
            <w:tcW w:type="dxa" w:w="323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Результаты обучения</w:t>
            </w:r>
          </w:p>
        </w:tc>
        <w:tc>
          <w:tcPr>
            <w:tcW w:type="dxa" w:w="85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0,2500</w:t>
            </w:r>
          </w:p>
        </w:tc>
        <w:tc>
          <w:tcPr>
            <w:tcW w:type="dxa" w:w="334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World Bank HCI harmonized test scores</w:t>
            </w:r>
          </w:p>
        </w:tc>
      </w:tr>
      <w:tr>
        <w:trPr>
          <w:cantSplit/>
        </w:trPr>
        <w:tc>
          <w:tcPr>
            <w:tcW w:type="dxa" w:w="96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HCI</w:t>
            </w:r>
          </w:p>
        </w:tc>
        <w:tc>
          <w:tcPr>
            <w:tcW w:type="dxa" w:w="192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HEALTH</w:t>
            </w:r>
          </w:p>
        </w:tc>
        <w:tc>
          <w:tcPr>
            <w:tcW w:type="dxa" w:w="323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Здоровье детей</w:t>
            </w:r>
          </w:p>
        </w:tc>
        <w:tc>
          <w:tcPr>
            <w:tcW w:type="dxa" w:w="85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0,2500</w:t>
            </w:r>
          </w:p>
        </w:tc>
        <w:tc>
          <w:tcPr>
            <w:tcW w:type="dxa" w:w="334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World Bank HCI not-stunted indicator</w:t>
            </w:r>
          </w:p>
        </w:tc>
      </w:tr>
      <w:tr>
        <w:trPr>
          <w:cantSplit/>
        </w:trPr>
        <w:tc>
          <w:tcPr>
            <w:tcW w:type="dxa" w:w="96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GTCI</w:t>
            </w:r>
          </w:p>
        </w:tc>
        <w:tc>
          <w:tcPr>
            <w:tcW w:type="dxa" w:w="192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ENABLE</w:t>
            </w:r>
          </w:p>
        </w:tc>
        <w:tc>
          <w:tcPr>
            <w:tcW w:type="dxa" w:w="323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Среда для талантов</w:t>
            </w:r>
          </w:p>
        </w:tc>
        <w:tc>
          <w:tcPr>
            <w:tcW w:type="dxa" w:w="85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0,1667</w:t>
            </w:r>
          </w:p>
        </w:tc>
        <w:tc>
          <w:tcPr>
            <w:tcW w:type="dxa" w:w="334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GTCI model pillar</w:t>
            </w:r>
          </w:p>
        </w:tc>
      </w:tr>
      <w:tr>
        <w:trPr>
          <w:cantSplit/>
        </w:trPr>
        <w:tc>
          <w:tcPr>
            <w:tcW w:type="dxa" w:w="96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GTCI</w:t>
            </w:r>
          </w:p>
        </w:tc>
        <w:tc>
          <w:tcPr>
            <w:tcW w:type="dxa" w:w="192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ATTRACT</w:t>
            </w:r>
          </w:p>
        </w:tc>
        <w:tc>
          <w:tcPr>
            <w:tcW w:type="dxa" w:w="323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Привлечение талантов</w:t>
            </w:r>
          </w:p>
        </w:tc>
        <w:tc>
          <w:tcPr>
            <w:tcW w:type="dxa" w:w="85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0,1667</w:t>
            </w:r>
          </w:p>
        </w:tc>
        <w:tc>
          <w:tcPr>
            <w:tcW w:type="dxa" w:w="334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GTCI model pillar</w:t>
            </w:r>
          </w:p>
        </w:tc>
      </w:tr>
      <w:tr>
        <w:trPr>
          <w:cantSplit/>
        </w:trPr>
        <w:tc>
          <w:tcPr>
            <w:tcW w:type="dxa" w:w="96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GTCI</w:t>
            </w:r>
          </w:p>
        </w:tc>
        <w:tc>
          <w:tcPr>
            <w:tcW w:type="dxa" w:w="192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GROW</w:t>
            </w:r>
          </w:p>
        </w:tc>
        <w:tc>
          <w:tcPr>
            <w:tcW w:type="dxa" w:w="323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Развитие талантов</w:t>
            </w:r>
          </w:p>
        </w:tc>
        <w:tc>
          <w:tcPr>
            <w:tcW w:type="dxa" w:w="85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0,1667</w:t>
            </w:r>
          </w:p>
        </w:tc>
        <w:tc>
          <w:tcPr>
            <w:tcW w:type="dxa" w:w="334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GTCI model pillar</w:t>
            </w:r>
          </w:p>
        </w:tc>
      </w:tr>
      <w:tr>
        <w:trPr>
          <w:cantSplit/>
        </w:trPr>
        <w:tc>
          <w:tcPr>
            <w:tcW w:type="dxa" w:w="96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GTCI</w:t>
            </w:r>
          </w:p>
        </w:tc>
        <w:tc>
          <w:tcPr>
            <w:tcW w:type="dxa" w:w="192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RETAIN</w:t>
            </w:r>
          </w:p>
        </w:tc>
        <w:tc>
          <w:tcPr>
            <w:tcW w:type="dxa" w:w="323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Удержание талантов</w:t>
            </w:r>
          </w:p>
        </w:tc>
        <w:tc>
          <w:tcPr>
            <w:tcW w:type="dxa" w:w="85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0,1667</w:t>
            </w:r>
          </w:p>
        </w:tc>
        <w:tc>
          <w:tcPr>
            <w:tcW w:type="dxa" w:w="334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GTCI model pillar</w:t>
            </w:r>
          </w:p>
        </w:tc>
      </w:tr>
      <w:tr>
        <w:trPr>
          <w:cantSplit/>
        </w:trPr>
        <w:tc>
          <w:tcPr>
            <w:tcW w:type="dxa" w:w="96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GTCI</w:t>
            </w:r>
          </w:p>
        </w:tc>
        <w:tc>
          <w:tcPr>
            <w:tcW w:type="dxa" w:w="192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VT</w:t>
            </w:r>
          </w:p>
        </w:tc>
        <w:tc>
          <w:tcPr>
            <w:tcW w:type="dxa" w:w="323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Профессионально-технические навыки</w:t>
            </w:r>
          </w:p>
        </w:tc>
        <w:tc>
          <w:tcPr>
            <w:tcW w:type="dxa" w:w="85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0,1667</w:t>
            </w:r>
          </w:p>
        </w:tc>
        <w:tc>
          <w:tcPr>
            <w:tcW w:type="dxa" w:w="334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GTCI model pillar</w:t>
            </w:r>
          </w:p>
        </w:tc>
      </w:tr>
      <w:tr>
        <w:trPr>
          <w:cantSplit/>
        </w:trPr>
        <w:tc>
          <w:tcPr>
            <w:tcW w:type="dxa" w:w="96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GTCI</w:t>
            </w:r>
          </w:p>
        </w:tc>
        <w:tc>
          <w:tcPr>
            <w:tcW w:type="dxa" w:w="192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GA</w:t>
            </w:r>
          </w:p>
        </w:tc>
        <w:tc>
          <w:tcPr>
            <w:tcW w:type="dxa" w:w="323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Адаптивные навыки высокого уровня</w:t>
            </w:r>
          </w:p>
        </w:tc>
        <w:tc>
          <w:tcPr>
            <w:tcW w:type="dxa" w:w="85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0,1667</w:t>
            </w:r>
          </w:p>
        </w:tc>
        <w:tc>
          <w:tcPr>
            <w:tcW w:type="dxa" w:w="334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GTCI model pillar</w:t>
            </w:r>
          </w:p>
        </w:tc>
      </w:tr>
      <w:tr>
        <w:trPr>
          <w:cantSplit/>
        </w:trPr>
        <w:tc>
          <w:tcPr>
            <w:tcW w:type="dxa" w:w="96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GII</w:t>
            </w:r>
          </w:p>
        </w:tc>
        <w:tc>
          <w:tcPr>
            <w:tcW w:type="dxa" w:w="192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INST</w:t>
            </w:r>
          </w:p>
        </w:tc>
        <w:tc>
          <w:tcPr>
            <w:tcW w:type="dxa" w:w="323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Институты</w:t>
            </w:r>
          </w:p>
        </w:tc>
        <w:tc>
          <w:tcPr>
            <w:tcW w:type="dxa" w:w="85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0,1429</w:t>
            </w:r>
          </w:p>
        </w:tc>
        <w:tc>
          <w:tcPr>
            <w:tcW w:type="dxa" w:w="334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WIPO pillar score</w:t>
            </w:r>
          </w:p>
        </w:tc>
      </w:tr>
      <w:tr>
        <w:trPr>
          <w:cantSplit/>
        </w:trPr>
        <w:tc>
          <w:tcPr>
            <w:tcW w:type="dxa" w:w="96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GII</w:t>
            </w:r>
          </w:p>
        </w:tc>
        <w:tc>
          <w:tcPr>
            <w:tcW w:type="dxa" w:w="192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HCR</w:t>
            </w:r>
          </w:p>
        </w:tc>
        <w:tc>
          <w:tcPr>
            <w:tcW w:type="dxa" w:w="323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Человеческий капитал и исследования</w:t>
            </w:r>
          </w:p>
        </w:tc>
        <w:tc>
          <w:tcPr>
            <w:tcW w:type="dxa" w:w="85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0,1429</w:t>
            </w:r>
          </w:p>
        </w:tc>
        <w:tc>
          <w:tcPr>
            <w:tcW w:type="dxa" w:w="334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WIPO pillar score</w:t>
            </w:r>
          </w:p>
        </w:tc>
      </w:tr>
      <w:tr>
        <w:trPr>
          <w:cantSplit/>
        </w:trPr>
        <w:tc>
          <w:tcPr>
            <w:tcW w:type="dxa" w:w="96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GII</w:t>
            </w:r>
          </w:p>
        </w:tc>
        <w:tc>
          <w:tcPr>
            <w:tcW w:type="dxa" w:w="192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INFRA</w:t>
            </w:r>
          </w:p>
        </w:tc>
        <w:tc>
          <w:tcPr>
            <w:tcW w:type="dxa" w:w="323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Инфраструктура</w:t>
            </w:r>
          </w:p>
        </w:tc>
        <w:tc>
          <w:tcPr>
            <w:tcW w:type="dxa" w:w="85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0,1429</w:t>
            </w:r>
          </w:p>
        </w:tc>
        <w:tc>
          <w:tcPr>
            <w:tcW w:type="dxa" w:w="334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WIPO pillar score</w:t>
            </w:r>
          </w:p>
        </w:tc>
      </w:tr>
      <w:tr>
        <w:trPr>
          <w:cantSplit/>
        </w:trPr>
        <w:tc>
          <w:tcPr>
            <w:tcW w:type="dxa" w:w="96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GII</w:t>
            </w:r>
          </w:p>
        </w:tc>
        <w:tc>
          <w:tcPr>
            <w:tcW w:type="dxa" w:w="192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MARKET</w:t>
            </w:r>
          </w:p>
        </w:tc>
        <w:tc>
          <w:tcPr>
            <w:tcW w:type="dxa" w:w="323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Развитость рынков</w:t>
            </w:r>
          </w:p>
        </w:tc>
        <w:tc>
          <w:tcPr>
            <w:tcW w:type="dxa" w:w="85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0,1429</w:t>
            </w:r>
          </w:p>
        </w:tc>
        <w:tc>
          <w:tcPr>
            <w:tcW w:type="dxa" w:w="334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WIPO pillar score</w:t>
            </w:r>
          </w:p>
        </w:tc>
      </w:tr>
      <w:tr>
        <w:trPr>
          <w:cantSplit/>
        </w:trPr>
        <w:tc>
          <w:tcPr>
            <w:tcW w:type="dxa" w:w="96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GII</w:t>
            </w:r>
          </w:p>
        </w:tc>
        <w:tc>
          <w:tcPr>
            <w:tcW w:type="dxa" w:w="192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BUS</w:t>
            </w:r>
          </w:p>
        </w:tc>
        <w:tc>
          <w:tcPr>
            <w:tcW w:type="dxa" w:w="323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Развитость бизнеса</w:t>
            </w:r>
          </w:p>
        </w:tc>
        <w:tc>
          <w:tcPr>
            <w:tcW w:type="dxa" w:w="85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0,1429</w:t>
            </w:r>
          </w:p>
        </w:tc>
        <w:tc>
          <w:tcPr>
            <w:tcW w:type="dxa" w:w="334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WIPO pillar score</w:t>
            </w:r>
          </w:p>
        </w:tc>
      </w:tr>
      <w:tr>
        <w:trPr>
          <w:cantSplit/>
        </w:trPr>
        <w:tc>
          <w:tcPr>
            <w:tcW w:type="dxa" w:w="96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GII</w:t>
            </w:r>
          </w:p>
        </w:tc>
        <w:tc>
          <w:tcPr>
            <w:tcW w:type="dxa" w:w="192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KTO</w:t>
            </w:r>
          </w:p>
        </w:tc>
        <w:tc>
          <w:tcPr>
            <w:tcW w:type="dxa" w:w="323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Знания и технологии: результаты</w:t>
            </w:r>
          </w:p>
        </w:tc>
        <w:tc>
          <w:tcPr>
            <w:tcW w:type="dxa" w:w="85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0,1429</w:t>
            </w:r>
          </w:p>
        </w:tc>
        <w:tc>
          <w:tcPr>
            <w:tcW w:type="dxa" w:w="334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WIPO pillar score</w:t>
            </w:r>
          </w:p>
        </w:tc>
      </w:tr>
      <w:tr>
        <w:trPr>
          <w:cantSplit/>
        </w:trPr>
        <w:tc>
          <w:tcPr>
            <w:tcW w:type="dxa" w:w="96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GII</w:t>
            </w:r>
          </w:p>
        </w:tc>
        <w:tc>
          <w:tcPr>
            <w:tcW w:type="dxa" w:w="192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CRE</w:t>
            </w:r>
          </w:p>
        </w:tc>
        <w:tc>
          <w:tcPr>
            <w:tcW w:type="dxa" w:w="323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Креативные результаты</w:t>
            </w:r>
          </w:p>
        </w:tc>
        <w:tc>
          <w:tcPr>
            <w:tcW w:type="dxa" w:w="85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0,1429</w:t>
            </w:r>
          </w:p>
        </w:tc>
        <w:tc>
          <w:tcPr>
            <w:tcW w:type="dxa" w:w="334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WIPO pillar score</w:t>
            </w:r>
          </w:p>
        </w:tc>
      </w:tr>
      <w:tr>
        <w:trPr>
          <w:cantSplit/>
        </w:trPr>
        <w:tc>
          <w:tcPr>
            <w:tcW w:type="dxa" w:w="96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IDI</w:t>
            </w:r>
          </w:p>
        </w:tc>
        <w:tc>
          <w:tcPr>
            <w:tcW w:type="dxa" w:w="192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ACCESS</w:t>
            </w:r>
          </w:p>
        </w:tc>
        <w:tc>
          <w:tcPr>
            <w:tcW w:type="dxa" w:w="323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Универсальная связность</w:t>
            </w:r>
          </w:p>
        </w:tc>
        <w:tc>
          <w:tcPr>
            <w:tcW w:type="dxa" w:w="85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0,4000</w:t>
            </w:r>
          </w:p>
        </w:tc>
        <w:tc>
          <w:tcPr>
            <w:tcW w:type="dxa" w:w="334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ITU pillar score</w:t>
            </w:r>
          </w:p>
        </w:tc>
      </w:tr>
      <w:tr>
        <w:trPr>
          <w:cantSplit/>
        </w:trPr>
        <w:tc>
          <w:tcPr>
            <w:tcW w:type="dxa" w:w="96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IDI</w:t>
            </w:r>
          </w:p>
        </w:tc>
        <w:tc>
          <w:tcPr>
            <w:tcW w:type="dxa" w:w="192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USE</w:t>
            </w:r>
          </w:p>
        </w:tc>
        <w:tc>
          <w:tcPr>
            <w:tcW w:type="dxa" w:w="323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Использование ИКТ</w:t>
            </w:r>
          </w:p>
        </w:tc>
        <w:tc>
          <w:tcPr>
            <w:tcW w:type="dxa" w:w="85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0,2000</w:t>
            </w:r>
          </w:p>
        </w:tc>
        <w:tc>
          <w:tcPr>
            <w:tcW w:type="dxa" w:w="334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ITU normalized use indicators</w:t>
            </w:r>
          </w:p>
        </w:tc>
      </w:tr>
      <w:tr>
        <w:trPr>
          <w:cantSplit/>
        </w:trPr>
        <w:tc>
          <w:tcPr>
            <w:tcW w:type="dxa" w:w="96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IDI</w:t>
            </w:r>
          </w:p>
        </w:tc>
        <w:tc>
          <w:tcPr>
            <w:tcW w:type="dxa" w:w="192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MEANING</w:t>
            </w:r>
          </w:p>
        </w:tc>
        <w:tc>
          <w:tcPr>
            <w:tcW w:type="dxa" w:w="323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Качество значимой связности</w:t>
            </w:r>
          </w:p>
        </w:tc>
        <w:tc>
          <w:tcPr>
            <w:tcW w:type="dxa" w:w="85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0,4000</w:t>
            </w:r>
          </w:p>
        </w:tc>
        <w:tc>
          <w:tcPr>
            <w:tcW w:type="dxa" w:w="334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ITU pillar score</w:t>
            </w:r>
          </w:p>
        </w:tc>
      </w:tr>
      <w:tr>
        <w:trPr>
          <w:cantSplit/>
        </w:trPr>
        <w:tc>
          <w:tcPr>
            <w:tcW w:type="dxa" w:w="96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QS_ET</w:t>
            </w:r>
          </w:p>
        </w:tc>
        <w:tc>
          <w:tcPr>
            <w:tcW w:type="dxa" w:w="192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TOP_COUNT</w:t>
            </w:r>
          </w:p>
        </w:tc>
        <w:tc>
          <w:tcPr>
            <w:tcW w:type="dxa" w:w="323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Число вузов в рейтинге</w:t>
            </w:r>
          </w:p>
        </w:tc>
        <w:tc>
          <w:tcPr>
            <w:tcW w:type="dxa" w:w="85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0,2500</w:t>
            </w:r>
          </w:p>
        </w:tc>
        <w:tc>
          <w:tcPr>
            <w:tcW w:type="dxa" w:w="334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 QS export field</w:t>
            </w:r>
          </w:p>
        </w:tc>
      </w:tr>
      <w:tr>
        <w:trPr>
          <w:cantSplit/>
        </w:trPr>
        <w:tc>
          <w:tcPr>
            <w:tcW w:type="dxa" w:w="96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QS_ET</w:t>
            </w:r>
          </w:p>
        </w:tc>
        <w:tc>
          <w:tcPr>
            <w:tcW w:type="dxa" w:w="192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BEST_RANK</w:t>
            </w:r>
          </w:p>
        </w:tc>
        <w:tc>
          <w:tcPr>
            <w:tcW w:type="dxa" w:w="323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Лучшая позиция вуза</w:t>
            </w:r>
          </w:p>
        </w:tc>
        <w:tc>
          <w:tcPr>
            <w:tcW w:type="dxa" w:w="85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0,2500</w:t>
            </w:r>
          </w:p>
        </w:tc>
        <w:tc>
          <w:tcPr>
            <w:tcW w:type="dxa" w:w="334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 QS export field</w:t>
            </w:r>
          </w:p>
        </w:tc>
      </w:tr>
      <w:tr>
        <w:trPr>
          <w:cantSplit/>
        </w:trPr>
        <w:tc>
          <w:tcPr>
            <w:tcW w:type="dxa" w:w="96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QS_ET</w:t>
            </w:r>
          </w:p>
        </w:tc>
        <w:tc>
          <w:tcPr>
            <w:tcW w:type="dxa" w:w="192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MEDIAN_RANK</w:t>
            </w:r>
          </w:p>
        </w:tc>
        <w:tc>
          <w:tcPr>
            <w:tcW w:type="dxa" w:w="323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Медианная позиция вузов</w:t>
            </w:r>
          </w:p>
        </w:tc>
        <w:tc>
          <w:tcPr>
            <w:tcW w:type="dxa" w:w="85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0,2500</w:t>
            </w:r>
          </w:p>
        </w:tc>
        <w:tc>
          <w:tcPr>
            <w:tcW w:type="dxa" w:w="334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 QS export field</w:t>
            </w:r>
          </w:p>
        </w:tc>
      </w:tr>
      <w:tr>
        <w:trPr>
          <w:cantSplit/>
        </w:trPr>
        <w:tc>
          <w:tcPr>
            <w:tcW w:type="dxa" w:w="96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QS_ET</w:t>
            </w:r>
          </w:p>
        </w:tc>
        <w:tc>
          <w:tcPr>
            <w:tcW w:type="dxa" w:w="192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QS_SCORE</w:t>
            </w:r>
          </w:p>
        </w:tc>
        <w:tc>
          <w:tcPr>
            <w:tcW w:type="dxa" w:w="323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Суммарная оценка вузов</w:t>
            </w:r>
          </w:p>
        </w:tc>
        <w:tc>
          <w:tcPr>
            <w:tcW w:type="dxa" w:w="85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0,2500</w:t>
            </w:r>
          </w:p>
        </w:tc>
        <w:tc>
          <w:tcPr>
            <w:tcW w:type="dxa" w:w="334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 QS export field</w:t>
            </w:r>
          </w:p>
        </w:tc>
      </w:tr>
      <w:tr>
        <w:trPr>
          <w:cantSplit/>
        </w:trPr>
        <w:tc>
          <w:tcPr>
            <w:tcW w:type="dxa" w:w="96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w:t>
            </w:r>
          </w:p>
        </w:tc>
        <w:tc>
          <w:tcPr>
            <w:tcW w:type="dxa" w:w="192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HT_EMPLOYMENT_SHARE</w:t>
            </w:r>
          </w:p>
        </w:tc>
        <w:tc>
          <w:tcPr>
            <w:tcW w:type="dxa" w:w="323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Занятость в информационно-коммуникационных и профессионально-научно-технических видах деятельности / high-tech и KIS там, где доступна прямая статистика</w:t>
            </w:r>
          </w:p>
        </w:tc>
        <w:tc>
          <w:tcPr>
            <w:tcW w:type="dxa" w:w="85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0,2200</w:t>
            </w:r>
          </w:p>
        </w:tc>
        <w:tc>
          <w:tcPr>
            <w:tcW w:type="dxa" w:w="334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Для Eurostat используется секторный high-tech/KIS подход; для глобального покрытия — прозрачно маркированный отраслевой proxy. Показатель не интерпретируется как полностью идентичная статистика во всех странах.</w:t>
            </w:r>
          </w:p>
        </w:tc>
      </w:tr>
      <w:tr>
        <w:trPr>
          <w:cantSplit/>
        </w:trPr>
        <w:tc>
          <w:tcPr>
            <w:tcW w:type="dxa" w:w="96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w:t>
            </w:r>
          </w:p>
        </w:tc>
        <w:tc>
          <w:tcPr>
            <w:tcW w:type="dxa" w:w="192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HIGH_TECH_OCCUPATIONS</w:t>
            </w:r>
          </w:p>
        </w:tc>
        <w:tc>
          <w:tcPr>
            <w:tcW w:type="dxa" w:w="323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Доля специалистов высшего и среднего профессионально-технического уровня (ISCO-08 2–3, широкий профессиональный proxy)</w:t>
            </w:r>
          </w:p>
        </w:tc>
        <w:tc>
          <w:tcPr>
            <w:tcW w:type="dxa" w:w="85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0,1800</w:t>
            </w:r>
          </w:p>
        </w:tc>
        <w:tc>
          <w:tcPr>
            <w:tcW w:type="dxa" w:w="334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ISCO-08 major groups 2–3 включают широкий круг специалистов и техников и не являются исключительно перечнем high-tech профессий. Показатель используется как международно сопоставимый proxy профессиональной интенсивности.</w:t>
            </w:r>
          </w:p>
        </w:tc>
      </w:tr>
      <w:tr>
        <w:trPr>
          <w:cantSplit/>
        </w:trPr>
        <w:tc>
          <w:tcPr>
            <w:tcW w:type="dxa" w:w="96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w:t>
            </w:r>
          </w:p>
        </w:tc>
        <w:tc>
          <w:tcPr>
            <w:tcW w:type="dxa" w:w="192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RND_PERSONNEL</w:t>
            </w:r>
          </w:p>
        </w:tc>
        <w:tc>
          <w:tcPr>
            <w:tcW w:type="dxa" w:w="323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Персонал исследований и разработок</w:t>
            </w:r>
          </w:p>
        </w:tc>
        <w:tc>
          <w:tcPr>
            <w:tcW w:type="dxa" w:w="85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0,1800</w:t>
            </w:r>
          </w:p>
        </w:tc>
        <w:tc>
          <w:tcPr>
            <w:tcW w:type="dxa" w:w="334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Используется официальный показатель численности исследователей и/или техников НИОКР на миллион населения либо сопоставимая гармонизированная мера.</w:t>
            </w:r>
          </w:p>
        </w:tc>
      </w:tr>
      <w:tr>
        <w:trPr>
          <w:cantSplit/>
        </w:trPr>
        <w:tc>
          <w:tcPr>
            <w:tcW w:type="dxa" w:w="96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w:t>
            </w:r>
          </w:p>
        </w:tc>
        <w:tc>
          <w:tcPr>
            <w:tcW w:type="dxa" w:w="192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STEM_PIPELINE</w:t>
            </w:r>
          </w:p>
        </w:tc>
        <w:tc>
          <w:tcPr>
            <w:tcW w:type="dxa" w:w="323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Образовательный поток STEM</w:t>
            </w:r>
          </w:p>
        </w:tc>
        <w:tc>
          <w:tcPr>
            <w:tcW w:type="dxa" w:w="85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0,1600</w:t>
            </w:r>
          </w:p>
        </w:tc>
        <w:tc>
          <w:tcPr>
            <w:tcW w:type="dxa" w:w="334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Доля выпускников третичного образования по естественным наукам, математике, ИКТ, инженерным и смежным направлениям; фактический состав раскрывается в provenance.</w:t>
            </w:r>
          </w:p>
        </w:tc>
      </w:tr>
      <w:tr>
        <w:trPr>
          <w:cantSplit/>
        </w:trPr>
        <w:tc>
          <w:tcPr>
            <w:tcW w:type="dxa" w:w="96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w:t>
            </w:r>
          </w:p>
        </w:tc>
        <w:tc>
          <w:tcPr>
            <w:tcW w:type="dxa" w:w="192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TECH_OUTPUTS</w:t>
            </w:r>
          </w:p>
        </w:tc>
        <w:tc>
          <w:tcPr>
            <w:tcW w:type="dxa" w:w="323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Технологические результаты экономики</w:t>
            </w:r>
          </w:p>
        </w:tc>
        <w:tc>
          <w:tcPr>
            <w:tcW w:type="dxa" w:w="85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0,1400</w:t>
            </w:r>
          </w:p>
        </w:tc>
        <w:tc>
          <w:tcPr>
            <w:tcW w:type="dxa" w:w="334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Композит официальных показателей high-tech exports, ICT services exports и/или патентной активности. Для каждой страны интерфейс раскрывает фактически использованные исходные показатели.</w:t>
            </w:r>
          </w:p>
        </w:tc>
      </w:tr>
      <w:tr>
        <w:trPr>
          <w:cantSplit/>
        </w:trPr>
        <w:tc>
          <w:tcPr>
            <w:tcW w:type="dxa" w:w="96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w:t>
            </w:r>
          </w:p>
        </w:tc>
        <w:tc>
          <w:tcPr>
            <w:tcW w:type="dxa" w:w="192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CORPORATE_STRATEGY_AND_DEMAND</w:t>
            </w:r>
          </w:p>
        </w:tc>
        <w:tc>
          <w:tcPr>
            <w:tcW w:type="dxa" w:w="323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Корпоративное участие в НИОКР (proxy корпоративной технологической активности; не показатель вакансий)</w:t>
            </w:r>
          </w:p>
        </w:tc>
        <w:tc>
          <w:tcPr>
            <w:tcW w:type="dxa" w:w="85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0,1200</w:t>
            </w:r>
          </w:p>
        </w:tc>
        <w:tc>
          <w:tcPr>
            <w:tcW w:type="dxa" w:w="334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Доля бизнес-сектора в расходах на НИОКР используется как proxy корпоративной технологической активности. Она не измеряет напрямую вакансии, дефицит навыков или кадровые стратегии.</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index_components.</w:t>
      </w:r>
    </w:p>
    <w:p>
      <w:bookmarkStart w:id="2434" w:name="appb"/>
      <w:pPr>
        <w:pStyle w:val="Heading2"/>
      </w:pPr>
      <w:r>
        <w:t>Приложение B. Реестр формул и методологических статусов</w:t>
      </w:r>
      <w:bookmarkEnd w:id="2434"/>
    </w:p>
    <w:p>
      <w:pPr>
        <w:pStyle w:val="Caption"/>
      </w:pPr>
      <w:r>
        <w:t>Таблица 46. Зарегистрированные формулы</w:t>
      </w:r>
    </w:p>
    <w:tbl>
      <w:tblPr>
        <w:tblW w:type="auto" w:w="0"/>
        <w:jc w:val="center"/>
        <w:tblLayout w:type="autofit"/>
        <w:tblLook w:firstColumn="1" w:firstRow="1" w:lastColumn="0" w:lastRow="0" w:noHBand="0" w:noVBand="1" w:val="04A0"/>
      </w:tblPr>
      <w:tblGrid>
        <w:gridCol w:w="1635"/>
        <w:gridCol w:w="1635"/>
        <w:gridCol w:w="1635"/>
        <w:gridCol w:w="1635"/>
        <w:gridCol w:w="1635"/>
        <w:gridCol w:w="1635"/>
      </w:tblGrid>
      <w:tr>
        <w:trPr>
          <w:tblHeader w:val="true"/>
        </w:trPr>
        <w:tc>
          <w:tcPr>
            <w:tcW w:type="dxa" w:w="850"/>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Индекс</w:t>
            </w:r>
          </w:p>
        </w:tc>
        <w:tc>
          <w:tcPr>
            <w:tcW w:type="dxa" w:w="181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Версия</w:t>
            </w:r>
          </w:p>
        </w:tc>
        <w:tc>
          <w:tcPr>
            <w:tcW w:type="dxa" w:w="2835"/>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Формула/правило</w:t>
            </w:r>
          </w:p>
        </w:tc>
        <w:tc>
          <w:tcPr>
            <w:tcW w:type="dxa" w:w="2721"/>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Нормирование</w:t>
            </w:r>
          </w:p>
        </w:tc>
        <w:tc>
          <w:tcPr>
            <w:tcW w:type="dxa" w:w="130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Источник</w:t>
            </w:r>
          </w:p>
        </w:tc>
        <w:tc>
          <w:tcPr>
            <w:tcW w:type="dxa" w:w="1191"/>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Официальная формула доступна</w:t>
            </w:r>
          </w:p>
        </w:tc>
      </w:tr>
      <w:tr>
        <w:trPr>
          <w:cantSplit/>
        </w:trPr>
        <w:tc>
          <w:tcPr>
            <w:tcW w:type="dxa" w:w="85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HDI</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official-hdi-timeseries-2025</w:t>
            </w:r>
          </w:p>
        </w:tc>
        <w:tc>
          <w:tcPr>
            <w:tcW w:type="dxa" w:w="28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Официальная оценка ИЧР UNDP; диагностические компоненты нормируются из life expectancy, schooling и GNI.</w:t>
            </w:r>
          </w:p>
        </w:tc>
        <w:tc>
          <w:tcPr>
            <w:tcW w:type="dxa" w:w="272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Официальные оценки 0-100 используются напрямую; внешние исходные компоненты нормируются min-max по доступным странам.</w:t>
            </w:r>
          </w:p>
        </w:tc>
        <w:tc>
          <w:tcPr>
            <w:tcW w:type="dxa" w:w="130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UNDP_HDR</w:t>
            </w:r>
          </w:p>
        </w:tc>
        <w:tc>
          <w:tcPr>
            <w:tcW w:type="dxa" w:w="119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r>
      <w:tr>
        <w:trPr>
          <w:cantSplit/>
        </w:trPr>
        <w:tc>
          <w:tcPr>
            <w:tcW w:type="dxa" w:w="85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HCI</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official-hci-series</w:t>
            </w:r>
          </w:p>
        </w:tc>
        <w:tc>
          <w:tcPr>
            <w:tcW w:type="dxa" w:w="283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Официальная оценка World Bank HCI; компоненты берутся из доступных индикаторов HCI.</w:t>
            </w:r>
          </w:p>
        </w:tc>
        <w:tc>
          <w:tcPr>
            <w:tcW w:type="dxa" w:w="272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Официальные оценки 0-100 используются напрямую; внешние исходные компоненты нормируются min-max по доступным странам.</w:t>
            </w:r>
          </w:p>
        </w:tc>
        <w:tc>
          <w:tcPr>
            <w:tcW w:type="dxa" w:w="130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WORLD_BANK_HCI</w:t>
            </w:r>
          </w:p>
        </w:tc>
        <w:tc>
          <w:tcPr>
            <w:tcW w:type="dxa" w:w="119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r>
      <w:tr>
        <w:trPr>
          <w:cantSplit/>
        </w:trPr>
        <w:tc>
          <w:tcPr>
            <w:tcW w:type="dxa" w:w="85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GTCI</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official-gtci-2025-pillars</w:t>
            </w:r>
          </w:p>
        </w:tc>
        <w:tc>
          <w:tcPr>
            <w:tcW w:type="dxa" w:w="28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Официальная оценка GTCI 2025 извлечена из таблицы рейтинга; шесть направлений диагностики рассчитаны из официальных рангов по направлениям Enable, Attract, Grow, Retain, VT и GA из таблицы Rankings by Pillar.</w:t>
            </w:r>
          </w:p>
        </w:tc>
        <w:tc>
          <w:tcPr>
            <w:tcW w:type="dxa" w:w="272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Официальные оценки 0-100 используются напрямую; внешние исходные компоненты нормируются min-max по доступным странам.</w:t>
            </w:r>
          </w:p>
        </w:tc>
        <w:tc>
          <w:tcPr>
            <w:tcW w:type="dxa" w:w="130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PORTULANS_GTCI</w:t>
            </w:r>
          </w:p>
        </w:tc>
        <w:tc>
          <w:tcPr>
            <w:tcW w:type="dxa" w:w="119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r>
      <w:tr>
        <w:trPr>
          <w:cantSplit/>
        </w:trPr>
        <w:tc>
          <w:tcPr>
            <w:tcW w:type="dxa" w:w="85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GII</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official-gii-2025</w:t>
            </w:r>
          </w:p>
        </w:tc>
        <w:tc>
          <w:tcPr>
            <w:tcW w:type="dxa" w:w="283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Официальная оценка WIPO GII и семь направлений из базы GII 2025.</w:t>
            </w:r>
          </w:p>
        </w:tc>
        <w:tc>
          <w:tcPr>
            <w:tcW w:type="dxa" w:w="272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Официальные оценки 0-100 используются напрямую; внешние исходные компоненты нормируются min-max по доступным странам.</w:t>
            </w:r>
          </w:p>
        </w:tc>
        <w:tc>
          <w:tcPr>
            <w:tcW w:type="dxa" w:w="130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WIPO_GII</w:t>
            </w:r>
          </w:p>
        </w:tc>
        <w:tc>
          <w:tcPr>
            <w:tcW w:type="dxa" w:w="119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r>
      <w:tr>
        <w:trPr>
          <w:cantSplit/>
        </w:trPr>
        <w:tc>
          <w:tcPr>
            <w:tcW w:type="dxa" w:w="85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IDI</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official-idi-series-2023-2025</w:t>
            </w:r>
          </w:p>
        </w:tc>
        <w:tc>
          <w:tcPr>
            <w:tcW w:type="dxa" w:w="28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Официальная оценка ITU IDI и направления из набора IDI 2025.</w:t>
            </w:r>
          </w:p>
        </w:tc>
        <w:tc>
          <w:tcPr>
            <w:tcW w:type="dxa" w:w="272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Официальные оценки 0-100 используются напрямую; внешние исходные компоненты нормируются min-max по доступным странам.</w:t>
            </w:r>
          </w:p>
        </w:tc>
        <w:tc>
          <w:tcPr>
            <w:tcW w:type="dxa" w:w="130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ITU_IDI</w:t>
            </w:r>
          </w:p>
        </w:tc>
        <w:tc>
          <w:tcPr>
            <w:tcW w:type="dxa" w:w="119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r>
      <w:tr>
        <w:trPr>
          <w:cantSplit/>
        </w:trPr>
        <w:tc>
          <w:tcPr>
            <w:tcW w:type="dxa" w:w="85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QS_ET</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qs-country-aggregation-v1</w:t>
            </w:r>
          </w:p>
        </w:tc>
        <w:tc>
          <w:tcPr>
            <w:tcW w:type="dxa" w:w="283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Страновая агрегация рассчитывается из архивированных строк официального endpoint QS: число вузов, лучшая позиция, медианная позиция и суммарная оценка вузов.</w:t>
            </w:r>
          </w:p>
        </w:tc>
        <w:tc>
          <w:tcPr>
            <w:tcW w:type="dxa" w:w="272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Официальные оценки 0-100 используются напрямую; внешние исходные компоненты нормируются min-max по доступным странам.</w:t>
            </w:r>
          </w:p>
        </w:tc>
        <w:tc>
          <w:tcPr>
            <w:tcW w:type="dxa" w:w="130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QS_ET</w:t>
            </w:r>
          </w:p>
        </w:tc>
        <w:tc>
          <w:tcPr>
            <w:tcW w:type="dxa" w:w="119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85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htei-v3-multisource</w:t>
            </w:r>
          </w:p>
        </w:tc>
        <w:tc>
          <w:tcPr>
            <w:tcW w:type="dxa" w:w="28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Индекс занятости в высокотехнологичных отраслях v3 = сумма нормированных компонентов ILOSTAT, OECD, Eurostat/национальной статистики, UIS и World Bank, умноженных на веса и коэффициент качества покрытия; значения не переносятся между годами без явного source_data_year.</w:t>
            </w:r>
          </w:p>
        </w:tc>
        <w:tc>
          <w:tcPr>
            <w:tcW w:type="dxa" w:w="272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Официальные оценки 0-100 используются напрямую; внешние исходные компоненты нормируются min-max по доступным странам.</w:t>
            </w:r>
          </w:p>
        </w:tc>
        <w:tc>
          <w:tcPr>
            <w:tcW w:type="dxa" w:w="130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HTEI_MULTI_SOURCE</w:t>
            </w:r>
          </w:p>
        </w:tc>
        <w:tc>
          <w:tcPr>
            <w:tcW w:type="dxa" w:w="119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r>
      <w:tr>
        <w:trPr>
          <w:cantSplit/>
        </w:trPr>
        <w:tc>
          <w:tcPr>
            <w:tcW w:type="dxa" w:w="85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htei-v3-multisource-asof-2026</w:t>
            </w:r>
          </w:p>
        </w:tc>
        <w:tc>
          <w:tcPr>
            <w:tcW w:type="dxa" w:w="283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Индекс занятости в высокотехнологичных отраслях рассчитывается как многоисточниковый as-of composite: для каждой страны берётся последний доступный официальный показатель по каждому компоненту на дату релизной сборки; компоненты нормируются min-max по доступным странам; базовая оценка = сумма нормированных компонентов с весами, делённая на доступный вес; релизная оценка = базовая оценка × коэффициент качества данных.</w:t>
            </w:r>
          </w:p>
        </w:tc>
        <w:tc>
          <w:tcPr>
            <w:tcW w:type="dxa" w:w="272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Min-max по последним доступным официальным наблюдениям; итоговая оценка нормируется на доступный вес и коэффициент качества данных.</w:t>
            </w:r>
          </w:p>
        </w:tc>
        <w:tc>
          <w:tcPr>
            <w:tcW w:type="dxa" w:w="130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HTEI_MULTI_SOURCE</w:t>
            </w:r>
          </w:p>
        </w:tc>
        <w:tc>
          <w:tcPr>
            <w:tcW w:type="dxa" w:w="119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85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HCI_PLUS</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official-hci-plus-2026</w:t>
            </w:r>
          </w:p>
        </w:tc>
        <w:tc>
          <w:tcPr>
            <w:tcW w:type="dxa" w:w="28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HCI+ = здоровье + образование + занятость; официальный балл Всемирного банка на шкале 0–325.</w:t>
            </w:r>
          </w:p>
        </w:tc>
        <w:tc>
          <w:tcPr>
            <w:tcW w:type="dxa" w:w="272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Официальные значения используются без перенормировки.</w:t>
            </w:r>
          </w:p>
        </w:tc>
        <w:tc>
          <w:tcPr>
            <w:tcW w:type="dxa" w:w="130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WORLD_BANK_HCIPLUS</w:t>
            </w:r>
          </w:p>
        </w:tc>
        <w:tc>
          <w:tcPr>
            <w:tcW w:type="dxa" w:w="119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r>
      <w:tr>
        <w:trPr>
          <w:cantSplit/>
        </w:trPr>
        <w:tc>
          <w:tcPr>
            <w:tcW w:type="dxa" w:w="85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htei-v5-scientific-2026</w:t>
            </w:r>
          </w:p>
        </w:tc>
        <w:tc>
          <w:tcPr>
            <w:tcW w:type="dxa" w:w="283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 = сумма нормированных компонентных оценок, умноженных на эффективные веса, перенормированные по доступным компонентам. Коэффициент качества публикуется отдельно и не изменяет содержательную оценку. Места присваиваются только сопоставимому ядру стран.</w:t>
            </w:r>
          </w:p>
        </w:tc>
        <w:tc>
          <w:tcPr>
            <w:tcW w:type="dxa" w:w="272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Winsorized min-max 0–100; качество, свежесть и полнота показываются отдельно.</w:t>
            </w:r>
          </w:p>
        </w:tc>
        <w:tc>
          <w:tcPr>
            <w:tcW w:type="dxa" w:w="130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HTEI_SCIENTIFIC_V5</w:t>
            </w:r>
          </w:p>
        </w:tc>
        <w:tc>
          <w:tcPr>
            <w:tcW w:type="dxa" w:w="119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r>
      <w:tr>
        <w:trPr>
          <w:cantSplit/>
        </w:trPr>
        <w:tc>
          <w:tcPr>
            <w:tcW w:type="dxa" w:w="85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HDI</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hdi-official-method-note-v2</w:t>
            </w:r>
          </w:p>
        </w:tc>
        <w:tc>
          <w:tcPr>
            <w:tcW w:type="dxa" w:w="28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Официальный ИЧР UNDP является геометрическим средним индексов здоровья, образования и дохода: HDI=(I_health×I_education×I_income)^(1/3).</w:t>
            </w:r>
          </w:p>
        </w:tc>
        <w:tc>
          <w:tcPr>
            <w:tcW w:type="dxa" w:w="272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Официальные целевые границы UNDP; логарифмическое преобразование дохода.</w:t>
            </w:r>
          </w:p>
        </w:tc>
        <w:tc>
          <w:tcPr>
            <w:tcW w:type="dxa" w:w="130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UNDP_HDR</w:t>
            </w:r>
          </w:p>
        </w:tc>
        <w:tc>
          <w:tcPr>
            <w:tcW w:type="dxa" w:w="119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r>
      <w:tr>
        <w:trPr>
          <w:cantSplit/>
        </w:trPr>
        <w:tc>
          <w:tcPr>
            <w:tcW w:type="dxa" w:w="85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HCI</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hci-historical-2020-official-score</w:t>
            </w:r>
          </w:p>
        </w:tc>
        <w:tc>
          <w:tcPr>
            <w:tcW w:type="dxa" w:w="283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Официальное значение исторической редакции HCI 2020 импортируется без авторского пересчёта.</w:t>
            </w:r>
          </w:p>
        </w:tc>
        <w:tc>
          <w:tcPr>
            <w:tcW w:type="dxa" w:w="272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Официальная методика Всемирного банка; платформа не применяет равные веса для официального score.</w:t>
            </w:r>
          </w:p>
        </w:tc>
        <w:tc>
          <w:tcPr>
            <w:tcW w:type="dxa" w:w="130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WORLD_BANK_HCI</w:t>
            </w:r>
          </w:p>
        </w:tc>
        <w:tc>
          <w:tcPr>
            <w:tcW w:type="dxa" w:w="119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85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GII</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gii-official-score-and-pillars</w:t>
            </w:r>
          </w:p>
        </w:tc>
        <w:tc>
          <w:tcPr>
            <w:tcW w:type="dxa" w:w="28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Официальный итоговый score и pillar scores импортируются из базы WIPO; платформа не пересчитывает официальный GII.</w:t>
            </w:r>
          </w:p>
        </w:tc>
        <w:tc>
          <w:tcPr>
            <w:tcW w:type="dxa" w:w="272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Официальные score WIPO; аналитические gap/diagnostic calculations выполняются поверх них.</w:t>
            </w:r>
          </w:p>
        </w:tc>
        <w:tc>
          <w:tcPr>
            <w:tcW w:type="dxa" w:w="130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WIPO_GII</w:t>
            </w:r>
          </w:p>
        </w:tc>
        <w:tc>
          <w:tcPr>
            <w:tcW w:type="dxa" w:w="119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85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htei-v6-common-support-2026</w:t>
            </w:r>
          </w:p>
        </w:tc>
        <w:tc>
          <w:tcPr>
            <w:tcW w:type="dxa" w:w="283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 использует утверждённые веса НИР. Основной международный срез Common Support рассчитывается на одном и том же наборе четырёх компонентов: занятость, профессиональная структура, STEM pipeline и технологические результаты; исходные веса перенормируются только внутри этого фиксированного набора. Качество данных публикуется отдельно и не изменяет содержательную оценку.</w:t>
            </w:r>
          </w:p>
        </w:tc>
        <w:tc>
          <w:tcPr>
            <w:tcW w:type="dxa" w:w="272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Робастная нормировка исходных официальных рядов в HTEI v5; в Common Support используется один фиксированный набор компонентов.</w:t>
            </w:r>
          </w:p>
        </w:tc>
        <w:tc>
          <w:tcPr>
            <w:tcW w:type="dxa" w:w="130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HTEI_FINAL_V6</w:t>
            </w:r>
          </w:p>
        </w:tc>
        <w:tc>
          <w:tcPr>
            <w:tcW w:type="dxa" w:w="119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index_formulas. Исторические версии сохранены для происхождения и не всегда являются текущими.</w:t>
      </w:r>
    </w:p>
    <w:p>
      <w:pPr>
        <w:pStyle w:val="Caption"/>
      </w:pPr>
      <w:r>
        <w:t>Таблица 47. Методологический реестр</w:t>
      </w:r>
    </w:p>
    <w:tbl>
      <w:tblPr>
        <w:tblW w:type="auto" w:w="0"/>
        <w:jc w:val="center"/>
        <w:tblLayout w:type="autofit"/>
        <w:tblLook w:firstColumn="1" w:firstRow="1" w:lastColumn="0" w:lastRow="0" w:noHBand="0" w:noVBand="1" w:val="04A0"/>
      </w:tblPr>
      <w:tblGrid>
        <w:gridCol w:w="1635"/>
        <w:gridCol w:w="1635"/>
        <w:gridCol w:w="1635"/>
        <w:gridCol w:w="1635"/>
        <w:gridCol w:w="1635"/>
        <w:gridCol w:w="1635"/>
      </w:tblGrid>
      <w:tr>
        <w:trPr>
          <w:tblHeader w:val="true"/>
        </w:trPr>
        <w:tc>
          <w:tcPr>
            <w:tcW w:type="dxa" w:w="850"/>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Код</w:t>
            </w:r>
          </w:p>
        </w:tc>
        <w:tc>
          <w:tcPr>
            <w:tcW w:type="dxa" w:w="1701"/>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Score</w:t>
            </w:r>
          </w:p>
        </w:tc>
        <w:tc>
          <w:tcPr>
            <w:tcW w:type="dxa" w:w="215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Компоненты</w:t>
            </w:r>
          </w:p>
        </w:tc>
        <w:tc>
          <w:tcPr>
            <w:tcW w:type="dxa" w:w="2041"/>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Формула</w:t>
            </w:r>
          </w:p>
        </w:tc>
        <w:tc>
          <w:tcPr>
            <w:tcW w:type="dxa" w:w="1871"/>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Версия</w:t>
            </w:r>
          </w:p>
        </w:tc>
        <w:tc>
          <w:tcPr>
            <w:tcW w:type="dxa" w:w="3118"/>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Предупреждение</w:t>
            </w:r>
          </w:p>
        </w:tc>
      </w:tr>
      <w:tr>
        <w:trPr>
          <w:cantSplit/>
        </w:trPr>
        <w:tc>
          <w:tcPr>
            <w:tcW w:type="dxa" w:w="85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HCI_PLUS</w:t>
            </w:r>
          </w:p>
        </w:tc>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official_hci_plus_2026</w:t>
            </w:r>
          </w:p>
        </w:tc>
        <w:tc>
          <w:tcPr>
            <w:tcW w:type="dxa" w:w="21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official_pillar_scores</w:t>
            </w:r>
          </w:p>
        </w:tc>
        <w:tc>
          <w:tcPr>
            <w:tcW w:type="dxa" w:w="204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official_additive_score</w:t>
            </w:r>
          </w:p>
        </w:tc>
        <w:tc>
          <w:tcPr>
            <w:tcW w:type="dxa" w:w="187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world-bank-hci-plus-2026</w:t>
            </w:r>
          </w:p>
        </w:tc>
        <w:tc>
          <w:tcPr>
            <w:tcW w:type="dxa" w:w="311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HCI+ является основной актуальной редакцией; исторический HCI 2020 показан отдельно из-за методологического разрыва.</w:t>
            </w:r>
          </w:p>
        </w:tc>
      </w:tr>
      <w:tr>
        <w:trPr>
          <w:cantSplit/>
        </w:trPr>
        <w:tc>
          <w:tcPr>
            <w:tcW w:type="dxa" w:w="85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HDI</w:t>
            </w:r>
          </w:p>
        </w:tc>
        <w:tc>
          <w:tcPr>
            <w:tcW w:type="dxa" w:w="170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official_score</w:t>
            </w:r>
          </w:p>
        </w:tc>
        <w:tc>
          <w:tcPr>
            <w:tcW w:type="dxa" w:w="21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platform_diagnostic_decomposition</w:t>
            </w:r>
          </w:p>
        </w:tc>
        <w:tc>
          <w:tcPr>
            <w:tcW w:type="dxa" w:w="204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official_formula_not_recomputed_by_platform</w:t>
            </w:r>
          </w:p>
        </w:tc>
        <w:tc>
          <w:tcPr>
            <w:tcW w:type="dxa" w:w="187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GIIP-scientific-release-v5</w:t>
            </w:r>
          </w:p>
        </w:tc>
        <w:tc>
          <w:tcPr>
            <w:tcW w:type="dxa" w:w="311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Официальный ИЧР UNDP рассчитывается как геометрическое среднее индексов здоровья, образования и дохода с фиксированными целевыми границами и логарифмическим преобразованием дохода. Min-max компоненты платформы не являются официальным пересчётом ИЧР.</w:t>
            </w:r>
          </w:p>
        </w:tc>
      </w:tr>
      <w:tr>
        <w:trPr>
          <w:cantSplit/>
        </w:trPr>
        <w:tc>
          <w:tcPr>
            <w:tcW w:type="dxa" w:w="85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HCI</w:t>
            </w:r>
          </w:p>
        </w:tc>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official_historical_score_2020</w:t>
            </w:r>
          </w:p>
        </w:tc>
        <w:tc>
          <w:tcPr>
            <w:tcW w:type="dxa" w:w="21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official_indicators_with_platform_diagnostics</w:t>
            </w:r>
          </w:p>
        </w:tc>
        <w:tc>
          <w:tcPr>
            <w:tcW w:type="dxa" w:w="204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historical_edition_not_recomputed</w:t>
            </w:r>
          </w:p>
        </w:tc>
        <w:tc>
          <w:tcPr>
            <w:tcW w:type="dxa" w:w="187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GIIP-scientific-release-v5</w:t>
            </w:r>
          </w:p>
        </w:tc>
        <w:tc>
          <w:tcPr>
            <w:tcW w:type="dxa" w:w="311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Модуль отражает историческую редакцию HCI 2020. До загрузки официального HCI+ 2026 он не должен называться актуальным индексом человеческого капитала 2026 года.</w:t>
            </w:r>
          </w:p>
        </w:tc>
      </w:tr>
      <w:tr>
        <w:trPr>
          <w:cantSplit/>
        </w:trPr>
        <w:tc>
          <w:tcPr>
            <w:tcW w:type="dxa" w:w="85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GTCI</w:t>
            </w:r>
          </w:p>
        </w:tc>
        <w:tc>
          <w:tcPr>
            <w:tcW w:type="dxa" w:w="170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official_score</w:t>
            </w:r>
          </w:p>
        </w:tc>
        <w:tc>
          <w:tcPr>
            <w:tcW w:type="dxa" w:w="21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official_pillar_ranks_with_platform_transformation</w:t>
            </w:r>
          </w:p>
        </w:tc>
        <w:tc>
          <w:tcPr>
            <w:tcW w:type="dxa" w:w="204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official_methodology_not_recomputed</w:t>
            </w:r>
          </w:p>
        </w:tc>
        <w:tc>
          <w:tcPr>
            <w:tcW w:type="dxa" w:w="187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GIIP-scientific-release-v5</w:t>
            </w:r>
          </w:p>
        </w:tc>
        <w:tc>
          <w:tcPr>
            <w:tcW w:type="dxa" w:w="311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Платформа не выдаёт преобразованные ранги направлений за официальный компонентный score GTCI.</w:t>
            </w:r>
          </w:p>
        </w:tc>
      </w:tr>
      <w:tr>
        <w:trPr>
          <w:cantSplit/>
        </w:trPr>
        <w:tc>
          <w:tcPr>
            <w:tcW w:type="dxa" w:w="85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GII</w:t>
            </w:r>
          </w:p>
        </w:tc>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official_score</w:t>
            </w:r>
          </w:p>
        </w:tc>
        <w:tc>
          <w:tcPr>
            <w:tcW w:type="dxa" w:w="21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official_pillar_scores</w:t>
            </w:r>
          </w:p>
        </w:tc>
        <w:tc>
          <w:tcPr>
            <w:tcW w:type="dxa" w:w="204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official_methodology_not_recomputed</w:t>
            </w:r>
          </w:p>
        </w:tc>
        <w:tc>
          <w:tcPr>
            <w:tcW w:type="dxa" w:w="187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GIIP-scientific-release-v5</w:t>
            </w:r>
          </w:p>
        </w:tc>
        <w:tc>
          <w:tcPr>
            <w:tcW w:type="dxa" w:w="311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Платформа не пересчитывает официальный GII и не интерпретирует равные веса визуальных блоков как официальную формулу WIPO.</w:t>
            </w:r>
          </w:p>
        </w:tc>
      </w:tr>
      <w:tr>
        <w:trPr>
          <w:cantSplit/>
        </w:trPr>
        <w:tc>
          <w:tcPr>
            <w:tcW w:type="dxa" w:w="85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IDI</w:t>
            </w:r>
          </w:p>
        </w:tc>
        <w:tc>
          <w:tcPr>
            <w:tcW w:type="dxa" w:w="170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official_score</w:t>
            </w:r>
          </w:p>
        </w:tc>
        <w:tc>
          <w:tcPr>
            <w:tcW w:type="dxa" w:w="21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official_pillar_scores</w:t>
            </w:r>
          </w:p>
        </w:tc>
        <w:tc>
          <w:tcPr>
            <w:tcW w:type="dxa" w:w="204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official_methodology</w:t>
            </w:r>
          </w:p>
        </w:tc>
        <w:tc>
          <w:tcPr>
            <w:tcW w:type="dxa" w:w="187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GIIP-scientific-release-v5</w:t>
            </w:r>
          </w:p>
        </w:tc>
        <w:tc>
          <w:tcPr>
            <w:tcW w:type="dxa" w:w="311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Фактический год и редакция IDI показываются рядом со значением.</w:t>
            </w:r>
          </w:p>
        </w:tc>
      </w:tr>
      <w:tr>
        <w:trPr>
          <w:cantSplit/>
        </w:trPr>
        <w:tc>
          <w:tcPr>
            <w:tcW w:type="dxa" w:w="85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QS_ET</w:t>
            </w:r>
          </w:p>
        </w:tc>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derived_country_aggregation</w:t>
            </w:r>
          </w:p>
        </w:tc>
        <w:tc>
          <w:tcPr>
            <w:tcW w:type="dxa" w:w="21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official_university_rows_with_platform_aggregation</w:t>
            </w:r>
          </w:p>
        </w:tc>
        <w:tc>
          <w:tcPr>
            <w:tcW w:type="dxa" w:w="204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platform_formula</w:t>
            </w:r>
          </w:p>
        </w:tc>
        <w:tc>
          <w:tcPr>
            <w:tcW w:type="dxa" w:w="187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GIIP-scientific-release-v5</w:t>
            </w:r>
          </w:p>
        </w:tc>
        <w:tc>
          <w:tcPr>
            <w:tcW w:type="dxa" w:w="311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QS не публикует официальный страновой рейтинг Engineering &amp; Technology. Страновой score является воспроизводимой авторской агрегацией платформы.</w:t>
            </w:r>
          </w:p>
        </w:tc>
      </w:tr>
      <w:tr>
        <w:trPr>
          <w:cantSplit/>
        </w:trPr>
        <w:tc>
          <w:tcPr>
            <w:tcW w:type="dxa" w:w="85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w:t>
            </w:r>
          </w:p>
        </w:tc>
        <w:tc>
          <w:tcPr>
            <w:tcW w:type="dxa" w:w="170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project_composite_index</w:t>
            </w:r>
          </w:p>
        </w:tc>
        <w:tc>
          <w:tcPr>
            <w:tcW w:type="dxa" w:w="21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fixed_common_support_and_diagnostic_tiers</w:t>
            </w:r>
          </w:p>
        </w:tc>
        <w:tc>
          <w:tcPr>
            <w:tcW w:type="dxa" w:w="204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approved_research_weights_v6</w:t>
            </w:r>
          </w:p>
        </w:tc>
        <w:tc>
          <w:tcPr>
            <w:tcW w:type="dxa" w:w="187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GIIP-final-release-v6</w:t>
            </w:r>
          </w:p>
        </w:tc>
        <w:tc>
          <w:tcPr>
            <w:tcW w:type="dxa" w:w="311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Common Support является основным сопоставимым рейтингом; Direct Core показывает слой прямых данных; ASOF-профили не ранжируются.</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index_methodology_registry.</w:t>
      </w:r>
    </w:p>
    <w:p>
      <w:bookmarkStart w:id="2472" w:name="appc"/>
      <w:pPr>
        <w:pStyle w:val="Heading2"/>
      </w:pPr>
      <w:r>
        <w:t>Приложение C. Источники и лицензии</w:t>
      </w:r>
      <w:bookmarkEnd w:id="2472"/>
    </w:p>
    <w:p>
      <w:pPr>
        <w:pStyle w:val="Caption"/>
      </w:pPr>
      <w:r>
        <w:t>Таблица 48. Источник, доступ и решение по архиву</w:t>
      </w:r>
    </w:p>
    <w:tbl>
      <w:tblPr>
        <w:tblW w:type="auto" w:w="0"/>
        <w:jc w:val="center"/>
        <w:tblLayout w:type="autofit"/>
        <w:tblLook w:firstColumn="1" w:firstRow="1" w:lastColumn="0" w:lastRow="0" w:noHBand="0" w:noVBand="1" w:val="04A0"/>
      </w:tblPr>
      <w:tblGrid>
        <w:gridCol w:w="1090"/>
        <w:gridCol w:w="1090"/>
        <w:gridCol w:w="1090"/>
        <w:gridCol w:w="1090"/>
        <w:gridCol w:w="1090"/>
        <w:gridCol w:w="1090"/>
        <w:gridCol w:w="1090"/>
        <w:gridCol w:w="1090"/>
        <w:gridCol w:w="1090"/>
      </w:tblGrid>
      <w:tr>
        <w:trPr>
          <w:tblHeader w:val="true"/>
        </w:trPr>
        <w:tc>
          <w:tcPr>
            <w:tcW w:type="dxa" w:w="124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ID</w:t>
            </w:r>
          </w:p>
        </w:tc>
        <w:tc>
          <w:tcPr>
            <w:tcW w:type="dxa" w:w="141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Владелец</w:t>
            </w:r>
          </w:p>
        </w:tc>
        <w:tc>
          <w:tcPr>
            <w:tcW w:type="dxa" w:w="124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Роль</w:t>
            </w:r>
          </w:p>
        </w:tc>
        <w:tc>
          <w:tcPr>
            <w:tcW w:type="dxa" w:w="680"/>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Выпуск</w:t>
            </w:r>
          </w:p>
        </w:tc>
        <w:tc>
          <w:tcPr>
            <w:tcW w:type="dxa" w:w="141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Доступ</w:t>
            </w:r>
          </w:p>
        </w:tc>
        <w:tc>
          <w:tcPr>
            <w:tcW w:type="dxa" w:w="96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Частота</w:t>
            </w:r>
          </w:p>
        </w:tc>
        <w:tc>
          <w:tcPr>
            <w:tcW w:type="dxa" w:w="158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Автоматизация</w:t>
            </w:r>
          </w:p>
        </w:tc>
        <w:tc>
          <w:tcPr>
            <w:tcW w:type="dxa" w:w="1361"/>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Архив</w:t>
            </w:r>
          </w:p>
        </w:tc>
        <w:tc>
          <w:tcPr>
            <w:tcW w:type="dxa" w:w="2268"/>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Права по реестру</w:t>
            </w:r>
          </w:p>
        </w:tc>
      </w:tr>
      <w:tr>
        <w:trPr>
          <w:cantSplit/>
        </w:trPr>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UNDP_HDR</w:t>
            </w:r>
          </w:p>
        </w:tc>
        <w:tc>
          <w:tcPr>
            <w:tcW w:type="dxa" w:w="141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UNDP</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numeric_source</w:t>
            </w:r>
          </w:p>
        </w:tc>
        <w:tc>
          <w:tcPr>
            <w:tcW w:type="dxa" w:w="68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2025</w:t>
            </w:r>
          </w:p>
        </w:tc>
        <w:tc>
          <w:tcPr>
            <w:tcW w:type="dxa" w:w="141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 downloadable CSV</w:t>
            </w:r>
          </w:p>
        </w:tc>
        <w:tc>
          <w:tcPr>
            <w:tcW w:type="dxa" w:w="96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annual</w:t>
            </w:r>
          </w:p>
        </w:tc>
        <w:tc>
          <w:tcPr>
            <w:tcW w:type="dxa" w:w="158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implemented_official_download</w:t>
            </w:r>
          </w:p>
        </w:tc>
        <w:tc>
          <w:tcPr>
            <w:tcW w:type="dxa" w:w="13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include</w:t>
            </w:r>
          </w:p>
        </w:tc>
        <w:tc>
          <w:tcPr>
            <w:tcW w:type="dxa" w:w="226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storage yes / transform yes / redistribute yes</w:t>
            </w:r>
          </w:p>
        </w:tc>
      </w:tr>
      <w:tr>
        <w:trPr>
          <w:cantSplit/>
        </w:trPr>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WORLD_BANK_HCI</w:t>
            </w:r>
          </w:p>
        </w:tc>
        <w:tc>
          <w:tcPr>
            <w:tcW w:type="dxa" w:w="141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World Bank</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numeric_source</w:t>
            </w:r>
          </w:p>
        </w:tc>
        <w:tc>
          <w:tcPr>
            <w:tcW w:type="dxa" w:w="68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2020</w:t>
            </w:r>
          </w:p>
        </w:tc>
        <w:tc>
          <w:tcPr>
            <w:tcW w:type="dxa" w:w="141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 REST API</w:t>
            </w:r>
          </w:p>
        </w:tc>
        <w:tc>
          <w:tcPr>
            <w:tcW w:type="dxa" w:w="96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irregular</w:t>
            </w:r>
          </w:p>
        </w:tc>
        <w:tc>
          <w:tcPr>
            <w:tcW w:type="dxa" w:w="158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implemented_official_api</w:t>
            </w:r>
          </w:p>
        </w:tc>
        <w:tc>
          <w:tcPr>
            <w:tcW w:type="dxa" w:w="13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include</w:t>
            </w:r>
          </w:p>
        </w:tc>
        <w:tc>
          <w:tcPr>
            <w:tcW w:type="dxa" w:w="226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storage yes / transform yes / redistribute yes</w:t>
            </w:r>
          </w:p>
        </w:tc>
      </w:tr>
      <w:tr>
        <w:trPr>
          <w:cantSplit/>
        </w:trPr>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WORLD_BANK_COUNTRIES</w:t>
            </w:r>
          </w:p>
        </w:tc>
        <w:tc>
          <w:tcPr>
            <w:tcW w:type="dxa" w:w="141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World Bank</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reference_metadata</w:t>
            </w:r>
          </w:p>
        </w:tc>
        <w:tc>
          <w:tcPr>
            <w:tcW w:type="dxa" w:w="68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2026</w:t>
            </w:r>
          </w:p>
        </w:tc>
        <w:tc>
          <w:tcPr>
            <w:tcW w:type="dxa" w:w="141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 REST API</w:t>
            </w:r>
          </w:p>
        </w:tc>
        <w:tc>
          <w:tcPr>
            <w:tcW w:type="dxa" w:w="96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regular</w:t>
            </w:r>
          </w:p>
        </w:tc>
        <w:tc>
          <w:tcPr>
            <w:tcW w:type="dxa" w:w="158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implemented_official_api</w:t>
            </w:r>
          </w:p>
        </w:tc>
        <w:tc>
          <w:tcPr>
            <w:tcW w:type="dxa" w:w="13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include</w:t>
            </w:r>
          </w:p>
        </w:tc>
        <w:tc>
          <w:tcPr>
            <w:tcW w:type="dxa" w:w="226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storage yes / transform yes / redistribute yes</w:t>
            </w:r>
          </w:p>
        </w:tc>
      </w:tr>
      <w:tr>
        <w:trPr>
          <w:cantSplit/>
        </w:trPr>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PORTULANS_GTCI</w:t>
            </w:r>
          </w:p>
        </w:tc>
        <w:tc>
          <w:tcPr>
            <w:tcW w:type="dxa" w:w="141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INSEAD / Portulans Institute</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numeric_source</w:t>
            </w:r>
          </w:p>
        </w:tc>
        <w:tc>
          <w:tcPr>
            <w:tcW w:type="dxa" w:w="68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2025</w:t>
            </w:r>
          </w:p>
        </w:tc>
        <w:tc>
          <w:tcPr>
            <w:tcW w:type="dxa" w:w="141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 PDF report extraction</w:t>
            </w:r>
          </w:p>
        </w:tc>
        <w:tc>
          <w:tcPr>
            <w:tcW w:type="dxa" w:w="96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annual</w:t>
            </w:r>
          </w:p>
        </w:tc>
        <w:tc>
          <w:tcPr>
            <w:tcW w:type="dxa" w:w="158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implemented_official_pdf_extract</w:t>
            </w:r>
          </w:p>
        </w:tc>
        <w:tc>
          <w:tcPr>
            <w:tcW w:type="dxa" w:w="13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exclude_raw_keep_derived</w:t>
            </w:r>
          </w:p>
        </w:tc>
        <w:tc>
          <w:tcPr>
            <w:tcW w:type="dxa" w:w="226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storage yes / transform yes / redistribute no</w:t>
            </w:r>
          </w:p>
        </w:tc>
      </w:tr>
      <w:tr>
        <w:trPr>
          <w:cantSplit/>
        </w:trPr>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WIPO_GII</w:t>
            </w:r>
          </w:p>
        </w:tc>
        <w:tc>
          <w:tcPr>
            <w:tcW w:type="dxa" w:w="141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WIPO</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numeric_source</w:t>
            </w:r>
          </w:p>
        </w:tc>
        <w:tc>
          <w:tcPr>
            <w:tcW w:type="dxa" w:w="68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2025</w:t>
            </w:r>
          </w:p>
        </w:tc>
        <w:tc>
          <w:tcPr>
            <w:tcW w:type="dxa" w:w="141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 downloadable XLSX</w:t>
            </w:r>
          </w:p>
        </w:tc>
        <w:tc>
          <w:tcPr>
            <w:tcW w:type="dxa" w:w="96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annual</w:t>
            </w:r>
          </w:p>
        </w:tc>
        <w:tc>
          <w:tcPr>
            <w:tcW w:type="dxa" w:w="158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implemented_official_download</w:t>
            </w:r>
          </w:p>
        </w:tc>
        <w:tc>
          <w:tcPr>
            <w:tcW w:type="dxa" w:w="13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exclude_raw_keep_derived</w:t>
            </w:r>
          </w:p>
        </w:tc>
        <w:tc>
          <w:tcPr>
            <w:tcW w:type="dxa" w:w="226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storage yes / transform yes / redistribute no</w:t>
            </w:r>
          </w:p>
        </w:tc>
      </w:tr>
      <w:tr>
        <w:trPr>
          <w:cantSplit/>
        </w:trPr>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ITU_IDI</w:t>
            </w:r>
          </w:p>
        </w:tc>
        <w:tc>
          <w:tcPr>
            <w:tcW w:type="dxa" w:w="141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ITU</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numeric_source</w:t>
            </w:r>
          </w:p>
        </w:tc>
        <w:tc>
          <w:tcPr>
            <w:tcW w:type="dxa" w:w="68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2025</w:t>
            </w:r>
          </w:p>
        </w:tc>
        <w:tc>
          <w:tcPr>
            <w:tcW w:type="dxa" w:w="141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 downloadable XLSX</w:t>
            </w:r>
          </w:p>
        </w:tc>
        <w:tc>
          <w:tcPr>
            <w:tcW w:type="dxa" w:w="96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annual</w:t>
            </w:r>
          </w:p>
        </w:tc>
        <w:tc>
          <w:tcPr>
            <w:tcW w:type="dxa" w:w="158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implemented_official_download</w:t>
            </w:r>
          </w:p>
        </w:tc>
        <w:tc>
          <w:tcPr>
            <w:tcW w:type="dxa" w:w="13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exclude_raw_keep_derived</w:t>
            </w:r>
          </w:p>
        </w:tc>
        <w:tc>
          <w:tcPr>
            <w:tcW w:type="dxa" w:w="226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storage yes / transform yes / redistribute no</w:t>
            </w:r>
          </w:p>
        </w:tc>
      </w:tr>
      <w:tr>
        <w:trPr>
          <w:cantSplit/>
        </w:trPr>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WORLD_BANK_HTEI</w:t>
            </w:r>
          </w:p>
        </w:tc>
        <w:tc>
          <w:tcPr>
            <w:tcW w:type="dxa" w:w="141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World Bank</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numeric_source</w:t>
            </w:r>
          </w:p>
        </w:tc>
        <w:tc>
          <w:tcPr>
            <w:tcW w:type="dxa" w:w="68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2025</w:t>
            </w:r>
          </w:p>
        </w:tc>
        <w:tc>
          <w:tcPr>
            <w:tcW w:type="dxa" w:w="141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 REST API</w:t>
            </w:r>
          </w:p>
        </w:tc>
        <w:tc>
          <w:tcPr>
            <w:tcW w:type="dxa" w:w="96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regular</w:t>
            </w:r>
          </w:p>
        </w:tc>
        <w:tc>
          <w:tcPr>
            <w:tcW w:type="dxa" w:w="158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implemented_official_api</w:t>
            </w:r>
          </w:p>
        </w:tc>
        <w:tc>
          <w:tcPr>
            <w:tcW w:type="dxa" w:w="13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include</w:t>
            </w:r>
          </w:p>
        </w:tc>
        <w:tc>
          <w:tcPr>
            <w:tcW w:type="dxa" w:w="226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storage yes / transform yes / redistribute yes</w:t>
            </w:r>
          </w:p>
        </w:tc>
      </w:tr>
      <w:tr>
        <w:trPr>
          <w:cantSplit/>
        </w:trPr>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UIS_HTEI</w:t>
            </w:r>
          </w:p>
        </w:tc>
        <w:tc>
          <w:tcPr>
            <w:tcW w:type="dxa" w:w="141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UNESCO Institute for Statistics</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numeric_source</w:t>
            </w:r>
          </w:p>
        </w:tc>
        <w:tc>
          <w:tcPr>
            <w:tcW w:type="dxa" w:w="68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2026</w:t>
            </w:r>
          </w:p>
        </w:tc>
        <w:tc>
          <w:tcPr>
            <w:tcW w:type="dxa" w:w="141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 version-pinned UIS Data API</w:t>
            </w:r>
          </w:p>
        </w:tc>
        <w:tc>
          <w:tcPr>
            <w:tcW w:type="dxa" w:w="96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regular</w:t>
            </w:r>
          </w:p>
        </w:tc>
        <w:tc>
          <w:tcPr>
            <w:tcW w:type="dxa" w:w="158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implemented_official_api</w:t>
            </w:r>
          </w:p>
        </w:tc>
        <w:tc>
          <w:tcPr>
            <w:tcW w:type="dxa" w:w="13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include</w:t>
            </w:r>
          </w:p>
        </w:tc>
        <w:tc>
          <w:tcPr>
            <w:tcW w:type="dxa" w:w="226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storage yes / transform yes / redistribute yes</w:t>
            </w:r>
          </w:p>
        </w:tc>
      </w:tr>
      <w:tr>
        <w:trPr>
          <w:cantSplit/>
        </w:trPr>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ILOSTAT_HTEI</w:t>
            </w:r>
          </w:p>
        </w:tc>
        <w:tc>
          <w:tcPr>
            <w:tcW w:type="dxa" w:w="141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International Labour Organization</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numeric_source</w:t>
            </w:r>
          </w:p>
        </w:tc>
        <w:tc>
          <w:tcPr>
            <w:tcW w:type="dxa" w:w="68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2025</w:t>
            </w:r>
          </w:p>
        </w:tc>
        <w:tc>
          <w:tcPr>
            <w:tcW w:type="dxa" w:w="141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 bulk CSV API</w:t>
            </w:r>
          </w:p>
        </w:tc>
        <w:tc>
          <w:tcPr>
            <w:tcW w:type="dxa" w:w="96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regular</w:t>
            </w:r>
          </w:p>
        </w:tc>
        <w:tc>
          <w:tcPr>
            <w:tcW w:type="dxa" w:w="158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implemented_official_bulk_csv</w:t>
            </w:r>
          </w:p>
        </w:tc>
        <w:tc>
          <w:tcPr>
            <w:tcW w:type="dxa" w:w="13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include</w:t>
            </w:r>
          </w:p>
        </w:tc>
        <w:tc>
          <w:tcPr>
            <w:tcW w:type="dxa" w:w="226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storage yes / transform yes / redistribute yes</w:t>
            </w:r>
          </w:p>
        </w:tc>
      </w:tr>
      <w:tr>
        <w:trPr>
          <w:cantSplit/>
        </w:trPr>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OECD_HTEI</w:t>
            </w:r>
          </w:p>
        </w:tc>
        <w:tc>
          <w:tcPr>
            <w:tcW w:type="dxa" w:w="141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OECD</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numeric_source</w:t>
            </w:r>
          </w:p>
        </w:tc>
        <w:tc>
          <w:tcPr>
            <w:tcW w:type="dxa" w:w="68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2025</w:t>
            </w:r>
          </w:p>
        </w:tc>
        <w:tc>
          <w:tcPr>
            <w:tcW w:type="dxa" w:w="141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 SDMX CSV API</w:t>
            </w:r>
          </w:p>
        </w:tc>
        <w:tc>
          <w:tcPr>
            <w:tcW w:type="dxa" w:w="96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regular</w:t>
            </w:r>
          </w:p>
        </w:tc>
        <w:tc>
          <w:tcPr>
            <w:tcW w:type="dxa" w:w="158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implemented_official_sdmx_api</w:t>
            </w:r>
          </w:p>
        </w:tc>
        <w:tc>
          <w:tcPr>
            <w:tcW w:type="dxa" w:w="13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exclude_raw_keep_derived</w:t>
            </w:r>
          </w:p>
        </w:tc>
        <w:tc>
          <w:tcPr>
            <w:tcW w:type="dxa" w:w="226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storage yes / transform yes / redistribute no</w:t>
            </w:r>
          </w:p>
        </w:tc>
      </w:tr>
      <w:tr>
        <w:trPr>
          <w:cantSplit/>
        </w:trPr>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EUROSTAT_HTEC</w:t>
            </w:r>
          </w:p>
        </w:tc>
        <w:tc>
          <w:tcPr>
            <w:tcW w:type="dxa" w:w="141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Eurostat</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numeric_source</w:t>
            </w:r>
          </w:p>
        </w:tc>
        <w:tc>
          <w:tcPr>
            <w:tcW w:type="dxa" w:w="68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2025</w:t>
            </w:r>
          </w:p>
        </w:tc>
        <w:tc>
          <w:tcPr>
            <w:tcW w:type="dxa" w:w="141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 Eurostat Statistics API</w:t>
            </w:r>
          </w:p>
        </w:tc>
        <w:tc>
          <w:tcPr>
            <w:tcW w:type="dxa" w:w="96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regular</w:t>
            </w:r>
          </w:p>
        </w:tc>
        <w:tc>
          <w:tcPr>
            <w:tcW w:type="dxa" w:w="158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implemented_official_json_api</w:t>
            </w:r>
          </w:p>
        </w:tc>
        <w:tc>
          <w:tcPr>
            <w:tcW w:type="dxa" w:w="13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include</w:t>
            </w:r>
          </w:p>
        </w:tc>
        <w:tc>
          <w:tcPr>
            <w:tcW w:type="dxa" w:w="226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storage yes / transform yes / redistribute yes</w:t>
            </w:r>
          </w:p>
        </w:tc>
      </w:tr>
      <w:tr>
        <w:trPr>
          <w:cantSplit/>
        </w:trPr>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NATIONAL_STATS_HTEI</w:t>
            </w:r>
          </w:p>
        </w:tc>
        <w:tc>
          <w:tcPr>
            <w:tcW w:type="dxa" w:w="141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National statistical offices</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audit_register</w:t>
            </w:r>
          </w:p>
        </w:tc>
        <w:tc>
          <w:tcPr>
            <w:tcW w:type="dxa" w:w="68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2026</w:t>
            </w:r>
          </w:p>
        </w:tc>
        <w:tc>
          <w:tcPr>
            <w:tcW w:type="dxa" w:w="141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checksum-verified official-file register</w:t>
            </w:r>
          </w:p>
        </w:tc>
        <w:tc>
          <w:tcPr>
            <w:tcW w:type="dxa" w:w="96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curated per release</w:t>
            </w:r>
          </w:p>
        </w:tc>
        <w:tc>
          <w:tcPr>
            <w:tcW w:type="dxa" w:w="158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implemented_audit_register</w:t>
            </w:r>
          </w:p>
        </w:tc>
        <w:tc>
          <w:tcPr>
            <w:tcW w:type="dxa" w:w="13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exclude_raw_keep_derived</w:t>
            </w:r>
          </w:p>
        </w:tc>
        <w:tc>
          <w:tcPr>
            <w:tcW w:type="dxa" w:w="226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storage yes / transform yes / redistribute no</w:t>
            </w:r>
          </w:p>
        </w:tc>
      </w:tr>
      <w:tr>
        <w:trPr>
          <w:cantSplit/>
        </w:trPr>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CORPORATE_REPORTS_HTEI</w:t>
            </w:r>
          </w:p>
        </w:tc>
        <w:tc>
          <w:tcPr>
            <w:tcW w:type="dxa" w:w="141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Public companies and reporting issuers</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audit_register</w:t>
            </w:r>
          </w:p>
        </w:tc>
        <w:tc>
          <w:tcPr>
            <w:tcW w:type="dxa" w:w="68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2026</w:t>
            </w:r>
          </w:p>
        </w:tc>
        <w:tc>
          <w:tcPr>
            <w:tcW w:type="dxa" w:w="141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checksum-verified official report register</w:t>
            </w:r>
          </w:p>
        </w:tc>
        <w:tc>
          <w:tcPr>
            <w:tcW w:type="dxa" w:w="96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curated per release</w:t>
            </w:r>
          </w:p>
        </w:tc>
        <w:tc>
          <w:tcPr>
            <w:tcW w:type="dxa" w:w="158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implemented_audit_register</w:t>
            </w:r>
          </w:p>
        </w:tc>
        <w:tc>
          <w:tcPr>
            <w:tcW w:type="dxa" w:w="13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exclude_raw_keep_derived</w:t>
            </w:r>
          </w:p>
        </w:tc>
        <w:tc>
          <w:tcPr>
            <w:tcW w:type="dxa" w:w="226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storage yes / transform yes / redistribute no</w:t>
            </w:r>
          </w:p>
        </w:tc>
      </w:tr>
      <w:tr>
        <w:trPr>
          <w:cantSplit/>
        </w:trPr>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SPECIALIZED_RATINGS_HTEI</w:t>
            </w:r>
          </w:p>
        </w:tc>
        <w:tc>
          <w:tcPr>
            <w:tcW w:type="dxa" w:w="141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QS, WIPO, Portulans and other official ranking publishers</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audit_register</w:t>
            </w:r>
          </w:p>
        </w:tc>
        <w:tc>
          <w:tcPr>
            <w:tcW w:type="dxa" w:w="68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2026</w:t>
            </w:r>
          </w:p>
        </w:tc>
        <w:tc>
          <w:tcPr>
            <w:tcW w:type="dxa" w:w="141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derived from archived official ranking snapshots</w:t>
            </w:r>
          </w:p>
        </w:tc>
        <w:tc>
          <w:tcPr>
            <w:tcW w:type="dxa" w:w="96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annual</w:t>
            </w:r>
          </w:p>
        </w:tc>
        <w:tc>
          <w:tcPr>
            <w:tcW w:type="dxa" w:w="158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implemented_audit_register</w:t>
            </w:r>
          </w:p>
        </w:tc>
        <w:tc>
          <w:tcPr>
            <w:tcW w:type="dxa" w:w="13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exclude_raw_keep_derived</w:t>
            </w:r>
          </w:p>
        </w:tc>
        <w:tc>
          <w:tcPr>
            <w:tcW w:type="dxa" w:w="226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storage yes / transform yes / redistribute no</w:t>
            </w:r>
          </w:p>
        </w:tc>
      </w:tr>
      <w:tr>
        <w:trPr>
          <w:cantSplit/>
        </w:trPr>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HTEI_MULTI_SOURCE</w:t>
            </w:r>
          </w:p>
        </w:tc>
        <w:tc>
          <w:tcPr>
            <w:tcW w:type="dxa" w:w="141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MGIMO / FNISC RAS</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qualitative_evidence</w:t>
            </w:r>
          </w:p>
        </w:tc>
        <w:tc>
          <w:tcPr>
            <w:tcW w:type="dxa" w:w="68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2026</w:t>
            </w:r>
          </w:p>
        </w:tc>
        <w:tc>
          <w:tcPr>
            <w:tcW w:type="dxa" w:w="141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computed manifest from official archived snapshots</w:t>
            </w:r>
          </w:p>
        </w:tc>
        <w:tc>
          <w:tcPr>
            <w:tcW w:type="dxa" w:w="96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per release build</w:t>
            </w:r>
          </w:p>
        </w:tc>
        <w:tc>
          <w:tcPr>
            <w:tcW w:type="dxa" w:w="158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implemented_reproducible_transform</w:t>
            </w:r>
          </w:p>
        </w:tc>
        <w:tc>
          <w:tcPr>
            <w:tcW w:type="dxa" w:w="13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include</w:t>
            </w:r>
          </w:p>
        </w:tc>
        <w:tc>
          <w:tcPr>
            <w:tcW w:type="dxa" w:w="226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storage yes / transform yes / redistribute yes</w:t>
            </w:r>
          </w:p>
        </w:tc>
      </w:tr>
      <w:tr>
        <w:trPr>
          <w:cantSplit/>
        </w:trPr>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QS_ET</w:t>
            </w:r>
          </w:p>
        </w:tc>
        <w:tc>
          <w:tcPr>
            <w:tcW w:type="dxa" w:w="141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QS Quacquarelli Symonds</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numeric_source</w:t>
            </w:r>
          </w:p>
        </w:tc>
        <w:tc>
          <w:tcPr>
            <w:tcW w:type="dxa" w:w="68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2026</w:t>
            </w:r>
          </w:p>
        </w:tc>
        <w:tc>
          <w:tcPr>
            <w:tcW w:type="dxa" w:w="141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 public JSON endpoint archive</w:t>
            </w:r>
          </w:p>
        </w:tc>
        <w:tc>
          <w:tcPr>
            <w:tcW w:type="dxa" w:w="96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annual</w:t>
            </w:r>
          </w:p>
        </w:tc>
        <w:tc>
          <w:tcPr>
            <w:tcW w:type="dxa" w:w="158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implemented_official_web_endpoint</w:t>
            </w:r>
          </w:p>
        </w:tc>
        <w:tc>
          <w:tcPr>
            <w:tcW w:type="dxa" w:w="13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exclude_raw_keep_derived</w:t>
            </w:r>
          </w:p>
        </w:tc>
        <w:tc>
          <w:tcPr>
            <w:tcW w:type="dxa" w:w="226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storage yes / transform yes / redistribute no</w:t>
            </w:r>
          </w:p>
        </w:tc>
      </w:tr>
      <w:tr>
        <w:trPr>
          <w:cantSplit/>
        </w:trPr>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HTEI_SCIENTIFIC_V5</w:t>
            </w:r>
          </w:p>
        </w:tc>
        <w:tc>
          <w:tcPr>
            <w:tcW w:type="dxa" w:w="141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MGIMO / FNISC RAS project team</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numeric_source</w:t>
            </w:r>
          </w:p>
        </w:tc>
        <w:tc>
          <w:tcPr>
            <w:tcW w:type="dxa" w:w="68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2026</w:t>
            </w:r>
          </w:p>
        </w:tc>
        <w:tc>
          <w:tcPr>
            <w:tcW w:type="dxa" w:w="141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local reproducible transform</w:t>
            </w:r>
          </w:p>
        </w:tc>
        <w:tc>
          <w:tcPr>
            <w:tcW w:type="dxa" w:w="96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on every official-source refresh</w:t>
            </w:r>
          </w:p>
        </w:tc>
        <w:tc>
          <w:tcPr>
            <w:tcW w:type="dxa" w:w="158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implemented_reproducible_scientific_transform</w:t>
            </w:r>
          </w:p>
        </w:tc>
        <w:tc>
          <w:tcPr>
            <w:tcW w:type="dxa" w:w="13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include</w:t>
            </w:r>
          </w:p>
        </w:tc>
        <w:tc>
          <w:tcPr>
            <w:tcW w:type="dxa" w:w="226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storage yes / transform yes / redistribute yes</w:t>
            </w:r>
          </w:p>
        </w:tc>
      </w:tr>
      <w:tr>
        <w:trPr>
          <w:cantSplit/>
        </w:trPr>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HTEI_FINAL_V6</w:t>
            </w:r>
          </w:p>
        </w:tc>
        <w:tc>
          <w:tcPr>
            <w:tcW w:type="dxa" w:w="141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MGIMO / FNISC RAS</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numeric_source</w:t>
            </w:r>
          </w:p>
        </w:tc>
        <w:tc>
          <w:tcPr>
            <w:tcW w:type="dxa" w:w="68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2026</w:t>
            </w:r>
          </w:p>
        </w:tc>
        <w:tc>
          <w:tcPr>
            <w:tcW w:type="dxa" w:w="141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derived from archived official observations</w:t>
            </w:r>
          </w:p>
        </w:tc>
        <w:tc>
          <w:tcPr>
            <w:tcW w:type="dxa" w:w="96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annual</w:t>
            </w:r>
          </w:p>
        </w:tc>
        <w:tc>
          <w:tcPr>
            <w:tcW w:type="dxa" w:w="158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automated</w:t>
            </w:r>
          </w:p>
        </w:tc>
        <w:tc>
          <w:tcPr>
            <w:tcW w:type="dxa" w:w="13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include</w:t>
            </w:r>
          </w:p>
        </w:tc>
        <w:tc>
          <w:tcPr>
            <w:tcW w:type="dxa" w:w="226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storage yes / transform yes / redistribute yes</w:t>
            </w:r>
          </w:p>
        </w:tc>
      </w:tr>
      <w:tr>
        <w:trPr>
          <w:cantSplit/>
        </w:trPr>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WORLD_BANK_HCIPLUS</w:t>
            </w:r>
          </w:p>
        </w:tc>
        <w:tc>
          <w:tcPr>
            <w:tcW w:type="dxa" w:w="141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World Bank</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numeric_source</w:t>
            </w:r>
          </w:p>
        </w:tc>
        <w:tc>
          <w:tcPr>
            <w:tcW w:type="dxa" w:w="68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2026</w:t>
            </w:r>
          </w:p>
        </w:tc>
        <w:tc>
          <w:tcPr>
            <w:tcW w:type="dxa" w:w="141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 country-brief PDFs</w:t>
            </w:r>
          </w:p>
        </w:tc>
        <w:tc>
          <w:tcPr>
            <w:tcW w:type="dxa" w:w="96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edition based</w:t>
            </w:r>
          </w:p>
        </w:tc>
        <w:tc>
          <w:tcPr>
            <w:tcW w:type="dxa" w:w="158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automated</w:t>
            </w:r>
          </w:p>
        </w:tc>
        <w:tc>
          <w:tcPr>
            <w:tcW w:type="dxa" w:w="13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include</w:t>
            </w:r>
          </w:p>
        </w:tc>
        <w:tc>
          <w:tcPr>
            <w:tcW w:type="dxa" w:w="226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storage yes / transform yes / redistribute yes</w:t>
            </w:r>
          </w:p>
        </w:tc>
      </w:tr>
      <w:tr>
        <w:trPr>
          <w:cantSplit/>
        </w:trPr>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NATIONAL_STATS_NUMERIC</w:t>
            </w:r>
          </w:p>
        </w:tc>
        <w:tc>
          <w:tcPr>
            <w:tcW w:type="dxa" w:w="141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National statistical offices</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numeric_source</w:t>
            </w:r>
          </w:p>
        </w:tc>
        <w:tc>
          <w:tcPr>
            <w:tcW w:type="dxa" w:w="68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2024</w:t>
            </w:r>
          </w:p>
        </w:tc>
        <w:tc>
          <w:tcPr>
            <w:tcW w:type="dxa" w:w="141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 CSV/JSON endpoints</w:t>
            </w:r>
          </w:p>
        </w:tc>
        <w:tc>
          <w:tcPr>
            <w:tcW w:type="dxa" w:w="96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source-specific</w:t>
            </w:r>
          </w:p>
        </w:tc>
        <w:tc>
          <w:tcPr>
            <w:tcW w:type="dxa" w:w="158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configured</w:t>
            </w:r>
          </w:p>
        </w:tc>
        <w:tc>
          <w:tcPr>
            <w:tcW w:type="dxa" w:w="13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exclude_raw_keep_derived</w:t>
            </w:r>
          </w:p>
        </w:tc>
        <w:tc>
          <w:tcPr>
            <w:tcW w:type="dxa" w:w="226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storage yes / transform yes / redistribute no</w:t>
            </w:r>
          </w:p>
        </w:tc>
      </w:tr>
      <w:tr>
        <w:trPr>
          <w:cantSplit/>
        </w:trPr>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SEC_EDGAR_CORPORATE_NUMERIC</w:t>
            </w:r>
          </w:p>
        </w:tc>
        <w:tc>
          <w:tcPr>
            <w:tcW w:type="dxa" w:w="141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U.S. Securities and Exchange Commission</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numeric_source</w:t>
            </w:r>
          </w:p>
        </w:tc>
        <w:tc>
          <w:tcPr>
            <w:tcW w:type="dxa" w:w="68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2026</w:t>
            </w:r>
          </w:p>
        </w:tc>
        <w:tc>
          <w:tcPr>
            <w:tcW w:type="dxa" w:w="141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 JSON API</w:t>
            </w:r>
          </w:p>
        </w:tc>
        <w:tc>
          <w:tcPr>
            <w:tcW w:type="dxa" w:w="96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daily</w:t>
            </w:r>
          </w:p>
        </w:tc>
        <w:tc>
          <w:tcPr>
            <w:tcW w:type="dxa" w:w="158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automated</w:t>
            </w:r>
          </w:p>
        </w:tc>
        <w:tc>
          <w:tcPr>
            <w:tcW w:type="dxa" w:w="13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exclude_raw_keep_derived</w:t>
            </w:r>
          </w:p>
        </w:tc>
        <w:tc>
          <w:tcPr>
            <w:tcW w:type="dxa" w:w="226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storage yes / transform yes / redistribute no</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source_registry + license_registry; реестр не заменяет юридическое заключение.</w:t>
      </w:r>
    </w:p>
    <w:p>
      <w:pPr>
        <w:pStyle w:val="Heading3"/>
      </w:pPr>
      <w:r>
        <w:t>C.1. Активные ссылки на источники</w:t>
      </w:r>
    </w:p>
    <w:p>
      <w:pPr>
        <w:pStyle w:val="BodyCompact"/>
      </w:pPr>
      <w:r>
        <w:rPr>
          <w:rFonts w:ascii="Noto Serif" w:hAnsi="Noto Serif" w:eastAsia="Noto Serif"/>
          <w:b/>
          <w:color w:val="243746"/>
          <w:sz w:val="17"/>
        </w:rPr>
        <w:t xml:space="preserve">UNDP_HDR — UNDP Human Development Reports Data Center: </w:t>
      </w:r>
      <w:hyperlink r:id="rId20">
        <w:r>
          <w:rPr>
            <w:color w:val="2F6B8A"/>
            <w:u w:val="single"/>
            <w:rFonts w:ascii="Noto Sans" w:hAnsi="Noto Sans"/>
          </w:rPr>
          <w:t>https://hdr.undp.org/sites/default/files/2025_HDR/HDR25_Composite_indices_complete_time_series.csv</w:t>
        </w:r>
      </w:hyperlink>
    </w:p>
    <w:p>
      <w:pPr>
        <w:pStyle w:val="BodyCompact"/>
      </w:pPr>
      <w:r>
        <w:rPr>
          <w:rFonts w:ascii="Noto Serif" w:hAnsi="Noto Serif" w:eastAsia="Noto Serif"/>
          <w:b/>
          <w:color w:val="243746"/>
          <w:sz w:val="17"/>
        </w:rPr>
        <w:t xml:space="preserve">WORLD_BANK_HCI — World Bank Human Capital Index API: </w:t>
      </w:r>
      <w:hyperlink r:id="rId21">
        <w:r>
          <w:rPr>
            <w:color w:val="2F6B8A"/>
            <w:u w:val="single"/>
            <w:rFonts w:ascii="Noto Sans" w:hAnsi="Noto Sans"/>
          </w:rPr>
          <w:t>https://api.worldbank.org/v2/source/63</w:t>
        </w:r>
      </w:hyperlink>
    </w:p>
    <w:p>
      <w:pPr>
        <w:pStyle w:val="BodyCompact"/>
      </w:pPr>
      <w:r>
        <w:rPr>
          <w:rFonts w:ascii="Noto Serif" w:hAnsi="Noto Serif" w:eastAsia="Noto Serif"/>
          <w:b/>
          <w:color w:val="243746"/>
          <w:sz w:val="17"/>
        </w:rPr>
        <w:t xml:space="preserve">WORLD_BANK_COUNTRIES — World Bank Countries API metadata: </w:t>
      </w:r>
      <w:hyperlink r:id="rId22">
        <w:r>
          <w:rPr>
            <w:color w:val="2F6B8A"/>
            <w:u w:val="single"/>
            <w:rFonts w:ascii="Noto Sans" w:hAnsi="Noto Sans"/>
          </w:rPr>
          <w:t>https://api.worldbank.org/v2/country?format=json&amp;per_page=400</w:t>
        </w:r>
      </w:hyperlink>
    </w:p>
    <w:p>
      <w:pPr>
        <w:pStyle w:val="BodyCompact"/>
      </w:pPr>
      <w:r>
        <w:rPr>
          <w:rFonts w:ascii="Noto Serif" w:hAnsi="Noto Serif" w:eastAsia="Noto Serif"/>
          <w:b/>
          <w:color w:val="243746"/>
          <w:sz w:val="17"/>
        </w:rPr>
        <w:t xml:space="preserve">PORTULANS_GTCI — Global Talent Competitiveness Index 2025 report: </w:t>
      </w:r>
      <w:hyperlink r:id="rId23">
        <w:r>
          <w:rPr>
            <w:color w:val="2F6B8A"/>
            <w:u w:val="single"/>
            <w:rFonts w:ascii="Noto Sans" w:hAnsi="Noto Sans"/>
          </w:rPr>
          <w:t>https://portulansinstitute.org/wp-content/uploads/2025/11/GTCI_2025_report.pdf</w:t>
        </w:r>
      </w:hyperlink>
    </w:p>
    <w:p>
      <w:pPr>
        <w:pStyle w:val="BodyCompact"/>
      </w:pPr>
      <w:r>
        <w:rPr>
          <w:rFonts w:ascii="Noto Serif" w:hAnsi="Noto Serif" w:eastAsia="Noto Serif"/>
          <w:b/>
          <w:color w:val="243746"/>
          <w:sz w:val="17"/>
        </w:rPr>
        <w:t xml:space="preserve">WIPO_GII — WIPO Global Innovation Index 2025 database: </w:t>
      </w:r>
      <w:hyperlink r:id="rId24">
        <w:r>
          <w:rPr>
            <w:color w:val="2F6B8A"/>
            <w:u w:val="single"/>
            <w:rFonts w:ascii="Noto Sans" w:hAnsi="Noto Sans"/>
          </w:rPr>
          <w:t>https://tind.wipo.int/record/58882/files/wipo-pub-2000-2025-gii-tech1.xlsx</w:t>
        </w:r>
      </w:hyperlink>
    </w:p>
    <w:p>
      <w:pPr>
        <w:pStyle w:val="BodyCompact"/>
      </w:pPr>
      <w:r>
        <w:rPr>
          <w:rFonts w:ascii="Noto Serif" w:hAnsi="Noto Serif" w:eastAsia="Noto Serif"/>
          <w:b/>
          <w:color w:val="243746"/>
          <w:sz w:val="17"/>
        </w:rPr>
        <w:t xml:space="preserve">ITU_IDI — ITU ICT Development Index 2025 dataset: </w:t>
      </w:r>
      <w:hyperlink r:id="rId25">
        <w:r>
          <w:rPr>
            <w:color w:val="2F6B8A"/>
            <w:u w:val="single"/>
            <w:rFonts w:ascii="Noto Sans" w:hAnsi="Noto Sans"/>
          </w:rPr>
          <w:t>https://www.itu.int/itu-d/reports/statistics/wp-content/uploads/sites/5/2025/06/IDIDataset_2025.xlsx</w:t>
        </w:r>
      </w:hyperlink>
    </w:p>
    <w:p>
      <w:pPr>
        <w:pStyle w:val="BodyCompact"/>
      </w:pPr>
      <w:r>
        <w:rPr>
          <w:rFonts w:ascii="Noto Serif" w:hAnsi="Noto Serif" w:eastAsia="Noto Serif"/>
          <w:b/>
          <w:color w:val="243746"/>
          <w:sz w:val="17"/>
        </w:rPr>
        <w:t xml:space="preserve">WORLD_BANK_HTEI — World Bank indicators for high-technology workforce capacity: </w:t>
      </w:r>
      <w:hyperlink r:id="rId26">
        <w:r>
          <w:rPr>
            <w:color w:val="2F6B8A"/>
            <w:u w:val="single"/>
            <w:rFonts w:ascii="Noto Sans" w:hAnsi="Noto Sans"/>
          </w:rPr>
          <w:t>https://api.worldbank.org/v2/indicator</w:t>
        </w:r>
      </w:hyperlink>
    </w:p>
    <w:p>
      <w:pPr>
        <w:pStyle w:val="BodyCompact"/>
      </w:pPr>
      <w:r>
        <w:rPr>
          <w:rFonts w:ascii="Noto Serif" w:hAnsi="Noto Serif" w:eastAsia="Noto Serif"/>
          <w:b/>
          <w:color w:val="243746"/>
          <w:sz w:val="17"/>
        </w:rPr>
        <w:t xml:space="preserve">UIS_HTEI — UNESCO UIS Data API: STEM tertiary graduates: </w:t>
      </w:r>
      <w:hyperlink r:id="rId27">
        <w:r>
          <w:rPr>
            <w:color w:val="2F6B8A"/>
            <w:u w:val="single"/>
            <w:rFonts w:ascii="Noto Sans" w:hAnsi="Noto Sans"/>
          </w:rPr>
          <w:t>https://api.uis.unesco.org/api/public/data/indicators</w:t>
        </w:r>
      </w:hyperlink>
    </w:p>
    <w:p>
      <w:pPr>
        <w:pStyle w:val="BodyCompact"/>
      </w:pPr>
      <w:r>
        <w:rPr>
          <w:rFonts w:ascii="Noto Serif" w:hAnsi="Noto Serif" w:eastAsia="Noto Serif"/>
          <w:b/>
          <w:color w:val="243746"/>
          <w:sz w:val="17"/>
        </w:rPr>
        <w:t xml:space="preserve">ILOSTAT_HTEI — ILOSTAT bulk labour force indicators for HTEI: </w:t>
      </w:r>
      <w:hyperlink r:id="rId28">
        <w:r>
          <w:rPr>
            <w:color w:val="2F6B8A"/>
            <w:u w:val="single"/>
            <w:rFonts w:ascii="Noto Sans" w:hAnsi="Noto Sans"/>
          </w:rPr>
          <w:t>https://rplumber.ilo.org/files/website/bulk/indicator.html</w:t>
        </w:r>
      </w:hyperlink>
    </w:p>
    <w:p>
      <w:pPr>
        <w:pStyle w:val="BodyCompact"/>
      </w:pPr>
      <w:r>
        <w:rPr>
          <w:rFonts w:ascii="Noto Serif" w:hAnsi="Noto Serif" w:eastAsia="Noto Serif"/>
          <w:b/>
          <w:color w:val="243746"/>
          <w:sz w:val="17"/>
        </w:rPr>
        <w:t xml:space="preserve">OECD_HTEI — OECD Data Explorer SDMX datasets for R&amp;D and business technology capacity: </w:t>
      </w:r>
      <w:hyperlink r:id="rId29">
        <w:r>
          <w:rPr>
            <w:color w:val="2F6B8A"/>
            <w:u w:val="single"/>
            <w:rFonts w:ascii="Noto Sans" w:hAnsi="Noto Sans"/>
          </w:rPr>
          <w:t>https://sdmx.oecd.org/public/rest/v1/</w:t>
        </w:r>
      </w:hyperlink>
    </w:p>
    <w:p>
      <w:pPr>
        <w:pStyle w:val="BodyCompact"/>
      </w:pPr>
      <w:r>
        <w:rPr>
          <w:rFonts w:ascii="Noto Serif" w:hAnsi="Noto Serif" w:eastAsia="Noto Serif"/>
          <w:b/>
          <w:color w:val="243746"/>
          <w:sz w:val="17"/>
        </w:rPr>
        <w:t xml:space="preserve">EUROSTAT_HTEC — Eurostat high-technology sectors, HRST and R&amp;D datasets: </w:t>
      </w:r>
      <w:hyperlink r:id="rId30">
        <w:r>
          <w:rPr>
            <w:color w:val="2F6B8A"/>
            <w:u w:val="single"/>
            <w:rFonts w:ascii="Noto Sans" w:hAnsi="Noto Sans"/>
          </w:rPr>
          <w:t>https://ec.europa.eu/eurostat/api/dissemination/statistics/1.0/data/</w:t>
        </w:r>
      </w:hyperlink>
    </w:p>
    <w:p>
      <w:pPr>
        <w:pStyle w:val="BodyCompact"/>
      </w:pPr>
      <w:r>
        <w:rPr>
          <w:rFonts w:ascii="Noto Serif" w:hAnsi="Noto Serif" w:eastAsia="Noto Serif"/>
          <w:b/>
          <w:color w:val="243746"/>
          <w:sz w:val="17"/>
        </w:rPr>
        <w:t xml:space="preserve">NATIONAL_STATS_HTEI — Curated national statistical office evidence register for HTEI: </w:t>
      </w:r>
      <w:hyperlink r:id="rId31">
        <w:r>
          <w:rPr>
            <w:color w:val="2F6B8A"/>
            <w:u w:val="single"/>
            <w:rFonts w:ascii="Noto Sans" w:hAnsi="Noto Sans"/>
          </w:rPr>
          <w:t>local:methodology/national-statistics-register</w:t>
        </w:r>
      </w:hyperlink>
    </w:p>
    <w:p>
      <w:pPr>
        <w:pStyle w:val="BodyCompact"/>
      </w:pPr>
      <w:r>
        <w:rPr>
          <w:rFonts w:ascii="Noto Serif" w:hAnsi="Noto Serif" w:eastAsia="Noto Serif"/>
          <w:b/>
          <w:color w:val="243746"/>
          <w:sz w:val="17"/>
        </w:rPr>
        <w:t xml:space="preserve">CORPORATE_REPORTS_HTEI — Corporate reporting evidence register for high-technology workforce strategy: </w:t>
      </w:r>
      <w:hyperlink r:id="rId32">
        <w:r>
          <w:rPr>
            <w:color w:val="2F6B8A"/>
            <w:u w:val="single"/>
            <w:rFonts w:ascii="Noto Sans" w:hAnsi="Noto Sans"/>
          </w:rPr>
          <w:t>local:methodology/corporate-report-register</w:t>
        </w:r>
      </w:hyperlink>
    </w:p>
    <w:p>
      <w:pPr>
        <w:pStyle w:val="BodyCompact"/>
      </w:pPr>
      <w:r>
        <w:rPr>
          <w:rFonts w:ascii="Noto Serif" w:hAnsi="Noto Serif" w:eastAsia="Noto Serif"/>
          <w:b/>
          <w:color w:val="243746"/>
          <w:sz w:val="17"/>
        </w:rPr>
        <w:t xml:space="preserve">SPECIALIZED_RATINGS_HTEI — Specialized rankings evidence used by HTEI and training-system model: </w:t>
      </w:r>
      <w:hyperlink r:id="rId33">
        <w:r>
          <w:rPr>
            <w:color w:val="2F6B8A"/>
            <w:u w:val="single"/>
            <w:rFonts w:ascii="Noto Sans" w:hAnsi="Noto Sans"/>
          </w:rPr>
          <w:t>local:methodology/specialized-ratings-register</w:t>
        </w:r>
      </w:hyperlink>
    </w:p>
    <w:p>
      <w:pPr>
        <w:pStyle w:val="BodyCompact"/>
      </w:pPr>
      <w:r>
        <w:rPr>
          <w:rFonts w:ascii="Noto Serif" w:hAnsi="Noto Serif" w:eastAsia="Noto Serif"/>
          <w:b/>
          <w:color w:val="243746"/>
          <w:sz w:val="17"/>
        </w:rPr>
        <w:t xml:space="preserve">HTEI_MULTI_SOURCE — Legacy HTEI observation-staging manifest (superseded by scientific v5): </w:t>
      </w:r>
      <w:hyperlink r:id="rId34">
        <w:r>
          <w:rPr>
            <w:color w:val="2F6B8A"/>
            <w:u w:val="single"/>
            <w:rFonts w:ascii="Noto Sans" w:hAnsi="Noto Sans"/>
          </w:rPr>
          <w:t>local:methodology/htei-observation-staging-v3</w:t>
        </w:r>
      </w:hyperlink>
    </w:p>
    <w:p>
      <w:pPr>
        <w:pStyle w:val="BodyCompact"/>
      </w:pPr>
      <w:r>
        <w:rPr>
          <w:rFonts w:ascii="Noto Serif" w:hAnsi="Noto Serif" w:eastAsia="Noto Serif"/>
          <w:b/>
          <w:color w:val="243746"/>
          <w:sz w:val="17"/>
        </w:rPr>
        <w:t xml:space="preserve">QS_ET — QS World University Rankings by Subject: Engineering &amp; Technology: </w:t>
      </w:r>
      <w:hyperlink r:id="rId35">
        <w:r>
          <w:rPr>
            <w:color w:val="2F6B8A"/>
            <w:u w:val="single"/>
            <w:rFonts w:ascii="Noto Sans" w:hAnsi="Noto Sans"/>
          </w:rPr>
          <w:t>https://www.topuniversities.com/university-subject-rankings/engineering-technology</w:t>
        </w:r>
      </w:hyperlink>
    </w:p>
    <w:p>
      <w:pPr>
        <w:pStyle w:val="BodyCompact"/>
      </w:pPr>
      <w:r>
        <w:rPr>
          <w:rFonts w:ascii="Noto Serif" w:hAnsi="Noto Serif" w:eastAsia="Noto Serif"/>
          <w:b/>
          <w:color w:val="243746"/>
          <w:sz w:val="17"/>
        </w:rPr>
        <w:t xml:space="preserve">HTEI_SCIENTIFIC_V5 — HTEI scientific methodology v5: </w:t>
      </w:r>
      <w:hyperlink r:id="rId36">
        <w:r>
          <w:rPr>
            <w:color w:val="2F6B8A"/>
            <w:u w:val="single"/>
            <w:rFonts w:ascii="Noto Sans" w:hAnsi="Noto Sans"/>
          </w:rPr>
          <w:t>local:docs/HTEI_METHODOLOGY_V5.md</w:t>
        </w:r>
      </w:hyperlink>
    </w:p>
    <w:p>
      <w:pPr>
        <w:pStyle w:val="BodyCompact"/>
      </w:pPr>
      <w:r>
        <w:rPr>
          <w:rFonts w:ascii="Noto Serif" w:hAnsi="Noto Serif" w:eastAsia="Noto Serif"/>
          <w:b/>
          <w:color w:val="243746"/>
          <w:sz w:val="17"/>
        </w:rPr>
        <w:t xml:space="preserve">HTEI_FINAL_V6 — HTEI final comparison methodology v6: </w:t>
      </w:r>
      <w:hyperlink r:id="rId37">
        <w:r>
          <w:rPr>
            <w:color w:val="2F6B8A"/>
            <w:u w:val="single"/>
            <w:rFonts w:ascii="Noto Sans" w:hAnsi="Noto Sans"/>
          </w:rPr>
          <w:t>local:docs/HTEI_METHODOLOGY_V6.md</w:t>
        </w:r>
      </w:hyperlink>
    </w:p>
    <w:p>
      <w:pPr>
        <w:pStyle w:val="BodyCompact"/>
      </w:pPr>
      <w:r>
        <w:rPr>
          <w:rFonts w:ascii="Noto Serif" w:hAnsi="Noto Serif" w:eastAsia="Noto Serif"/>
          <w:b/>
          <w:color w:val="243746"/>
          <w:sz w:val="17"/>
        </w:rPr>
        <w:t xml:space="preserve">WORLD_BANK_HCIPLUS — World Bank Human Capital Index Plus 2026: </w:t>
      </w:r>
      <w:hyperlink r:id="rId38">
        <w:r>
          <w:rPr>
            <w:color w:val="2F6B8A"/>
            <w:u w:val="single"/>
            <w:rFonts w:ascii="Noto Sans" w:hAnsi="Noto Sans"/>
          </w:rPr>
          <w:t>https://humancapital.worldbank.org/en/country-briefs</w:t>
        </w:r>
      </w:hyperlink>
    </w:p>
    <w:p>
      <w:pPr>
        <w:pStyle w:val="BodyCompact"/>
      </w:pPr>
      <w:r>
        <w:rPr>
          <w:rFonts w:ascii="Noto Serif" w:hAnsi="Noto Serif" w:eastAsia="Noto Serif"/>
          <w:b/>
          <w:color w:val="243746"/>
          <w:sz w:val="17"/>
        </w:rPr>
        <w:t xml:space="preserve">NATIONAL_STATS_NUMERIC — National statistical offices — numeric layer: </w:t>
      </w:r>
      <w:hyperlink r:id="rId39">
        <w:r>
          <w:rPr>
            <w:color w:val="2F6B8A"/>
            <w:u w:val="single"/>
            <w:rFonts w:ascii="Noto Sans" w:hAnsi="Noto Sans"/>
          </w:rPr>
          <w:t>local:configs/national_statistics_sources.release.json</w:t>
        </w:r>
      </w:hyperlink>
    </w:p>
    <w:p>
      <w:pPr>
        <w:pStyle w:val="BodyCompact"/>
      </w:pPr>
      <w:r>
        <w:rPr>
          <w:rFonts w:ascii="Noto Serif" w:hAnsi="Noto Serif" w:eastAsia="Noto Serif"/>
          <w:b/>
          <w:color w:val="243746"/>
          <w:sz w:val="17"/>
        </w:rPr>
        <w:t xml:space="preserve">SEC_EDGAR_CORPORATE_NUMERIC — SEC EDGAR Company Facts - corporate numeric layer: </w:t>
      </w:r>
      <w:hyperlink r:id="rId40">
        <w:r>
          <w:rPr>
            <w:color w:val="2F6B8A"/>
            <w:u w:val="single"/>
            <w:rFonts w:ascii="Noto Sans" w:hAnsi="Noto Sans"/>
          </w:rPr>
          <w:t>https://www.sec.gov/search-filings/edgar-application-programming-interfaces</w:t>
        </w:r>
      </w:hyperlink>
    </w:p>
    <w:p>
      <w:bookmarkStart w:id="2526" w:name="appd"/>
      <w:pPr>
        <w:pStyle w:val="Heading2"/>
      </w:pPr>
      <w:r>
        <w:t>Приложение D. Полный справочник API</w:t>
      </w:r>
      <w:bookmarkEnd w:id="2526"/>
    </w:p>
    <w:p>
      <w:pPr>
        <w:pStyle w:val="Caption"/>
      </w:pPr>
      <w:r>
        <w:t>Таблица 49. Все публичные маршруты OpenAPI</w:t>
      </w:r>
    </w:p>
    <w:tbl>
      <w:tblPr>
        <w:tblW w:type="auto" w:w="0"/>
        <w:jc w:val="center"/>
        <w:tblLayout w:type="autofit"/>
        <w:tblLook w:firstColumn="1" w:firstRow="1" w:lastColumn="0" w:lastRow="0" w:noHBand="0" w:noVBand="1" w:val="04A0"/>
      </w:tblPr>
      <w:tblGrid>
        <w:gridCol w:w="1962"/>
        <w:gridCol w:w="1962"/>
        <w:gridCol w:w="1962"/>
        <w:gridCol w:w="1962"/>
        <w:gridCol w:w="1962"/>
      </w:tblGrid>
      <w:tr>
        <w:trPr>
          <w:tblHeader w:val="true"/>
        </w:trPr>
        <w:tc>
          <w:tcPr>
            <w:tcW w:type="dxa" w:w="1701"/>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Группа</w:t>
            </w:r>
          </w:p>
        </w:tc>
        <w:tc>
          <w:tcPr>
            <w:tcW w:type="dxa" w:w="73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Метод</w:t>
            </w:r>
          </w:p>
        </w:tc>
        <w:tc>
          <w:tcPr>
            <w:tcW w:type="dxa" w:w="3061"/>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Путь</w:t>
            </w:r>
          </w:p>
        </w:tc>
        <w:tc>
          <w:tcPr>
            <w:tcW w:type="dxa" w:w="2721"/>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Параметры (* обязательный)</w:t>
            </w:r>
          </w:p>
        </w:tc>
        <w:tc>
          <w:tcPr>
            <w:tcW w:type="dxa" w:w="3061"/>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Описание</w:t>
            </w:r>
          </w:p>
        </w:tc>
      </w:tr>
      <w:tr>
        <w:trPr>
          <w:cantSplit/>
        </w:trPr>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GET</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/api/htei/model</w:t>
            </w:r>
          </w:p>
        </w:tc>
        <w:tc>
          <w:tcPr>
            <w:tcW w:type="dxa" w:w="272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iso3 (query), year (query)</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 Model</w:t>
            </w:r>
          </w:p>
        </w:tc>
      </w:tr>
      <w:tr>
        <w:trPr>
          <w:cantSplit/>
        </w:trPr>
        <w:tc>
          <w:tcPr>
            <w:tcW w:type="dxa" w:w="170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GET</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/api/htei/v5</w:t>
            </w:r>
          </w:p>
        </w:tc>
        <w:tc>
          <w:tcPr>
            <w:tcW w:type="dxa" w:w="272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iso3 (query), mode (query)</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 V5 Root</w:t>
            </w:r>
          </w:p>
        </w:tc>
      </w:tr>
      <w:tr>
        <w:trPr>
          <w:cantSplit/>
        </w:trPr>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GET</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/api/htei/v5/audit</w:t>
            </w:r>
          </w:p>
        </w:tc>
        <w:tc>
          <w:tcPr>
            <w:tcW w:type="dxa" w:w="272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 V5 Audit</w:t>
            </w:r>
          </w:p>
        </w:tc>
      </w:tr>
      <w:tr>
        <w:trPr>
          <w:cantSplit/>
        </w:trPr>
        <w:tc>
          <w:tcPr>
            <w:tcW w:type="dxa" w:w="170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GET</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/api/htei/v5/profile/{iso3}</w:t>
            </w:r>
          </w:p>
        </w:tc>
        <w:tc>
          <w:tcPr>
            <w:tcW w:type="dxa" w:w="272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iso3* (path), mode (query)</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 V5 Profile</w:t>
            </w:r>
          </w:p>
        </w:tc>
      </w:tr>
      <w:tr>
        <w:trPr>
          <w:cantSplit/>
        </w:trPr>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GET</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/api/htei/v5/ranking</w:t>
            </w:r>
          </w:p>
        </w:tc>
        <w:tc>
          <w:tcPr>
            <w:tcW w:type="dxa" w:w="272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mode (query), limit (query), offset (query), q (query), region (query), income_group (query), sort (query), direction (query)</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 V5 Ranking</w:t>
            </w:r>
          </w:p>
        </w:tc>
      </w:tr>
      <w:tr>
        <w:trPr>
          <w:cantSplit/>
        </w:trPr>
        <w:tc>
          <w:tcPr>
            <w:tcW w:type="dxa" w:w="170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GET</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/api/htei/v5/validation</w:t>
            </w:r>
          </w:p>
        </w:tc>
        <w:tc>
          <w:tcPr>
            <w:tcW w:type="dxa" w:w="272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 V5 Validation</w:t>
            </w:r>
          </w:p>
        </w:tc>
      </w:tr>
      <w:tr>
        <w:trPr>
          <w:cantSplit/>
        </w:trPr>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GET</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/api/htei/v6</w:t>
            </w:r>
          </w:p>
        </w:tc>
        <w:tc>
          <w:tcPr>
            <w:tcW w:type="dxa" w:w="272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iso3 (query), mode (query)</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 V6 Root</w:t>
            </w:r>
          </w:p>
        </w:tc>
      </w:tr>
      <w:tr>
        <w:trPr>
          <w:cantSplit/>
        </w:trPr>
        <w:tc>
          <w:tcPr>
            <w:tcW w:type="dxa" w:w="170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GET</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/api/htei/v6/profile/{iso3}</w:t>
            </w:r>
          </w:p>
        </w:tc>
        <w:tc>
          <w:tcPr>
            <w:tcW w:type="dxa" w:w="272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iso3* (path), mode (query)</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 V6 Profile Endpoint</w:t>
            </w:r>
          </w:p>
        </w:tc>
      </w:tr>
      <w:tr>
        <w:trPr>
          <w:cantSplit/>
        </w:trPr>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GET</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/api/htei/v6/ranking</w:t>
            </w:r>
          </w:p>
        </w:tc>
        <w:tc>
          <w:tcPr>
            <w:tcW w:type="dxa" w:w="272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mode (query), limit (query), offset (query), q (query), region (query), income_group (query), sort (query), direction (query)</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 V6 Ranking Endpoint</w:t>
            </w:r>
          </w:p>
        </w:tc>
      </w:tr>
      <w:tr>
        <w:trPr>
          <w:cantSplit/>
        </w:trPr>
        <w:tc>
          <w:tcPr>
            <w:tcW w:type="dxa" w:w="170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Индексы и рейтинги</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GET</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/api/app-data</w:t>
            </w:r>
          </w:p>
        </w:tc>
        <w:tc>
          <w:tcPr>
            <w:tcW w:type="dxa" w:w="272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year (query), country (query)</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App Data</w:t>
            </w:r>
          </w:p>
        </w:tc>
      </w:tr>
      <w:tr>
        <w:trPr>
          <w:cantSplit/>
        </w:trPr>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Индексы и рейтинги</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GET</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/api/index/{code}</w:t>
            </w:r>
          </w:p>
        </w:tc>
        <w:tc>
          <w:tcPr>
            <w:tcW w:type="dxa" w:w="272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code* (path), year (query), country (query)</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Index</w:t>
            </w:r>
          </w:p>
        </w:tc>
      </w:tr>
      <w:tr>
        <w:trPr>
          <w:cantSplit/>
        </w:trPr>
        <w:tc>
          <w:tcPr>
            <w:tcW w:type="dxa" w:w="170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Индексы и рейтинги</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GET</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/api/index/{code}/components</w:t>
            </w:r>
          </w:p>
        </w:tc>
        <w:tc>
          <w:tcPr>
            <w:tcW w:type="dxa" w:w="272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code* (path), iso3 (query), year (query)</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Index Components</w:t>
            </w:r>
          </w:p>
        </w:tc>
      </w:tr>
      <w:tr>
        <w:trPr>
          <w:cantSplit/>
        </w:trPr>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Индексы и рейтинги</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GET</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/api/index/{code}/explainer</w:t>
            </w:r>
          </w:p>
        </w:tc>
        <w:tc>
          <w:tcPr>
            <w:tcW w:type="dxa" w:w="272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code* (path), year (query), country (query), iso3 (query), mode (query), lang (query)</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Index Explainer</w:t>
            </w:r>
          </w:p>
        </w:tc>
      </w:tr>
      <w:tr>
        <w:trPr>
          <w:cantSplit/>
        </w:trPr>
        <w:tc>
          <w:tcPr>
            <w:tcW w:type="dxa" w:w="170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Индексы и рейтинги</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GET</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/api/index/{code}/formula</w:t>
            </w:r>
          </w:p>
        </w:tc>
        <w:tc>
          <w:tcPr>
            <w:tcW w:type="dxa" w:w="272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code* (path)</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Index Formula</w:t>
            </w:r>
          </w:p>
        </w:tc>
      </w:tr>
      <w:tr>
        <w:trPr>
          <w:cantSplit/>
        </w:trPr>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Индексы и рейтинги</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GET</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/api/index/{code}/ranking</w:t>
            </w:r>
          </w:p>
        </w:tc>
        <w:tc>
          <w:tcPr>
            <w:tcW w:type="dxa" w:w="272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code* (path), year (query)</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Index Ranking</w:t>
            </w:r>
          </w:p>
        </w:tc>
      </w:tr>
      <w:tr>
        <w:trPr>
          <w:cantSplit/>
        </w:trPr>
        <w:tc>
          <w:tcPr>
            <w:tcW w:type="dxa" w:w="170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Индексы и рейтинги</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GET</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/api/qs/{iso3}</w:t>
            </w:r>
          </w:p>
        </w:tc>
        <w:tc>
          <w:tcPr>
            <w:tcW w:type="dxa" w:w="272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iso3* (path), year (query), lang (query)</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Qs Country</w:t>
            </w:r>
          </w:p>
        </w:tc>
      </w:tr>
      <w:tr>
        <w:trPr>
          <w:cantSplit/>
        </w:trPr>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Индексы и рейтинги</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POST</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/api/refresh/{source_code}</w:t>
            </w:r>
          </w:p>
        </w:tc>
        <w:tc>
          <w:tcPr>
            <w:tcW w:type="dxa" w:w="272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source_code* (path)</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Refresh</w:t>
            </w:r>
          </w:p>
        </w:tc>
      </w:tr>
      <w:tr>
        <w:trPr>
          <w:cantSplit/>
        </w:trPr>
        <w:tc>
          <w:tcPr>
            <w:tcW w:type="dxa" w:w="170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Качество и управление</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GET</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/api/data-quality</w:t>
            </w:r>
          </w:p>
        </w:tc>
        <w:tc>
          <w:tcPr>
            <w:tcW w:type="dxa" w:w="272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year (query)</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Data Quality</w:t>
            </w:r>
          </w:p>
        </w:tc>
      </w:tr>
      <w:tr>
        <w:trPr>
          <w:cantSplit/>
        </w:trPr>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Качество и управление</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GET</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/api/governance/external-reviews</w:t>
            </w:r>
          </w:p>
        </w:tc>
        <w:tc>
          <w:tcPr>
            <w:tcW w:type="dxa" w:w="272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Governance External Reviews</w:t>
            </w:r>
          </w:p>
        </w:tc>
      </w:tr>
      <w:tr>
        <w:trPr>
          <w:cantSplit/>
        </w:trPr>
        <w:tc>
          <w:tcPr>
            <w:tcW w:type="dxa" w:w="170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Качество и управление</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GET</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/api/governance/licenses</w:t>
            </w:r>
          </w:p>
        </w:tc>
        <w:tc>
          <w:tcPr>
            <w:tcW w:type="dxa" w:w="272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Governance Licenses Alias</w:t>
            </w:r>
          </w:p>
        </w:tc>
      </w:tr>
      <w:tr>
        <w:trPr>
          <w:cantSplit/>
        </w:trPr>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Качество и управление</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GET</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/api/legal/licenses</w:t>
            </w:r>
          </w:p>
        </w:tc>
        <w:tc>
          <w:tcPr>
            <w:tcW w:type="dxa" w:w="272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Legal Source Registry</w:t>
            </w:r>
          </w:p>
        </w:tc>
      </w:tr>
      <w:tr>
        <w:trPr>
          <w:cantSplit/>
        </w:trPr>
        <w:tc>
          <w:tcPr>
            <w:tcW w:type="dxa" w:w="170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Качество и управление</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GET</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/api/provenance/value/{value_id}</w:t>
            </w:r>
          </w:p>
        </w:tc>
        <w:tc>
          <w:tcPr>
            <w:tcW w:type="dxa" w:w="272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value_id* (path)</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Provenance Value</w:t>
            </w:r>
          </w:p>
        </w:tc>
      </w:tr>
      <w:tr>
        <w:trPr>
          <w:cantSplit/>
        </w:trPr>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Модель подготовки и policy</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GET</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/api/policy-brief/{iso3}</w:t>
            </w:r>
          </w:p>
        </w:tc>
        <w:tc>
          <w:tcPr>
            <w:tcW w:type="dxa" w:w="272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iso3* (path)</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Policy Brief Alias</w:t>
            </w:r>
          </w:p>
        </w:tc>
      </w:tr>
      <w:tr>
        <w:trPr>
          <w:cantSplit/>
        </w:trPr>
        <w:tc>
          <w:tcPr>
            <w:tcW w:type="dxa" w:w="170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Модель подготовки и policy</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GET</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/api/policy/russia</w:t>
            </w:r>
          </w:p>
        </w:tc>
        <w:tc>
          <w:tcPr>
            <w:tcW w:type="dxa" w:w="272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Russia Policy Brief</w:t>
            </w:r>
          </w:p>
        </w:tc>
      </w:tr>
      <w:tr>
        <w:trPr>
          <w:cantSplit/>
        </w:trPr>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Модель подготовки и policy</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GET</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/api/training-competitiveness</w:t>
            </w:r>
          </w:p>
        </w:tc>
        <w:tc>
          <w:tcPr>
            <w:tcW w:type="dxa" w:w="272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country (query), year (query)</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Training Competitiveness</w:t>
            </w:r>
          </w:p>
        </w:tc>
      </w:tr>
      <w:tr>
        <w:trPr>
          <w:cantSplit/>
        </w:trPr>
        <w:tc>
          <w:tcPr>
            <w:tcW w:type="dxa" w:w="170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Модель подготовки и policy</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GET</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/api/training-competitiveness/ranking</w:t>
            </w:r>
          </w:p>
        </w:tc>
        <w:tc>
          <w:tcPr>
            <w:tcW w:type="dxa" w:w="272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year (query)</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Training Competitiveness Ranking</w:t>
            </w:r>
          </w:p>
        </w:tc>
      </w:tr>
      <w:tr>
        <w:trPr>
          <w:cantSplit/>
        </w:trPr>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Система и релиз</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GET</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272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Home</w:t>
            </w:r>
          </w:p>
        </w:tc>
      </w:tr>
      <w:tr>
        <w:trPr>
          <w:cantSplit/>
        </w:trPr>
        <w:tc>
          <w:tcPr>
            <w:tcW w:type="dxa" w:w="170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Система и релиз</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GET</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/api/acceptance/tz</w:t>
            </w:r>
          </w:p>
        </w:tc>
        <w:tc>
          <w:tcPr>
            <w:tcW w:type="dxa" w:w="272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lang (query)</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Acceptance Tz</w:t>
            </w:r>
          </w:p>
        </w:tc>
      </w:tr>
      <w:tr>
        <w:trPr>
          <w:cantSplit/>
        </w:trPr>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Система и релиз</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GET</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/api/health</w:t>
            </w:r>
          </w:p>
        </w:tc>
        <w:tc>
          <w:tcPr>
            <w:tcW w:type="dxa" w:w="272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Health</w:t>
            </w:r>
          </w:p>
        </w:tc>
      </w:tr>
      <w:tr>
        <w:trPr>
          <w:cantSplit/>
        </w:trPr>
        <w:tc>
          <w:tcPr>
            <w:tcW w:type="dxa" w:w="170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Система и релиз</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GET</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/api/operations/status</w:t>
            </w:r>
          </w:p>
        </w:tc>
        <w:tc>
          <w:tcPr>
            <w:tcW w:type="dxa" w:w="272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Operations Status</w:t>
            </w:r>
          </w:p>
        </w:tc>
      </w:tr>
      <w:tr>
        <w:trPr>
          <w:cantSplit/>
        </w:trPr>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Система и релиз</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GET</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/api/release/readiness</w:t>
            </w:r>
          </w:p>
        </w:tc>
        <w:tc>
          <w:tcPr>
            <w:tcW w:type="dxa" w:w="272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Release Readiness</w:t>
            </w:r>
          </w:p>
        </w:tc>
      </w:tr>
      <w:tr>
        <w:trPr>
          <w:cantSplit/>
        </w:trPr>
        <w:tc>
          <w:tcPr>
            <w:tcW w:type="dxa" w:w="170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Справочники и методология</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GET</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/api/countries</w:t>
            </w:r>
          </w:p>
        </w:tc>
        <w:tc>
          <w:tcPr>
            <w:tcW w:type="dxa" w:w="272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Countries</w:t>
            </w:r>
          </w:p>
        </w:tc>
      </w:tr>
      <w:tr>
        <w:trPr>
          <w:cantSplit/>
        </w:trPr>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Справочники и методология</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GET</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/api/i18n/catalog</w:t>
            </w:r>
          </w:p>
        </w:tc>
        <w:tc>
          <w:tcPr>
            <w:tcW w:type="dxa" w:w="272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lang (query)</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I18N Catalog</w:t>
            </w:r>
          </w:p>
        </w:tc>
      </w:tr>
      <w:tr>
        <w:trPr>
          <w:cantSplit/>
        </w:trPr>
        <w:tc>
          <w:tcPr>
            <w:tcW w:type="dxa" w:w="170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Справочники и методология</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GET</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/api/index-methodology</w:t>
            </w:r>
          </w:p>
        </w:tc>
        <w:tc>
          <w:tcPr>
            <w:tcW w:type="dxa" w:w="272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Index Methodology Alias</w:t>
            </w:r>
          </w:p>
        </w:tc>
      </w:tr>
      <w:tr>
        <w:trPr>
          <w:cantSplit/>
        </w:trPr>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Справочники и методология</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GET</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/api/index-methodology/{code}</w:t>
            </w:r>
          </w:p>
        </w:tc>
        <w:tc>
          <w:tcPr>
            <w:tcW w:type="dxa" w:w="272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code* (path)</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Index Methodology By Code</w:t>
            </w:r>
          </w:p>
        </w:tc>
      </w:tr>
      <w:tr>
        <w:trPr>
          <w:cantSplit/>
        </w:trPr>
        <w:tc>
          <w:tcPr>
            <w:tcW w:type="dxa" w:w="170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Справочники и методология</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GET</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/api/indices</w:t>
            </w:r>
          </w:p>
        </w:tc>
        <w:tc>
          <w:tcPr>
            <w:tcW w:type="dxa" w:w="272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Indices</w:t>
            </w:r>
          </w:p>
        </w:tc>
      </w:tr>
      <w:tr>
        <w:trPr>
          <w:cantSplit/>
        </w:trPr>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Справочники и методология</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GET</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/api/methodology/registry</w:t>
            </w:r>
          </w:p>
        </w:tc>
        <w:tc>
          <w:tcPr>
            <w:tcW w:type="dxa" w:w="272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Methodology Registry</w:t>
            </w:r>
          </w:p>
        </w:tc>
      </w:tr>
      <w:tr>
        <w:trPr>
          <w:cantSplit/>
        </w:trPr>
        <w:tc>
          <w:tcPr>
            <w:tcW w:type="dxa" w:w="170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Справочники и методология</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GET</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/api/source-registry</w:t>
            </w:r>
          </w:p>
        </w:tc>
        <w:tc>
          <w:tcPr>
            <w:tcW w:type="dxa" w:w="272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 Registry</w:t>
            </w:r>
          </w:p>
        </w:tc>
      </w:tr>
      <w:tr>
        <w:trPr>
          <w:cantSplit/>
        </w:trPr>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Справочники и методология</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GET</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/api/sources</w:t>
            </w:r>
          </w:p>
        </w:tc>
        <w:tc>
          <w:tcPr>
            <w:tcW w:type="dxa" w:w="272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Sources</w:t>
            </w:r>
          </w:p>
        </w:tc>
      </w:tr>
      <w:tr>
        <w:trPr>
          <w:cantSplit/>
        </w:trPr>
        <w:tc>
          <w:tcPr>
            <w:tcW w:type="dxa" w:w="170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Страновые профили</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GET</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/api/country/{iso3}</w:t>
            </w:r>
          </w:p>
        </w:tc>
        <w:tc>
          <w:tcPr>
            <w:tcW w:type="dxa" w:w="272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iso3* (path), year (query)</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Country</w:t>
            </w:r>
          </w:p>
        </w:tc>
      </w:tr>
      <w:tr>
        <w:trPr>
          <w:cantSplit/>
        </w:trPr>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Страновые профили</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GET</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/api/country/{iso3}/command-center</w:t>
            </w:r>
          </w:p>
        </w:tc>
        <w:tc>
          <w:tcPr>
            <w:tcW w:type="dxa" w:w="272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iso3* (path), year (query), lang (query)</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Command Center</w:t>
            </w:r>
          </w:p>
        </w:tc>
      </w:tr>
      <w:tr>
        <w:trPr>
          <w:cantSplit/>
        </w:trPr>
        <w:tc>
          <w:tcPr>
            <w:tcW w:type="dxa" w:w="170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Страновые профили</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GET</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/api/country/{iso3}/profile</w:t>
            </w:r>
          </w:p>
        </w:tc>
        <w:tc>
          <w:tcPr>
            <w:tcW w:type="dxa" w:w="272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iso3* (path), year (query)</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Country Profile</w:t>
            </w:r>
          </w:p>
        </w:tc>
      </w:tr>
      <w:tr>
        <w:trPr>
          <w:cantSplit/>
        </w:trPr>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Страновые профили</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GET</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/api/diagnostics/{iso3}</w:t>
            </w:r>
          </w:p>
        </w:tc>
        <w:tc>
          <w:tcPr>
            <w:tcW w:type="dxa" w:w="272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iso3* (path), year (query)</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Diagnostics All</w:t>
            </w:r>
          </w:p>
        </w:tc>
      </w:tr>
      <w:tr>
        <w:trPr>
          <w:cantSplit/>
        </w:trPr>
        <w:tc>
          <w:tcPr>
            <w:tcW w:type="dxa" w:w="170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Страновые профили</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GET</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/api/diagnostics/{iso3}/{code}</w:t>
            </w:r>
          </w:p>
        </w:tc>
        <w:tc>
          <w:tcPr>
            <w:tcW w:type="dxa" w:w="272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iso3* (path), code* (path), year (query)</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Diagnostics</w:t>
            </w:r>
          </w:p>
        </w:tc>
      </w:tr>
      <w:tr>
        <w:trPr>
          <w:cantSplit/>
        </w:trPr>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Страновые профили</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GET</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/api/human-capital/combined/{iso3}</w:t>
            </w:r>
          </w:p>
        </w:tc>
        <w:tc>
          <w:tcPr>
            <w:tcW w:type="dxa" w:w="272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iso3* (path)</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Human Capital Combined Endpoint</w:t>
            </w:r>
          </w:p>
        </w:tc>
      </w:tr>
      <w:tr>
        <w:trPr>
          <w:cantSplit/>
        </w:trPr>
        <w:tc>
          <w:tcPr>
            <w:tcW w:type="dxa" w:w="170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Экспорт и матрицы</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GET</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/api/cross-matrix</w:t>
            </w:r>
          </w:p>
        </w:tc>
        <w:tc>
          <w:tcPr>
            <w:tcW w:type="dxa" w:w="272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year (query), region (query), income_group (query), q (query), group (query), metric (query), topN (query), sort_index (query), sort_metric (query), sort_dir (query), lang (query)</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Cross Matrix</w:t>
            </w:r>
          </w:p>
        </w:tc>
      </w:tr>
      <w:tr>
        <w:trPr>
          <w:cantSplit/>
        </w:trPr>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Экспорт и матрицы</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GET</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/api/cross-matrix.csv</w:t>
            </w:r>
          </w:p>
        </w:tc>
        <w:tc>
          <w:tcPr>
            <w:tcW w:type="dxa" w:w="272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year (query), region (query), income_group (query), q (query), group (query), metric (query), topN (query), sort_index (query), sort_metric (query), sort_dir (query)</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Cross Matrix Csv</w:t>
            </w:r>
          </w:p>
        </w:tc>
      </w:tr>
      <w:tr>
        <w:trPr>
          <w:cantSplit/>
        </w:trPr>
        <w:tc>
          <w:tcPr>
            <w:tcW w:type="dxa" w:w="170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Экспорт и матрицы</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GET</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/api/export/country/{iso3}/brief</w:t>
            </w:r>
          </w:p>
        </w:tc>
        <w:tc>
          <w:tcPr>
            <w:tcW w:type="dxa" w:w="272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iso3* (path), lang (query), year (query), format (query)</w:t>
            </w:r>
          </w:p>
        </w:tc>
        <w:tc>
          <w:tcPr>
            <w:tcW w:type="dxa" w:w="306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Country Brief</w:t>
            </w:r>
          </w:p>
        </w:tc>
      </w:tr>
      <w:tr>
        <w:trPr>
          <w:cantSplit/>
        </w:trPr>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Экспорт и матрицы</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GET</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/world.geojson</w:t>
            </w:r>
          </w:p>
        </w:tc>
        <w:tc>
          <w:tcPr>
            <w:tcW w:type="dxa" w:w="272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306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World Geojson</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giip_openapi.json, OpenAPI 3.1.0, API version 1.0.0-rc6.</w:t>
      </w:r>
    </w:p>
    <w:p>
      <w:pPr>
        <w:pStyle w:val="Heading3"/>
      </w:pPr>
      <w:r>
        <w:t>D.1. Примеры запросов</w:t>
      </w:r>
    </w:p>
    <w:p>
      <w:pPr>
        <w:pStyle w:val="SmallNote"/>
      </w:pPr>
      <w:r>
        <w:rPr>
          <w:rFonts w:ascii="Noto Sans" w:hAnsi="Noto Sans" w:eastAsia="Noto Sans"/>
          <w:b/>
          <w:color w:val="2F6B8A"/>
          <w:sz w:val="16"/>
        </w:rPr>
        <w:t>Health check</w:t>
      </w:r>
    </w:p>
    <w:p>
      <w:pPr>
        <w:pStyle w:val="CodeBlock"/>
      </w:pPr>
      <w:r>
        <w:rPr>
          <w:rFonts w:ascii="DejaVu Sans Mono" w:hAnsi="DejaVu Sans Mono" w:eastAsia="DejaVu Sans Mono"/>
          <w:color w:val="243746"/>
          <w:sz w:val="15"/>
        </w:rPr>
        <w:t>GET http://127.0.0.1:8000/api/health</w:t>
      </w:r>
    </w:p>
    <w:p>
      <w:pPr>
        <w:pStyle w:val="SmallNote"/>
      </w:pPr>
      <w:r>
        <w:rPr>
          <w:rFonts w:ascii="Noto Sans" w:hAnsi="Noto Sans" w:eastAsia="Noto Sans"/>
          <w:b/>
          <w:color w:val="2F6B8A"/>
          <w:sz w:val="16"/>
        </w:rPr>
        <w:t>Профиль России</w:t>
      </w:r>
    </w:p>
    <w:p>
      <w:pPr>
        <w:pStyle w:val="CodeBlock"/>
      </w:pPr>
      <w:r>
        <w:rPr>
          <w:rFonts w:ascii="DejaVu Sans Mono" w:hAnsi="DejaVu Sans Mono" w:eastAsia="DejaVu Sans Mono"/>
          <w:color w:val="243746"/>
          <w:sz w:val="15"/>
        </w:rPr>
        <w:t>GET http://127.0.0.1:8000/api/country/RUS/profile?year=2026</w:t>
      </w:r>
    </w:p>
    <w:p>
      <w:pPr>
        <w:pStyle w:val="SmallNote"/>
      </w:pPr>
      <w:r>
        <w:rPr>
          <w:rFonts w:ascii="Noto Sans" w:hAnsi="Noto Sans" w:eastAsia="Noto Sans"/>
          <w:b/>
          <w:color w:val="2F6B8A"/>
          <w:sz w:val="16"/>
        </w:rPr>
        <w:t>Рейтинг HTEI v6 common support</w:t>
      </w:r>
    </w:p>
    <w:p>
      <w:pPr>
        <w:pStyle w:val="CodeBlock"/>
      </w:pPr>
      <w:r>
        <w:rPr>
          <w:rFonts w:ascii="DejaVu Sans Mono" w:hAnsi="DejaVu Sans Mono" w:eastAsia="DejaVu Sans Mono"/>
          <w:color w:val="243746"/>
          <w:sz w:val="15"/>
        </w:rPr>
        <w:t>GET http://127.0.0.1:8000/api/htei/v6/ranking?mode=common_support</w:t>
      </w:r>
    </w:p>
    <w:p>
      <w:pPr>
        <w:pStyle w:val="SmallNote"/>
      </w:pPr>
      <w:r>
        <w:rPr>
          <w:rFonts w:ascii="Noto Sans" w:hAnsi="Noto Sans" w:eastAsia="Noto Sans"/>
          <w:b/>
          <w:color w:val="2F6B8A"/>
          <w:sz w:val="16"/>
        </w:rPr>
        <w:t>Формула HDI</w:t>
      </w:r>
    </w:p>
    <w:p>
      <w:pPr>
        <w:pStyle w:val="CodeBlock"/>
      </w:pPr>
      <w:r>
        <w:rPr>
          <w:rFonts w:ascii="DejaVu Sans Mono" w:hAnsi="DejaVu Sans Mono" w:eastAsia="DejaVu Sans Mono"/>
          <w:color w:val="243746"/>
          <w:sz w:val="15"/>
        </w:rPr>
        <w:t>GET http://127.0.0.1:8000/api/index/HDI/formula</w:t>
      </w:r>
    </w:p>
    <w:p>
      <w:pPr>
        <w:pStyle w:val="SmallNote"/>
      </w:pPr>
      <w:r>
        <w:rPr>
          <w:rFonts w:ascii="Noto Sans" w:hAnsi="Noto Sans" w:eastAsia="Noto Sans"/>
          <w:b/>
          <w:color w:val="2F6B8A"/>
          <w:sz w:val="16"/>
        </w:rPr>
        <w:t>Происхождение значения</w:t>
      </w:r>
    </w:p>
    <w:p>
      <w:pPr>
        <w:pStyle w:val="CodeBlock"/>
      </w:pPr>
      <w:r>
        <w:rPr>
          <w:rFonts w:ascii="DejaVu Sans Mono" w:hAnsi="DejaVu Sans Mono" w:eastAsia="DejaVu Sans Mono"/>
          <w:color w:val="243746"/>
          <w:sz w:val="15"/>
        </w:rPr>
        <w:t>GET http://127.0.0.1:8000/api/provenance/value/{value_id}</w:t>
      </w:r>
    </w:p>
    <w:p>
      <w:pPr>
        <w:pStyle w:val="SmallNote"/>
      </w:pPr>
      <w:r>
        <w:rPr>
          <w:rFonts w:ascii="Noto Sans" w:hAnsi="Noto Sans" w:eastAsia="Noto Sans"/>
          <w:b/>
          <w:color w:val="2F6B8A"/>
          <w:sz w:val="16"/>
        </w:rPr>
        <w:t>CSV-матрица</w:t>
      </w:r>
    </w:p>
    <w:p>
      <w:pPr>
        <w:pStyle w:val="CodeBlock"/>
      </w:pPr>
      <w:r>
        <w:rPr>
          <w:rFonts w:ascii="DejaVu Sans Mono" w:hAnsi="DejaVu Sans Mono" w:eastAsia="DejaVu Sans Mono"/>
          <w:color w:val="243746"/>
          <w:sz w:val="15"/>
        </w:rPr>
        <w:t>GET http://127.0.0.1:8000/api/cross-matrix.csv?year=2025</w:t>
      </w:r>
    </w:p>
    <w:p>
      <w:bookmarkStart w:id="2610" w:name="appe"/>
      <w:pPr>
        <w:pStyle w:val="Heading2"/>
      </w:pPr>
      <w:r>
        <w:t>Приложение E. Полная схема базы данных</w:t>
      </w:r>
      <w:bookmarkEnd w:id="2610"/>
    </w:p>
    <w:p>
      <w:r>
        <w:rPr>
          <w:rFonts w:ascii="Noto Serif" w:hAnsi="Noto Serif" w:eastAsia="Noto Serif"/>
          <w:sz w:val="18"/>
        </w:rPr>
        <w:t>Ниже для каждой таблицы указан фактический объём и структура PRAGMA table_info. Поле «NOT NULL» отражает объявление схемы; первичный ключ может быть не помечен NOT NULL в SQLite, но остаётся уникальным идентификатором.</w:t>
      </w:r>
    </w:p>
    <w:p>
      <w:pPr>
        <w:pStyle w:val="Heading3"/>
      </w:pPr>
      <w:r>
        <w:t>E.1. component_values — 36 945 строк</w:t>
      </w:r>
    </w:p>
    <w:p>
      <w:pPr>
        <w:pStyle w:val="Caption"/>
      </w:pPr>
      <w:r>
        <w:t>Таблица 50. Схема component_values</w:t>
      </w:r>
    </w:p>
    <w:tbl>
      <w:tblPr>
        <w:tblW w:type="auto" w:w="0"/>
        <w:jc w:val="center"/>
        <w:tblLayout w:type="autofit"/>
        <w:tblLook w:firstColumn="1" w:firstRow="1" w:lastColumn="0" w:lastRow="0" w:noHBand="0" w:noVBand="1" w:val="04A0"/>
      </w:tblPr>
      <w:tblGrid>
        <w:gridCol w:w="1635"/>
        <w:gridCol w:w="1635"/>
        <w:gridCol w:w="1635"/>
        <w:gridCol w:w="1635"/>
        <w:gridCol w:w="1635"/>
        <w:gridCol w:w="1635"/>
      </w:tblGrid>
      <w:tr>
        <w:trPr>
          <w:tblHeader w:val="true"/>
        </w:trPr>
        <w:tc>
          <w:tcPr>
            <w:tcW w:type="dxa" w:w="45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w:t>
            </w:r>
          </w:p>
        </w:tc>
        <w:tc>
          <w:tcPr>
            <w:tcW w:type="dxa" w:w="3175"/>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Поле</w:t>
            </w:r>
          </w:p>
        </w:tc>
        <w:tc>
          <w:tcPr>
            <w:tcW w:type="dxa" w:w="124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Тип</w:t>
            </w:r>
          </w:p>
        </w:tc>
        <w:tc>
          <w:tcPr>
            <w:tcW w:type="dxa" w:w="1020"/>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NOT NULL</w:t>
            </w:r>
          </w:p>
        </w:tc>
        <w:tc>
          <w:tcPr>
            <w:tcW w:type="dxa" w:w="181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Default</w:t>
            </w:r>
          </w:p>
        </w:tc>
        <w:tc>
          <w:tcPr>
            <w:tcW w:type="dxa" w:w="73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PK</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value_id</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index_code</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component_code</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iso3</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4</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year</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5</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source_data_year</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6</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raw_value</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7</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unit</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8</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normalized_score</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9</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weighted_contribution</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gap_to_frontier</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gap_to_peer_group</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12</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weighted_gap</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13</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rank_leverage</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14</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actionability</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15</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priority_score</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16</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source_id</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17</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source_url</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18</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retrieved_at</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19</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release_year</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raw_snapshot_path</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raw_snapshot_sha256</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22</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transformation_run_id</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23</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transform_id</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24</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formula_version</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25</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quality_flag</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26</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is_official</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27</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is_recomputed</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28</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source_note</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29</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provenance_json</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PRAGMA table_info(component_values); строк: 36 945.</w:t>
      </w:r>
    </w:p>
    <w:p>
      <w:pPr>
        <w:pStyle w:val="Heading3"/>
      </w:pPr>
      <w:r>
        <w:t>E.2. components — 33 строк</w:t>
      </w:r>
    </w:p>
    <w:p>
      <w:pPr>
        <w:pStyle w:val="Caption"/>
      </w:pPr>
      <w:r>
        <w:t>Таблица 51. Схема components</w:t>
      </w:r>
    </w:p>
    <w:tbl>
      <w:tblPr>
        <w:tblW w:type="auto" w:w="0"/>
        <w:jc w:val="center"/>
        <w:tblLayout w:type="autofit"/>
        <w:tblLook w:firstColumn="1" w:firstRow="1" w:lastColumn="0" w:lastRow="0" w:noHBand="0" w:noVBand="1" w:val="04A0"/>
      </w:tblPr>
      <w:tblGrid>
        <w:gridCol w:w="1635"/>
        <w:gridCol w:w="1635"/>
        <w:gridCol w:w="1635"/>
        <w:gridCol w:w="1635"/>
        <w:gridCol w:w="1635"/>
        <w:gridCol w:w="1635"/>
      </w:tblGrid>
      <w:tr>
        <w:trPr>
          <w:tblHeader w:val="true"/>
        </w:trPr>
        <w:tc>
          <w:tcPr>
            <w:tcW w:type="dxa" w:w="45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w:t>
            </w:r>
          </w:p>
        </w:tc>
        <w:tc>
          <w:tcPr>
            <w:tcW w:type="dxa" w:w="3175"/>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Поле</w:t>
            </w:r>
          </w:p>
        </w:tc>
        <w:tc>
          <w:tcPr>
            <w:tcW w:type="dxa" w:w="124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Тип</w:t>
            </w:r>
          </w:p>
        </w:tc>
        <w:tc>
          <w:tcPr>
            <w:tcW w:type="dxa" w:w="1020"/>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NOT NULL</w:t>
            </w:r>
          </w:p>
        </w:tc>
        <w:tc>
          <w:tcPr>
            <w:tcW w:type="dxa" w:w="181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Default</w:t>
            </w:r>
          </w:p>
        </w:tc>
        <w:tc>
          <w:tcPr>
            <w:tcW w:type="dxa" w:w="73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PK</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id</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index_code</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component_code</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name_ru</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4</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name_en</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5</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weight</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6</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source_note</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PRAGMA table_info(components); строк: 33.</w:t>
      </w:r>
    </w:p>
    <w:p>
      <w:pPr>
        <w:pStyle w:val="Heading3"/>
      </w:pPr>
      <w:r>
        <w:t>E.3. corporate_metrics — 26 строк</w:t>
      </w:r>
    </w:p>
    <w:p>
      <w:pPr>
        <w:pStyle w:val="Caption"/>
      </w:pPr>
      <w:r>
        <w:t>Таблица 52. Схема corporate_metrics</w:t>
      </w:r>
    </w:p>
    <w:tbl>
      <w:tblPr>
        <w:tblW w:type="auto" w:w="0"/>
        <w:jc w:val="center"/>
        <w:tblLayout w:type="autofit"/>
        <w:tblLook w:firstColumn="1" w:firstRow="1" w:lastColumn="0" w:lastRow="0" w:noHBand="0" w:noVBand="1" w:val="04A0"/>
      </w:tblPr>
      <w:tblGrid>
        <w:gridCol w:w="1635"/>
        <w:gridCol w:w="1635"/>
        <w:gridCol w:w="1635"/>
        <w:gridCol w:w="1635"/>
        <w:gridCol w:w="1635"/>
        <w:gridCol w:w="1635"/>
      </w:tblGrid>
      <w:tr>
        <w:trPr>
          <w:tblHeader w:val="true"/>
        </w:trPr>
        <w:tc>
          <w:tcPr>
            <w:tcW w:type="dxa" w:w="45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w:t>
            </w:r>
          </w:p>
        </w:tc>
        <w:tc>
          <w:tcPr>
            <w:tcW w:type="dxa" w:w="3175"/>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Поле</w:t>
            </w:r>
          </w:p>
        </w:tc>
        <w:tc>
          <w:tcPr>
            <w:tcW w:type="dxa" w:w="124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Тип</w:t>
            </w:r>
          </w:p>
        </w:tc>
        <w:tc>
          <w:tcPr>
            <w:tcW w:type="dxa" w:w="1020"/>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NOT NULL</w:t>
            </w:r>
          </w:p>
        </w:tc>
        <w:tc>
          <w:tcPr>
            <w:tcW w:type="dxa" w:w="181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Default</w:t>
            </w:r>
          </w:p>
        </w:tc>
        <w:tc>
          <w:tcPr>
            <w:tcW w:type="dxa" w:w="73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PK</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metric_id</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company_id</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company_name</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iso3</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4</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metric_code</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5</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metric_name_ru</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6</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metric_name_en</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7</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fiscal_year</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8</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value</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9</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unit</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source_system</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source_url</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12</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retrieved_at</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13</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raw_snapshot_path</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14</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raw_snapshot_sha256</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15</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transform_id</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16</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provenance_json</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PRAGMA table_info(corporate_metrics); строк: 26.</w:t>
      </w:r>
    </w:p>
    <w:p>
      <w:pPr>
        <w:pStyle w:val="Heading3"/>
      </w:pPr>
      <w:r>
        <w:t>E.4. countries — 225 строк</w:t>
      </w:r>
    </w:p>
    <w:p>
      <w:pPr>
        <w:pStyle w:val="Caption"/>
      </w:pPr>
      <w:r>
        <w:t>Таблица 53. Схема countries</w:t>
      </w:r>
    </w:p>
    <w:tbl>
      <w:tblPr>
        <w:tblW w:type="auto" w:w="0"/>
        <w:jc w:val="center"/>
        <w:tblLayout w:type="autofit"/>
        <w:tblLook w:firstColumn="1" w:firstRow="1" w:lastColumn="0" w:lastRow="0" w:noHBand="0" w:noVBand="1" w:val="04A0"/>
      </w:tblPr>
      <w:tblGrid>
        <w:gridCol w:w="1635"/>
        <w:gridCol w:w="1635"/>
        <w:gridCol w:w="1635"/>
        <w:gridCol w:w="1635"/>
        <w:gridCol w:w="1635"/>
        <w:gridCol w:w="1635"/>
      </w:tblGrid>
      <w:tr>
        <w:trPr>
          <w:tblHeader w:val="true"/>
        </w:trPr>
        <w:tc>
          <w:tcPr>
            <w:tcW w:type="dxa" w:w="45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w:t>
            </w:r>
          </w:p>
        </w:tc>
        <w:tc>
          <w:tcPr>
            <w:tcW w:type="dxa" w:w="3175"/>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Поле</w:t>
            </w:r>
          </w:p>
        </w:tc>
        <w:tc>
          <w:tcPr>
            <w:tcW w:type="dxa" w:w="124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Тип</w:t>
            </w:r>
          </w:p>
        </w:tc>
        <w:tc>
          <w:tcPr>
            <w:tcW w:type="dxa" w:w="1020"/>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NOT NULL</w:t>
            </w:r>
          </w:p>
        </w:tc>
        <w:tc>
          <w:tcPr>
            <w:tcW w:type="dxa" w:w="181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Default</w:t>
            </w:r>
          </w:p>
        </w:tc>
        <w:tc>
          <w:tcPr>
            <w:tcW w:type="dxa" w:w="73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PK</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iso3</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iso2</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name_ru</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name_en</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4</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region</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5</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income_group</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6</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population_m</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7</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flag</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PRAGMA table_info(countries); строк: 225.</w:t>
      </w:r>
    </w:p>
    <w:p>
      <w:pPr>
        <w:pStyle w:val="Heading3"/>
      </w:pPr>
      <w:r>
        <w:t>E.5. diagnostics — 9 917 строк</w:t>
      </w:r>
    </w:p>
    <w:p>
      <w:pPr>
        <w:pStyle w:val="Caption"/>
      </w:pPr>
      <w:r>
        <w:t>Таблица 54. Схема diagnostics</w:t>
      </w:r>
    </w:p>
    <w:tbl>
      <w:tblPr>
        <w:tblW w:type="auto" w:w="0"/>
        <w:jc w:val="center"/>
        <w:tblLayout w:type="autofit"/>
        <w:tblLook w:firstColumn="1" w:firstRow="1" w:lastColumn="0" w:lastRow="0" w:noHBand="0" w:noVBand="1" w:val="04A0"/>
      </w:tblPr>
      <w:tblGrid>
        <w:gridCol w:w="1635"/>
        <w:gridCol w:w="1635"/>
        <w:gridCol w:w="1635"/>
        <w:gridCol w:w="1635"/>
        <w:gridCol w:w="1635"/>
        <w:gridCol w:w="1635"/>
      </w:tblGrid>
      <w:tr>
        <w:trPr>
          <w:tblHeader w:val="true"/>
        </w:trPr>
        <w:tc>
          <w:tcPr>
            <w:tcW w:type="dxa" w:w="45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w:t>
            </w:r>
          </w:p>
        </w:tc>
        <w:tc>
          <w:tcPr>
            <w:tcW w:type="dxa" w:w="3175"/>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Поле</w:t>
            </w:r>
          </w:p>
        </w:tc>
        <w:tc>
          <w:tcPr>
            <w:tcW w:type="dxa" w:w="124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Тип</w:t>
            </w:r>
          </w:p>
        </w:tc>
        <w:tc>
          <w:tcPr>
            <w:tcW w:type="dxa" w:w="1020"/>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NOT NULL</w:t>
            </w:r>
          </w:p>
        </w:tc>
        <w:tc>
          <w:tcPr>
            <w:tcW w:type="dxa" w:w="181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Default</w:t>
            </w:r>
          </w:p>
        </w:tc>
        <w:tc>
          <w:tcPr>
            <w:tcW w:type="dxa" w:w="73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PK</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diagnostic_id</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iso3</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index_code</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component_code</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4</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year</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5</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gap_to_frontier</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6</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gap_to_peer_group</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7</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weighted_gap</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8</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rank_leverage</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9</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actionability</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data_quality</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priority_score</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12</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weakest_component</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13</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highest_leverage_component</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14</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explanation_ru</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15</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explanation_en</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16</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source_value_id</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PRAGMA table_info(diagnostics); строк: 9 917.</w:t>
      </w:r>
    </w:p>
    <w:p>
      <w:pPr>
        <w:pStyle w:val="Heading3"/>
      </w:pPr>
      <w:r>
        <w:t>E.6. external_method_reviews — 0 строк</w:t>
      </w:r>
    </w:p>
    <w:p>
      <w:pPr>
        <w:pStyle w:val="Caption"/>
      </w:pPr>
      <w:r>
        <w:t>Таблица 55. Схема external_method_reviews</w:t>
      </w:r>
    </w:p>
    <w:tbl>
      <w:tblPr>
        <w:tblW w:type="auto" w:w="0"/>
        <w:jc w:val="center"/>
        <w:tblLayout w:type="autofit"/>
        <w:tblLook w:firstColumn="1" w:firstRow="1" w:lastColumn="0" w:lastRow="0" w:noHBand="0" w:noVBand="1" w:val="04A0"/>
      </w:tblPr>
      <w:tblGrid>
        <w:gridCol w:w="1635"/>
        <w:gridCol w:w="1635"/>
        <w:gridCol w:w="1635"/>
        <w:gridCol w:w="1635"/>
        <w:gridCol w:w="1635"/>
        <w:gridCol w:w="1635"/>
      </w:tblGrid>
      <w:tr>
        <w:trPr>
          <w:tblHeader w:val="true"/>
        </w:trPr>
        <w:tc>
          <w:tcPr>
            <w:tcW w:type="dxa" w:w="45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w:t>
            </w:r>
          </w:p>
        </w:tc>
        <w:tc>
          <w:tcPr>
            <w:tcW w:type="dxa" w:w="3175"/>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Поле</w:t>
            </w:r>
          </w:p>
        </w:tc>
        <w:tc>
          <w:tcPr>
            <w:tcW w:type="dxa" w:w="124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Тип</w:t>
            </w:r>
          </w:p>
        </w:tc>
        <w:tc>
          <w:tcPr>
            <w:tcW w:type="dxa" w:w="1020"/>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NOT NULL</w:t>
            </w:r>
          </w:p>
        </w:tc>
        <w:tc>
          <w:tcPr>
            <w:tcW w:type="dxa" w:w="181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Default</w:t>
            </w:r>
          </w:p>
        </w:tc>
        <w:tc>
          <w:tcPr>
            <w:tcW w:type="dxa" w:w="73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PK</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review_id</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reviewer_name</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affiliation</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expertise</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4</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independence_statement</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5</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methodology_version</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6</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decision</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7</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review_date</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8</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document_path</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9</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document_sha256</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conditions_json</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imported_at</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PRAGMA table_info(external_method_reviews); строк: 0.</w:t>
      </w:r>
    </w:p>
    <w:p>
      <w:pPr>
        <w:pStyle w:val="Heading3"/>
      </w:pPr>
      <w:r>
        <w:t>E.7. hci_plus_country_scores — 158 строк</w:t>
      </w:r>
    </w:p>
    <w:p>
      <w:pPr>
        <w:pStyle w:val="Caption"/>
      </w:pPr>
      <w:r>
        <w:t>Таблица 56. Схема hci_plus_country_scores</w:t>
      </w:r>
    </w:p>
    <w:tbl>
      <w:tblPr>
        <w:tblW w:type="auto" w:w="0"/>
        <w:jc w:val="center"/>
        <w:tblLayout w:type="autofit"/>
        <w:tblLook w:firstColumn="1" w:firstRow="1" w:lastColumn="0" w:lastRow="0" w:noHBand="0" w:noVBand="1" w:val="04A0"/>
      </w:tblPr>
      <w:tblGrid>
        <w:gridCol w:w="1635"/>
        <w:gridCol w:w="1635"/>
        <w:gridCol w:w="1635"/>
        <w:gridCol w:w="1635"/>
        <w:gridCol w:w="1635"/>
        <w:gridCol w:w="1635"/>
      </w:tblGrid>
      <w:tr>
        <w:trPr>
          <w:tblHeader w:val="true"/>
        </w:trPr>
        <w:tc>
          <w:tcPr>
            <w:tcW w:type="dxa" w:w="45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w:t>
            </w:r>
          </w:p>
        </w:tc>
        <w:tc>
          <w:tcPr>
            <w:tcW w:type="dxa" w:w="3175"/>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Поле</w:t>
            </w:r>
          </w:p>
        </w:tc>
        <w:tc>
          <w:tcPr>
            <w:tcW w:type="dxa" w:w="124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Тип</w:t>
            </w:r>
          </w:p>
        </w:tc>
        <w:tc>
          <w:tcPr>
            <w:tcW w:type="dxa" w:w="1020"/>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NOT NULL</w:t>
            </w:r>
          </w:p>
        </w:tc>
        <w:tc>
          <w:tcPr>
            <w:tcW w:type="dxa" w:w="181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Default</w:t>
            </w:r>
          </w:p>
        </w:tc>
        <w:tc>
          <w:tcPr>
            <w:tcW w:type="dxa" w:w="73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PK</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value_id</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iso3</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year</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score</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4</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rank</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5</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percentile</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6</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health_score</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7</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education_score</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8</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employment_score</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9</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women_score</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men_score</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source_id</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12</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source_url</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13</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retrieved_at</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14</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raw_snapshot_path</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15</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raw_snapshot_sha256</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16</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quality_flag</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17</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provenance_json</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PRAGMA table_info(hci_plus_country_scores); строк: 158.</w:t>
      </w:r>
    </w:p>
    <w:p>
      <w:pPr>
        <w:pStyle w:val="Heading3"/>
      </w:pPr>
      <w:r>
        <w:t>E.8. htei_v5_component_values — 1 905 строк</w:t>
      </w:r>
    </w:p>
    <w:p>
      <w:pPr>
        <w:pStyle w:val="Caption"/>
      </w:pPr>
      <w:r>
        <w:t>Таблица 57. Схема htei_v5_component_values</w:t>
      </w:r>
    </w:p>
    <w:tbl>
      <w:tblPr>
        <w:tblW w:type="auto" w:w="0"/>
        <w:jc w:val="center"/>
        <w:tblLayout w:type="autofit"/>
        <w:tblLook w:firstColumn="1" w:firstRow="1" w:lastColumn="0" w:lastRow="0" w:noHBand="0" w:noVBand="1" w:val="04A0"/>
      </w:tblPr>
      <w:tblGrid>
        <w:gridCol w:w="1635"/>
        <w:gridCol w:w="1635"/>
        <w:gridCol w:w="1635"/>
        <w:gridCol w:w="1635"/>
        <w:gridCol w:w="1635"/>
        <w:gridCol w:w="1635"/>
      </w:tblGrid>
      <w:tr>
        <w:trPr>
          <w:tblHeader w:val="true"/>
        </w:trPr>
        <w:tc>
          <w:tcPr>
            <w:tcW w:type="dxa" w:w="45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w:t>
            </w:r>
          </w:p>
        </w:tc>
        <w:tc>
          <w:tcPr>
            <w:tcW w:type="dxa" w:w="3175"/>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Поле</w:t>
            </w:r>
          </w:p>
        </w:tc>
        <w:tc>
          <w:tcPr>
            <w:tcW w:type="dxa" w:w="124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Тип</w:t>
            </w:r>
          </w:p>
        </w:tc>
        <w:tc>
          <w:tcPr>
            <w:tcW w:type="dxa" w:w="1020"/>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NOT NULL</w:t>
            </w:r>
          </w:p>
        </w:tc>
        <w:tc>
          <w:tcPr>
            <w:tcW w:type="dxa" w:w="181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Default</w:t>
            </w:r>
          </w:p>
        </w:tc>
        <w:tc>
          <w:tcPr>
            <w:tcW w:type="dxa" w:w="73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PK</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value_id</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profile_id</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iso3</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release_year</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4</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mode</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5</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component_code</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6</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name_ru</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7</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name_en</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8</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raw_value</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9</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unit</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normalized_score</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base_weight</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12</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effective_weight</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13</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weighted_contribution</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14</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source_id</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15</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source_group</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16</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source_data_year</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17</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data_lag</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18</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indicator_code</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19</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proxy_status</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interpretation_ru</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interpretation_en</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22</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selection_rule</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23</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source_url</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24</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retrieved_at</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25</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raw_snapshot_path</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26</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raw_snapshot_sha256</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27</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quality_flag</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28</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provenance_json</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PRAGMA table_info(htei_v5_component_values); строк: 1 905.</w:t>
      </w:r>
    </w:p>
    <w:p>
      <w:pPr>
        <w:pStyle w:val="Heading3"/>
      </w:pPr>
      <w:r>
        <w:t>E.9. htei_v5_profiles — 404 строк</w:t>
      </w:r>
    </w:p>
    <w:p>
      <w:pPr>
        <w:pStyle w:val="Caption"/>
      </w:pPr>
      <w:r>
        <w:t>Таблица 58. Схема htei_v5_profiles</w:t>
      </w:r>
    </w:p>
    <w:tbl>
      <w:tblPr>
        <w:tblW w:type="auto" w:w="0"/>
        <w:jc w:val="center"/>
        <w:tblLayout w:type="autofit"/>
        <w:tblLook w:firstColumn="1" w:firstRow="1" w:lastColumn="0" w:lastRow="0" w:noHBand="0" w:noVBand="1" w:val="04A0"/>
      </w:tblPr>
      <w:tblGrid>
        <w:gridCol w:w="1635"/>
        <w:gridCol w:w="1635"/>
        <w:gridCol w:w="1635"/>
        <w:gridCol w:w="1635"/>
        <w:gridCol w:w="1635"/>
        <w:gridCol w:w="1635"/>
      </w:tblGrid>
      <w:tr>
        <w:trPr>
          <w:tblHeader w:val="true"/>
        </w:trPr>
        <w:tc>
          <w:tcPr>
            <w:tcW w:type="dxa" w:w="45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w:t>
            </w:r>
          </w:p>
        </w:tc>
        <w:tc>
          <w:tcPr>
            <w:tcW w:type="dxa" w:w="3175"/>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Поле</w:t>
            </w:r>
          </w:p>
        </w:tc>
        <w:tc>
          <w:tcPr>
            <w:tcW w:type="dxa" w:w="124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Тип</w:t>
            </w:r>
          </w:p>
        </w:tc>
        <w:tc>
          <w:tcPr>
            <w:tcW w:type="dxa" w:w="1020"/>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NOT NULL</w:t>
            </w:r>
          </w:p>
        </w:tc>
        <w:tc>
          <w:tcPr>
            <w:tcW w:type="dxa" w:w="181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Default</w:t>
            </w:r>
          </w:p>
        </w:tc>
        <w:tc>
          <w:tcPr>
            <w:tcW w:type="dxa" w:w="73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PK</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profile_id</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iso3</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release_year</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requested_year</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4</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mode</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5</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substantive_score</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6</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rank</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7</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percentile</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8</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confidence_score</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9</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coverage_class</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freshness_class</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available_components</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12</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available_weight</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13</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source_group_count</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14</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oldest_source_year</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15</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newest_source_year</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16</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average_lag</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17</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score_low</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18</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score_high</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19</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rank_low</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rank_high</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eligible_for_ranking</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22</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eligibility_reasons_json</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23</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formula_version</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24</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methodology_status</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25</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provenance_json</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PRAGMA table_info(htei_v5_profiles); строк: 404.</w:t>
      </w:r>
    </w:p>
    <w:p>
      <w:pPr>
        <w:pStyle w:val="Heading3"/>
      </w:pPr>
      <w:r>
        <w:t>E.10. htei_v6_component_values — 1 909 строк</w:t>
      </w:r>
    </w:p>
    <w:p>
      <w:pPr>
        <w:pStyle w:val="Caption"/>
      </w:pPr>
      <w:r>
        <w:t>Таблица 59. Схема htei_v6_component_values</w:t>
      </w:r>
    </w:p>
    <w:tbl>
      <w:tblPr>
        <w:tblW w:type="auto" w:w="0"/>
        <w:jc w:val="center"/>
        <w:tblLayout w:type="autofit"/>
        <w:tblLook w:firstColumn="1" w:firstRow="1" w:lastColumn="0" w:lastRow="0" w:noHBand="0" w:noVBand="1" w:val="04A0"/>
      </w:tblPr>
      <w:tblGrid>
        <w:gridCol w:w="1635"/>
        <w:gridCol w:w="1635"/>
        <w:gridCol w:w="1635"/>
        <w:gridCol w:w="1635"/>
        <w:gridCol w:w="1635"/>
        <w:gridCol w:w="1635"/>
      </w:tblGrid>
      <w:tr>
        <w:trPr>
          <w:tblHeader w:val="true"/>
        </w:trPr>
        <w:tc>
          <w:tcPr>
            <w:tcW w:type="dxa" w:w="45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w:t>
            </w:r>
          </w:p>
        </w:tc>
        <w:tc>
          <w:tcPr>
            <w:tcW w:type="dxa" w:w="3175"/>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Поле</w:t>
            </w:r>
          </w:p>
        </w:tc>
        <w:tc>
          <w:tcPr>
            <w:tcW w:type="dxa" w:w="124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Тип</w:t>
            </w:r>
          </w:p>
        </w:tc>
        <w:tc>
          <w:tcPr>
            <w:tcW w:type="dxa" w:w="1020"/>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NOT NULL</w:t>
            </w:r>
          </w:p>
        </w:tc>
        <w:tc>
          <w:tcPr>
            <w:tcW w:type="dxa" w:w="181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Default</w:t>
            </w:r>
          </w:p>
        </w:tc>
        <w:tc>
          <w:tcPr>
            <w:tcW w:type="dxa" w:w="73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PK</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value_id</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profile_id</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iso3</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release_year</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4</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mode</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5</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component_code</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6</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name_ru</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7</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name_en</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8</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raw_value</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9</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unit</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normalized_score</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base_weight</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12</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effective_weight</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13</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weighted_contribution</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14</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source_id</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15</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source_group</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16</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source_data_year</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17</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data_lag</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18</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indicator_code</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19</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proxy_status</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interpretation_ru</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interpretation_en</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22</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selection_rule</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23</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source_url</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24</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retrieved_at</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25</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raw_snapshot_path</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26</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raw_snapshot_sha256</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27</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quality_flag</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28</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provenance_json</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PRAGMA table_info(htei_v6_component_values); строк: 1 909.</w:t>
      </w:r>
    </w:p>
    <w:p>
      <w:pPr>
        <w:pStyle w:val="Heading3"/>
      </w:pPr>
      <w:r>
        <w:t>E.11. htei_v6_missingness_audit — 34 строк</w:t>
      </w:r>
    </w:p>
    <w:p>
      <w:pPr>
        <w:pStyle w:val="Caption"/>
      </w:pPr>
      <w:r>
        <w:t>Таблица 60. Схема htei_v6_missingness_audit</w:t>
      </w:r>
    </w:p>
    <w:tbl>
      <w:tblPr>
        <w:tblW w:type="auto" w:w="0"/>
        <w:jc w:val="center"/>
        <w:tblLayout w:type="autofit"/>
        <w:tblLook w:firstColumn="1" w:firstRow="1" w:lastColumn="0" w:lastRow="0" w:noHBand="0" w:noVBand="1" w:val="04A0"/>
      </w:tblPr>
      <w:tblGrid>
        <w:gridCol w:w="1635"/>
        <w:gridCol w:w="1635"/>
        <w:gridCol w:w="1635"/>
        <w:gridCol w:w="1635"/>
        <w:gridCol w:w="1635"/>
        <w:gridCol w:w="1635"/>
      </w:tblGrid>
      <w:tr>
        <w:trPr>
          <w:tblHeader w:val="true"/>
        </w:trPr>
        <w:tc>
          <w:tcPr>
            <w:tcW w:type="dxa" w:w="45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w:t>
            </w:r>
          </w:p>
        </w:tc>
        <w:tc>
          <w:tcPr>
            <w:tcW w:type="dxa" w:w="3175"/>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Поле</w:t>
            </w:r>
          </w:p>
        </w:tc>
        <w:tc>
          <w:tcPr>
            <w:tcW w:type="dxa" w:w="124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Тип</w:t>
            </w:r>
          </w:p>
        </w:tc>
        <w:tc>
          <w:tcPr>
            <w:tcW w:type="dxa" w:w="1020"/>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NOT NULL</w:t>
            </w:r>
          </w:p>
        </w:tc>
        <w:tc>
          <w:tcPr>
            <w:tcW w:type="dxa" w:w="181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Default</w:t>
            </w:r>
          </w:p>
        </w:tc>
        <w:tc>
          <w:tcPr>
            <w:tcW w:type="dxa" w:w="73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PK</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audit_key</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release_year</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mode</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component_signature</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4</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countries</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5</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mean_score</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6</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mean_rank</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7</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median_rank</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8</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mean_confidence</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9</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rank_shift_vs_common_support</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results_json</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created_at</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PRAGMA table_info(htei_v6_missingness_audit); строк: 34.</w:t>
      </w:r>
    </w:p>
    <w:p>
      <w:pPr>
        <w:pStyle w:val="Heading3"/>
      </w:pPr>
      <w:r>
        <w:t>E.12. htei_v6_profiles — 431 строк</w:t>
      </w:r>
    </w:p>
    <w:p>
      <w:pPr>
        <w:pStyle w:val="Caption"/>
      </w:pPr>
      <w:r>
        <w:t>Таблица 61. Схема htei_v6_profiles</w:t>
      </w:r>
    </w:p>
    <w:tbl>
      <w:tblPr>
        <w:tblW w:type="auto" w:w="0"/>
        <w:jc w:val="center"/>
        <w:tblLayout w:type="autofit"/>
        <w:tblLook w:firstColumn="1" w:firstRow="1" w:lastColumn="0" w:lastRow="0" w:noHBand="0" w:noVBand="1" w:val="04A0"/>
      </w:tblPr>
      <w:tblGrid>
        <w:gridCol w:w="1635"/>
        <w:gridCol w:w="1635"/>
        <w:gridCol w:w="1635"/>
        <w:gridCol w:w="1635"/>
        <w:gridCol w:w="1635"/>
        <w:gridCol w:w="1635"/>
      </w:tblGrid>
      <w:tr>
        <w:trPr>
          <w:tblHeader w:val="true"/>
        </w:trPr>
        <w:tc>
          <w:tcPr>
            <w:tcW w:type="dxa" w:w="45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w:t>
            </w:r>
          </w:p>
        </w:tc>
        <w:tc>
          <w:tcPr>
            <w:tcW w:type="dxa" w:w="3175"/>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Поле</w:t>
            </w:r>
          </w:p>
        </w:tc>
        <w:tc>
          <w:tcPr>
            <w:tcW w:type="dxa" w:w="124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Тип</w:t>
            </w:r>
          </w:p>
        </w:tc>
        <w:tc>
          <w:tcPr>
            <w:tcW w:type="dxa" w:w="1020"/>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NOT NULL</w:t>
            </w:r>
          </w:p>
        </w:tc>
        <w:tc>
          <w:tcPr>
            <w:tcW w:type="dxa" w:w="181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Default</w:t>
            </w:r>
          </w:p>
        </w:tc>
        <w:tc>
          <w:tcPr>
            <w:tcW w:type="dxa" w:w="73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PK</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profile_id</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iso3</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release_year</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mode</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4</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substantive_score</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5</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rank</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6</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percentile</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7</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confidence_score</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8</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coverage_class</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9</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freshness_class</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available_components</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available_weight</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12</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source_group_count</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13</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oldest_source_year</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14</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newest_source_year</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15</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average_lag</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16</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score_low</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17</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score_high</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18</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rank_low</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19</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rank_high</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eligible_for_ranking</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direct_data_tier</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22</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component_signature</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23</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formula_version</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24</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methodology_status</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25</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provenance_json</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PRAGMA table_info(htei_v6_profiles); строк: 431.</w:t>
      </w:r>
    </w:p>
    <w:p>
      <w:pPr>
        <w:pStyle w:val="Heading3"/>
      </w:pPr>
      <w:r>
        <w:t>E.13. index_aliases — 27 строк</w:t>
      </w:r>
    </w:p>
    <w:p>
      <w:pPr>
        <w:pStyle w:val="Caption"/>
      </w:pPr>
      <w:r>
        <w:t>Таблица 62. Схема index_aliases</w:t>
      </w:r>
    </w:p>
    <w:tbl>
      <w:tblPr>
        <w:tblW w:type="auto" w:w="0"/>
        <w:jc w:val="center"/>
        <w:tblLayout w:type="autofit"/>
        <w:tblLook w:firstColumn="1" w:firstRow="1" w:lastColumn="0" w:lastRow="0" w:noHBand="0" w:noVBand="1" w:val="04A0"/>
      </w:tblPr>
      <w:tblGrid>
        <w:gridCol w:w="1635"/>
        <w:gridCol w:w="1635"/>
        <w:gridCol w:w="1635"/>
        <w:gridCol w:w="1635"/>
        <w:gridCol w:w="1635"/>
        <w:gridCol w:w="1635"/>
      </w:tblGrid>
      <w:tr>
        <w:trPr>
          <w:tblHeader w:val="true"/>
        </w:trPr>
        <w:tc>
          <w:tcPr>
            <w:tcW w:type="dxa" w:w="45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w:t>
            </w:r>
          </w:p>
        </w:tc>
        <w:tc>
          <w:tcPr>
            <w:tcW w:type="dxa" w:w="3175"/>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Поле</w:t>
            </w:r>
          </w:p>
        </w:tc>
        <w:tc>
          <w:tcPr>
            <w:tcW w:type="dxa" w:w="124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Тип</w:t>
            </w:r>
          </w:p>
        </w:tc>
        <w:tc>
          <w:tcPr>
            <w:tcW w:type="dxa" w:w="1020"/>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NOT NULL</w:t>
            </w:r>
          </w:p>
        </w:tc>
        <w:tc>
          <w:tcPr>
            <w:tcW w:type="dxa" w:w="181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Default</w:t>
            </w:r>
          </w:p>
        </w:tc>
        <w:tc>
          <w:tcPr>
            <w:tcW w:type="dxa" w:w="73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PK</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alias</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index_code</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lang</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display_label</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4</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is_primary</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PRAGMA table_info(index_aliases); строк: 27.</w:t>
      </w:r>
    </w:p>
    <w:p>
      <w:pPr>
        <w:pStyle w:val="Heading3"/>
      </w:pPr>
      <w:r>
        <w:t>E.14. index_components — 33 строк</w:t>
      </w:r>
    </w:p>
    <w:p>
      <w:pPr>
        <w:pStyle w:val="Caption"/>
      </w:pPr>
      <w:r>
        <w:t>Таблица 63. Схема index_components</w:t>
      </w:r>
    </w:p>
    <w:tbl>
      <w:tblPr>
        <w:tblW w:type="auto" w:w="0"/>
        <w:jc w:val="center"/>
        <w:tblLayout w:type="autofit"/>
        <w:tblLook w:firstColumn="1" w:firstRow="1" w:lastColumn="0" w:lastRow="0" w:noHBand="0" w:noVBand="1" w:val="04A0"/>
      </w:tblPr>
      <w:tblGrid>
        <w:gridCol w:w="1635"/>
        <w:gridCol w:w="1635"/>
        <w:gridCol w:w="1635"/>
        <w:gridCol w:w="1635"/>
        <w:gridCol w:w="1635"/>
        <w:gridCol w:w="1635"/>
      </w:tblGrid>
      <w:tr>
        <w:trPr>
          <w:tblHeader w:val="true"/>
        </w:trPr>
        <w:tc>
          <w:tcPr>
            <w:tcW w:type="dxa" w:w="45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w:t>
            </w:r>
          </w:p>
        </w:tc>
        <w:tc>
          <w:tcPr>
            <w:tcW w:type="dxa" w:w="3175"/>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Поле</w:t>
            </w:r>
          </w:p>
        </w:tc>
        <w:tc>
          <w:tcPr>
            <w:tcW w:type="dxa" w:w="124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Тип</w:t>
            </w:r>
          </w:p>
        </w:tc>
        <w:tc>
          <w:tcPr>
            <w:tcW w:type="dxa" w:w="1020"/>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NOT NULL</w:t>
            </w:r>
          </w:p>
        </w:tc>
        <w:tc>
          <w:tcPr>
            <w:tcW w:type="dxa" w:w="181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Default</w:t>
            </w:r>
          </w:p>
        </w:tc>
        <w:tc>
          <w:tcPr>
            <w:tcW w:type="dxa" w:w="73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PK</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id</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index_code</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component_code</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name_ru</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4</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name_en</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5</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weight</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6</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source_note</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PRAGMA table_info(index_components); строк: 33.</w:t>
      </w:r>
    </w:p>
    <w:p>
      <w:pPr>
        <w:pStyle w:val="Heading3"/>
      </w:pPr>
      <w:r>
        <w:t>E.15. index_definitions — 8 строк</w:t>
      </w:r>
    </w:p>
    <w:p>
      <w:pPr>
        <w:pStyle w:val="Caption"/>
      </w:pPr>
      <w:r>
        <w:t>Таблица 64. Схема index_definitions</w:t>
      </w:r>
    </w:p>
    <w:tbl>
      <w:tblPr>
        <w:tblW w:type="auto" w:w="0"/>
        <w:jc w:val="center"/>
        <w:tblLayout w:type="autofit"/>
        <w:tblLook w:firstColumn="1" w:firstRow="1" w:lastColumn="0" w:lastRow="0" w:noHBand="0" w:noVBand="1" w:val="04A0"/>
      </w:tblPr>
      <w:tblGrid>
        <w:gridCol w:w="1635"/>
        <w:gridCol w:w="1635"/>
        <w:gridCol w:w="1635"/>
        <w:gridCol w:w="1635"/>
        <w:gridCol w:w="1635"/>
        <w:gridCol w:w="1635"/>
      </w:tblGrid>
      <w:tr>
        <w:trPr>
          <w:tblHeader w:val="true"/>
        </w:trPr>
        <w:tc>
          <w:tcPr>
            <w:tcW w:type="dxa" w:w="45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w:t>
            </w:r>
          </w:p>
        </w:tc>
        <w:tc>
          <w:tcPr>
            <w:tcW w:type="dxa" w:w="3175"/>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Поле</w:t>
            </w:r>
          </w:p>
        </w:tc>
        <w:tc>
          <w:tcPr>
            <w:tcW w:type="dxa" w:w="124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Тип</w:t>
            </w:r>
          </w:p>
        </w:tc>
        <w:tc>
          <w:tcPr>
            <w:tcW w:type="dxa" w:w="1020"/>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NOT NULL</w:t>
            </w:r>
          </w:p>
        </w:tc>
        <w:tc>
          <w:tcPr>
            <w:tcW w:type="dxa" w:w="181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Default</w:t>
            </w:r>
          </w:p>
        </w:tc>
        <w:tc>
          <w:tcPr>
            <w:tcW w:type="dxa" w:w="73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PK</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code</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name</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short_name</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name_ru</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4</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short_name_ru</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5</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name_en</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6</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short_name_en</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7</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theme</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8</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authority</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9</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url</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description_ru</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description_en</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12</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score_scale</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13</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rank_direction</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'desc'</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14</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recompute_mode</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15</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official_or_derived</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16</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is_tz_index</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PRAGMA table_info(index_definitions); строк: 8.</w:t>
      </w:r>
    </w:p>
    <w:p>
      <w:pPr>
        <w:pStyle w:val="Heading3"/>
      </w:pPr>
      <w:r>
        <w:t>E.16. index_formulas — 14 строк</w:t>
      </w:r>
    </w:p>
    <w:p>
      <w:pPr>
        <w:pStyle w:val="Caption"/>
      </w:pPr>
      <w:r>
        <w:t>Таблица 65. Схема index_formulas</w:t>
      </w:r>
    </w:p>
    <w:tbl>
      <w:tblPr>
        <w:tblW w:type="auto" w:w="0"/>
        <w:jc w:val="center"/>
        <w:tblLayout w:type="autofit"/>
        <w:tblLook w:firstColumn="1" w:firstRow="1" w:lastColumn="0" w:lastRow="0" w:noHBand="0" w:noVBand="1" w:val="04A0"/>
      </w:tblPr>
      <w:tblGrid>
        <w:gridCol w:w="1635"/>
        <w:gridCol w:w="1635"/>
        <w:gridCol w:w="1635"/>
        <w:gridCol w:w="1635"/>
        <w:gridCol w:w="1635"/>
        <w:gridCol w:w="1635"/>
      </w:tblGrid>
      <w:tr>
        <w:trPr>
          <w:tblHeader w:val="true"/>
        </w:trPr>
        <w:tc>
          <w:tcPr>
            <w:tcW w:type="dxa" w:w="45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w:t>
            </w:r>
          </w:p>
        </w:tc>
        <w:tc>
          <w:tcPr>
            <w:tcW w:type="dxa" w:w="3175"/>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Поле</w:t>
            </w:r>
          </w:p>
        </w:tc>
        <w:tc>
          <w:tcPr>
            <w:tcW w:type="dxa" w:w="124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Тип</w:t>
            </w:r>
          </w:p>
        </w:tc>
        <w:tc>
          <w:tcPr>
            <w:tcW w:type="dxa" w:w="1020"/>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NOT NULL</w:t>
            </w:r>
          </w:p>
        </w:tc>
        <w:tc>
          <w:tcPr>
            <w:tcW w:type="dxa" w:w="181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Default</w:t>
            </w:r>
          </w:p>
        </w:tc>
        <w:tc>
          <w:tcPr>
            <w:tcW w:type="dxa" w:w="73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PK</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index_code</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formula_version</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formula_text_ru</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formula_text_en</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4</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method_notes_ru</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5</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method_notes_en</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6</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weights_json</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7</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normalization_ru</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8</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normalization_en</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9</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official_formula_available</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source_id</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PRAGMA table_info(index_formulas); строк: 14.</w:t>
      </w:r>
    </w:p>
    <w:p>
      <w:pPr>
        <w:pStyle w:val="Heading3"/>
      </w:pPr>
      <w:r>
        <w:t>E.17. index_methodology_registry — 8 строк</w:t>
      </w:r>
    </w:p>
    <w:p>
      <w:pPr>
        <w:pStyle w:val="Caption"/>
      </w:pPr>
      <w:r>
        <w:t>Таблица 66. Схема index_methodology_registry</w:t>
      </w:r>
    </w:p>
    <w:tbl>
      <w:tblPr>
        <w:tblW w:type="auto" w:w="0"/>
        <w:jc w:val="center"/>
        <w:tblLayout w:type="autofit"/>
        <w:tblLook w:firstColumn="1" w:firstRow="1" w:lastColumn="0" w:lastRow="0" w:noHBand="0" w:noVBand="1" w:val="04A0"/>
      </w:tblPr>
      <w:tblGrid>
        <w:gridCol w:w="1635"/>
        <w:gridCol w:w="1635"/>
        <w:gridCol w:w="1635"/>
        <w:gridCol w:w="1635"/>
        <w:gridCol w:w="1635"/>
        <w:gridCol w:w="1635"/>
      </w:tblGrid>
      <w:tr>
        <w:trPr>
          <w:tblHeader w:val="true"/>
        </w:trPr>
        <w:tc>
          <w:tcPr>
            <w:tcW w:type="dxa" w:w="45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w:t>
            </w:r>
          </w:p>
        </w:tc>
        <w:tc>
          <w:tcPr>
            <w:tcW w:type="dxa" w:w="3175"/>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Поле</w:t>
            </w:r>
          </w:p>
        </w:tc>
        <w:tc>
          <w:tcPr>
            <w:tcW w:type="dxa" w:w="124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Тип</w:t>
            </w:r>
          </w:p>
        </w:tc>
        <w:tc>
          <w:tcPr>
            <w:tcW w:type="dxa" w:w="1020"/>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NOT NULL</w:t>
            </w:r>
          </w:p>
        </w:tc>
        <w:tc>
          <w:tcPr>
            <w:tcW w:type="dxa" w:w="181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Default</w:t>
            </w:r>
          </w:p>
        </w:tc>
        <w:tc>
          <w:tcPr>
            <w:tcW w:type="dxa" w:w="73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PK</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index_code</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score_status</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component_status</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formula_status</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4</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methodology_version</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5</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label_ru</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6</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label_en</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7</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warning_ru</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8</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warning_en</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9</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source_url</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updated_at</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PRAGMA table_info(index_methodology_registry); строк: 8.</w:t>
      </w:r>
    </w:p>
    <w:p>
      <w:pPr>
        <w:pStyle w:val="Heading3"/>
      </w:pPr>
      <w:r>
        <w:t>E.18. index_scores — 10 076 строк</w:t>
      </w:r>
    </w:p>
    <w:p>
      <w:pPr>
        <w:pStyle w:val="Caption"/>
      </w:pPr>
      <w:r>
        <w:t>Таблица 67. Схема index_scores</w:t>
      </w:r>
    </w:p>
    <w:tbl>
      <w:tblPr>
        <w:tblW w:type="auto" w:w="0"/>
        <w:jc w:val="center"/>
        <w:tblLayout w:type="autofit"/>
        <w:tblLook w:firstColumn="1" w:firstRow="1" w:lastColumn="0" w:lastRow="0" w:noHBand="0" w:noVBand="1" w:val="04A0"/>
      </w:tblPr>
      <w:tblGrid>
        <w:gridCol w:w="1635"/>
        <w:gridCol w:w="1635"/>
        <w:gridCol w:w="1635"/>
        <w:gridCol w:w="1635"/>
        <w:gridCol w:w="1635"/>
        <w:gridCol w:w="1635"/>
      </w:tblGrid>
      <w:tr>
        <w:trPr>
          <w:tblHeader w:val="true"/>
        </w:trPr>
        <w:tc>
          <w:tcPr>
            <w:tcW w:type="dxa" w:w="45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w:t>
            </w:r>
          </w:p>
        </w:tc>
        <w:tc>
          <w:tcPr>
            <w:tcW w:type="dxa" w:w="3175"/>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Поле</w:t>
            </w:r>
          </w:p>
        </w:tc>
        <w:tc>
          <w:tcPr>
            <w:tcW w:type="dxa" w:w="124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Тип</w:t>
            </w:r>
          </w:p>
        </w:tc>
        <w:tc>
          <w:tcPr>
            <w:tcW w:type="dxa" w:w="1020"/>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NOT NULL</w:t>
            </w:r>
          </w:p>
        </w:tc>
        <w:tc>
          <w:tcPr>
            <w:tcW w:type="dxa" w:w="181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Default</w:t>
            </w:r>
          </w:p>
        </w:tc>
        <w:tc>
          <w:tcPr>
            <w:tcW w:type="dxa" w:w="73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PK</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value_id</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index_code</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iso3</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year</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4</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source_data_year</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5</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score</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6</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rank</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7</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percentile</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8</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rank_delta_1y</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9</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rank_delta_5y</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data_quality</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1.0</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source_type</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'official_snapshot'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12</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source_id</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13</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source_url</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14</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retrieved_at</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15</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release_year</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16</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raw_snapshot_path</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17</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raw_snapshot_sha256</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18</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transformation_run_id</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19</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transform_id</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formula_version</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quality_flag</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22</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is_official</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23</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is_recomputed</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24</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provenance_json</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PRAGMA table_info(index_scores); строк: 10 076.</w:t>
      </w:r>
    </w:p>
    <w:p>
      <w:pPr>
        <w:pStyle w:val="Heading3"/>
      </w:pPr>
      <w:r>
        <w:t>E.19. indices — 8 строк</w:t>
      </w:r>
    </w:p>
    <w:p>
      <w:pPr>
        <w:pStyle w:val="Caption"/>
      </w:pPr>
      <w:r>
        <w:t>Таблица 68. Схема indices</w:t>
      </w:r>
    </w:p>
    <w:tbl>
      <w:tblPr>
        <w:tblW w:type="auto" w:w="0"/>
        <w:jc w:val="center"/>
        <w:tblLayout w:type="autofit"/>
        <w:tblLook w:firstColumn="1" w:firstRow="1" w:lastColumn="0" w:lastRow="0" w:noHBand="0" w:noVBand="1" w:val="04A0"/>
      </w:tblPr>
      <w:tblGrid>
        <w:gridCol w:w="1635"/>
        <w:gridCol w:w="1635"/>
        <w:gridCol w:w="1635"/>
        <w:gridCol w:w="1635"/>
        <w:gridCol w:w="1635"/>
        <w:gridCol w:w="1635"/>
      </w:tblGrid>
      <w:tr>
        <w:trPr>
          <w:tblHeader w:val="true"/>
        </w:trPr>
        <w:tc>
          <w:tcPr>
            <w:tcW w:type="dxa" w:w="45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w:t>
            </w:r>
          </w:p>
        </w:tc>
        <w:tc>
          <w:tcPr>
            <w:tcW w:type="dxa" w:w="3175"/>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Поле</w:t>
            </w:r>
          </w:p>
        </w:tc>
        <w:tc>
          <w:tcPr>
            <w:tcW w:type="dxa" w:w="124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Тип</w:t>
            </w:r>
          </w:p>
        </w:tc>
        <w:tc>
          <w:tcPr>
            <w:tcW w:type="dxa" w:w="1020"/>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NOT NULL</w:t>
            </w:r>
          </w:p>
        </w:tc>
        <w:tc>
          <w:tcPr>
            <w:tcW w:type="dxa" w:w="181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Default</w:t>
            </w:r>
          </w:p>
        </w:tc>
        <w:tc>
          <w:tcPr>
            <w:tcW w:type="dxa" w:w="73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PK</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code</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name</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short_name</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name_ru</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4</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short_name_ru</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5</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name_en</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6</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short_name_en</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7</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theme</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8</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authority</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9</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url</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description_ru</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description_en</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12</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score_scale</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13</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rank_direction</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'desc'</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14</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recompute_mode</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15</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official_or_derived</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16</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is_tz_index</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PRAGMA table_info(indices); строк: 8.</w:t>
      </w:r>
    </w:p>
    <w:p>
      <w:pPr>
        <w:pStyle w:val="Heading3"/>
      </w:pPr>
      <w:r>
        <w:t>E.20. license_registry — 21 строк</w:t>
      </w:r>
    </w:p>
    <w:p>
      <w:pPr>
        <w:pStyle w:val="Caption"/>
      </w:pPr>
      <w:r>
        <w:t>Таблица 69. Схема license_registry</w:t>
      </w:r>
    </w:p>
    <w:tbl>
      <w:tblPr>
        <w:tblW w:type="auto" w:w="0"/>
        <w:jc w:val="center"/>
        <w:tblLayout w:type="autofit"/>
        <w:tblLook w:firstColumn="1" w:firstRow="1" w:lastColumn="0" w:lastRow="0" w:noHBand="0" w:noVBand="1" w:val="04A0"/>
      </w:tblPr>
      <w:tblGrid>
        <w:gridCol w:w="1635"/>
        <w:gridCol w:w="1635"/>
        <w:gridCol w:w="1635"/>
        <w:gridCol w:w="1635"/>
        <w:gridCol w:w="1635"/>
        <w:gridCol w:w="1635"/>
      </w:tblGrid>
      <w:tr>
        <w:trPr>
          <w:tblHeader w:val="true"/>
        </w:trPr>
        <w:tc>
          <w:tcPr>
            <w:tcW w:type="dxa" w:w="45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w:t>
            </w:r>
          </w:p>
        </w:tc>
        <w:tc>
          <w:tcPr>
            <w:tcW w:type="dxa" w:w="3175"/>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Поле</w:t>
            </w:r>
          </w:p>
        </w:tc>
        <w:tc>
          <w:tcPr>
            <w:tcW w:type="dxa" w:w="124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Тип</w:t>
            </w:r>
          </w:p>
        </w:tc>
        <w:tc>
          <w:tcPr>
            <w:tcW w:type="dxa" w:w="1020"/>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NOT NULL</w:t>
            </w:r>
          </w:p>
        </w:tc>
        <w:tc>
          <w:tcPr>
            <w:tcW w:type="dxa" w:w="181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Default</w:t>
            </w:r>
          </w:p>
        </w:tc>
        <w:tc>
          <w:tcPr>
            <w:tcW w:type="dxa" w:w="73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PK</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source_id</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terms_url</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terms_version_date</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storage_allowed</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4</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transformation_allowed</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5</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redistribution_allowed</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6</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attribution_required</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7</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release_archive_decision</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'pending'</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8</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review_status</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'pending_legal_review'</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9</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reviewer_name</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reviewed_at</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evidence_path</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12</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notes</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PRAGMA table_info(license_registry); строк: 21.</w:t>
      </w:r>
    </w:p>
    <w:p>
      <w:pPr>
        <w:pStyle w:val="Heading3"/>
      </w:pPr>
      <w:r>
        <w:t>E.21. methodology_audit_runs — 3 строк</w:t>
      </w:r>
    </w:p>
    <w:p>
      <w:pPr>
        <w:pStyle w:val="Caption"/>
      </w:pPr>
      <w:r>
        <w:t>Таблица 70. Схема methodology_audit_runs</w:t>
      </w:r>
    </w:p>
    <w:tbl>
      <w:tblPr>
        <w:tblW w:type="auto" w:w="0"/>
        <w:jc w:val="center"/>
        <w:tblLayout w:type="autofit"/>
        <w:tblLook w:firstColumn="1" w:firstRow="1" w:lastColumn="0" w:lastRow="0" w:noHBand="0" w:noVBand="1" w:val="04A0"/>
      </w:tblPr>
      <w:tblGrid>
        <w:gridCol w:w="1635"/>
        <w:gridCol w:w="1635"/>
        <w:gridCol w:w="1635"/>
        <w:gridCol w:w="1635"/>
        <w:gridCol w:w="1635"/>
        <w:gridCol w:w="1635"/>
      </w:tblGrid>
      <w:tr>
        <w:trPr>
          <w:tblHeader w:val="true"/>
        </w:trPr>
        <w:tc>
          <w:tcPr>
            <w:tcW w:type="dxa" w:w="45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w:t>
            </w:r>
          </w:p>
        </w:tc>
        <w:tc>
          <w:tcPr>
            <w:tcW w:type="dxa" w:w="3175"/>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Поле</w:t>
            </w:r>
          </w:p>
        </w:tc>
        <w:tc>
          <w:tcPr>
            <w:tcW w:type="dxa" w:w="124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Тип</w:t>
            </w:r>
          </w:p>
        </w:tc>
        <w:tc>
          <w:tcPr>
            <w:tcW w:type="dxa" w:w="1020"/>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NOT NULL</w:t>
            </w:r>
          </w:p>
        </w:tc>
        <w:tc>
          <w:tcPr>
            <w:tcW w:type="dxa" w:w="181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Default</w:t>
            </w:r>
          </w:p>
        </w:tc>
        <w:tc>
          <w:tcPr>
            <w:tcW w:type="dxa" w:w="73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PK</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audit_id</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model_code</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release_year</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methodology_version</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4</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run_count</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5</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countries</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6</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mean_spearman</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7</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min_spearman</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8</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mean_absolute_rank_change</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9</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max_rank_change</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sensitivity_passed</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results_json</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12</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created_at</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PRAGMA table_info(methodology_audit_runs); строк: 3.</w:t>
      </w:r>
    </w:p>
    <w:p>
      <w:pPr>
        <w:pStyle w:val="Heading3"/>
      </w:pPr>
      <w:r>
        <w:t>E.22. national_statistics_metrics — 94 строк</w:t>
      </w:r>
    </w:p>
    <w:p>
      <w:pPr>
        <w:pStyle w:val="Caption"/>
      </w:pPr>
      <w:r>
        <w:t>Таблица 71. Схема national_statistics_metrics</w:t>
      </w:r>
    </w:p>
    <w:tbl>
      <w:tblPr>
        <w:tblW w:type="auto" w:w="0"/>
        <w:jc w:val="center"/>
        <w:tblLayout w:type="autofit"/>
        <w:tblLook w:firstColumn="1" w:firstRow="1" w:lastColumn="0" w:lastRow="0" w:noHBand="0" w:noVBand="1" w:val="04A0"/>
      </w:tblPr>
      <w:tblGrid>
        <w:gridCol w:w="1635"/>
        <w:gridCol w:w="1635"/>
        <w:gridCol w:w="1635"/>
        <w:gridCol w:w="1635"/>
        <w:gridCol w:w="1635"/>
        <w:gridCol w:w="1635"/>
      </w:tblGrid>
      <w:tr>
        <w:trPr>
          <w:tblHeader w:val="true"/>
        </w:trPr>
        <w:tc>
          <w:tcPr>
            <w:tcW w:type="dxa" w:w="45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w:t>
            </w:r>
          </w:p>
        </w:tc>
        <w:tc>
          <w:tcPr>
            <w:tcW w:type="dxa" w:w="3175"/>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Поле</w:t>
            </w:r>
          </w:p>
        </w:tc>
        <w:tc>
          <w:tcPr>
            <w:tcW w:type="dxa" w:w="124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Тип</w:t>
            </w:r>
          </w:p>
        </w:tc>
        <w:tc>
          <w:tcPr>
            <w:tcW w:type="dxa" w:w="1020"/>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NOT NULL</w:t>
            </w:r>
          </w:p>
        </w:tc>
        <w:tc>
          <w:tcPr>
            <w:tcW w:type="dxa" w:w="181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Default</w:t>
            </w:r>
          </w:p>
        </w:tc>
        <w:tc>
          <w:tcPr>
            <w:tcW w:type="dxa" w:w="73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PK</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metric_id</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iso3</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metric_code</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metric_name_ru</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4</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metric_name_en</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5</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year</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6</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value</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7</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unit</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8</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statistical_office</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9</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official_host</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source_url</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retrieved_at</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12</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raw_snapshot_path</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13</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raw_snapshot_sha256</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14</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transform_id</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15</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provenance_json</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PRAGMA table_info(national_statistics_metrics); строк: 94.</w:t>
      </w:r>
    </w:p>
    <w:p>
      <w:pPr>
        <w:pStyle w:val="Heading3"/>
      </w:pPr>
      <w:r>
        <w:t>E.23. operational_runs — 4 строк</w:t>
      </w:r>
    </w:p>
    <w:p>
      <w:pPr>
        <w:pStyle w:val="Caption"/>
      </w:pPr>
      <w:r>
        <w:t>Таблица 72. Схема operational_runs</w:t>
      </w:r>
    </w:p>
    <w:tbl>
      <w:tblPr>
        <w:tblW w:type="auto" w:w="0"/>
        <w:jc w:val="center"/>
        <w:tblLayout w:type="autofit"/>
        <w:tblLook w:firstColumn="1" w:firstRow="1" w:lastColumn="0" w:lastRow="0" w:noHBand="0" w:noVBand="1" w:val="04A0"/>
      </w:tblPr>
      <w:tblGrid>
        <w:gridCol w:w="1635"/>
        <w:gridCol w:w="1635"/>
        <w:gridCol w:w="1635"/>
        <w:gridCol w:w="1635"/>
        <w:gridCol w:w="1635"/>
        <w:gridCol w:w="1635"/>
      </w:tblGrid>
      <w:tr>
        <w:trPr>
          <w:tblHeader w:val="true"/>
        </w:trPr>
        <w:tc>
          <w:tcPr>
            <w:tcW w:type="dxa" w:w="45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w:t>
            </w:r>
          </w:p>
        </w:tc>
        <w:tc>
          <w:tcPr>
            <w:tcW w:type="dxa" w:w="3175"/>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Поле</w:t>
            </w:r>
          </w:p>
        </w:tc>
        <w:tc>
          <w:tcPr>
            <w:tcW w:type="dxa" w:w="124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Тип</w:t>
            </w:r>
          </w:p>
        </w:tc>
        <w:tc>
          <w:tcPr>
            <w:tcW w:type="dxa" w:w="1020"/>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NOT NULL</w:t>
            </w:r>
          </w:p>
        </w:tc>
        <w:tc>
          <w:tcPr>
            <w:tcW w:type="dxa" w:w="181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Default</w:t>
            </w:r>
          </w:p>
        </w:tc>
        <w:tc>
          <w:tcPr>
            <w:tcW w:type="dxa" w:w="73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PK</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run_id</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job_code</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started_at</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completed_at</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4</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status</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5</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attempts</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6</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rows_loaded</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7</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message</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8</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log_path</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9</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metadata_json</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PRAGMA table_info(operational_runs); строк: 4.</w:t>
      </w:r>
    </w:p>
    <w:p>
      <w:pPr>
        <w:pStyle w:val="Heading3"/>
      </w:pPr>
      <w:r>
        <w:t>E.24. policy_brief_items — 8 строк</w:t>
      </w:r>
    </w:p>
    <w:p>
      <w:pPr>
        <w:pStyle w:val="Caption"/>
      </w:pPr>
      <w:r>
        <w:t>Таблица 73. Схема policy_brief_items</w:t>
      </w:r>
    </w:p>
    <w:tbl>
      <w:tblPr>
        <w:tblW w:type="auto" w:w="0"/>
        <w:jc w:val="center"/>
        <w:tblLayout w:type="autofit"/>
        <w:tblLook w:firstColumn="1" w:firstRow="1" w:lastColumn="0" w:lastRow="0" w:noHBand="0" w:noVBand="1" w:val="04A0"/>
      </w:tblPr>
      <w:tblGrid>
        <w:gridCol w:w="1635"/>
        <w:gridCol w:w="1635"/>
        <w:gridCol w:w="1635"/>
        <w:gridCol w:w="1635"/>
        <w:gridCol w:w="1635"/>
        <w:gridCol w:w="1635"/>
      </w:tblGrid>
      <w:tr>
        <w:trPr>
          <w:tblHeader w:val="true"/>
        </w:trPr>
        <w:tc>
          <w:tcPr>
            <w:tcW w:type="dxa" w:w="45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w:t>
            </w:r>
          </w:p>
        </w:tc>
        <w:tc>
          <w:tcPr>
            <w:tcW w:type="dxa" w:w="3175"/>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Поле</w:t>
            </w:r>
          </w:p>
        </w:tc>
        <w:tc>
          <w:tcPr>
            <w:tcW w:type="dxa" w:w="124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Тип</w:t>
            </w:r>
          </w:p>
        </w:tc>
        <w:tc>
          <w:tcPr>
            <w:tcW w:type="dxa" w:w="1020"/>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NOT NULL</w:t>
            </w:r>
          </w:p>
        </w:tc>
        <w:tc>
          <w:tcPr>
            <w:tcW w:type="dxa" w:w="181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Default</w:t>
            </w:r>
          </w:p>
        </w:tc>
        <w:tc>
          <w:tcPr>
            <w:tcW w:type="dxa" w:w="73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PK</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item_id</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iso3</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priority</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title_ru</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4</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title_en</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5</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problem_ru</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6</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problem_en</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7</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indicator_ru</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8</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indicator_en</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9</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current_value</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unit</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source_data_year</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12</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source_id</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13</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benchmark_ru</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14</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benchmark_en</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15</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measure_ru</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16</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measure_en</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17</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actor_ru</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18</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actor_en</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19</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horizon</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target_kpi_ru</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target_kpi_en</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22</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expected_effect_ru</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23</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expected_effect_en</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24</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risk_ru</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25</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risk_en</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26</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resources_ru</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27</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resources_en</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28</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monitoring_ru</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29</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monitoring_en</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relation_to_tz</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evidence_value_id</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32</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editorial_status</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33</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updated_at</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PRAGMA table_info(policy_brief_items); строк: 8.</w:t>
      </w:r>
    </w:p>
    <w:p>
      <w:pPr>
        <w:pStyle w:val="Heading3"/>
      </w:pPr>
      <w:r>
        <w:t>E.25. qs_institution_rankings — 2 185 строк</w:t>
      </w:r>
    </w:p>
    <w:p>
      <w:pPr>
        <w:pStyle w:val="Caption"/>
      </w:pPr>
      <w:r>
        <w:t>Таблица 74. Схема qs_institution_rankings</w:t>
      </w:r>
    </w:p>
    <w:tbl>
      <w:tblPr>
        <w:tblW w:type="auto" w:w="0"/>
        <w:jc w:val="center"/>
        <w:tblLayout w:type="autofit"/>
        <w:tblLook w:firstColumn="1" w:firstRow="1" w:lastColumn="0" w:lastRow="0" w:noHBand="0" w:noVBand="1" w:val="04A0"/>
      </w:tblPr>
      <w:tblGrid>
        <w:gridCol w:w="1635"/>
        <w:gridCol w:w="1635"/>
        <w:gridCol w:w="1635"/>
        <w:gridCol w:w="1635"/>
        <w:gridCol w:w="1635"/>
        <w:gridCol w:w="1635"/>
      </w:tblGrid>
      <w:tr>
        <w:trPr>
          <w:tblHeader w:val="true"/>
        </w:trPr>
        <w:tc>
          <w:tcPr>
            <w:tcW w:type="dxa" w:w="45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w:t>
            </w:r>
          </w:p>
        </w:tc>
        <w:tc>
          <w:tcPr>
            <w:tcW w:type="dxa" w:w="3175"/>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Поле</w:t>
            </w:r>
          </w:p>
        </w:tc>
        <w:tc>
          <w:tcPr>
            <w:tcW w:type="dxa" w:w="124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Тип</w:t>
            </w:r>
          </w:p>
        </w:tc>
        <w:tc>
          <w:tcPr>
            <w:tcW w:type="dxa" w:w="1020"/>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NOT NULL</w:t>
            </w:r>
          </w:p>
        </w:tc>
        <w:tc>
          <w:tcPr>
            <w:tcW w:type="dxa" w:w="181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Default</w:t>
            </w:r>
          </w:p>
        </w:tc>
        <w:tc>
          <w:tcPr>
            <w:tcW w:type="dxa" w:w="73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PK</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id</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year</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score_nid</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nid</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4</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core_id</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5</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title</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6</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qs_path</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7</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region</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8</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country</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9</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iso3</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city</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overall_score</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12</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rank_display</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13</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rank</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14</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indicators_json</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15</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source_id</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16</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source_url</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17</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retrieved_at</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18</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raw_snapshot_path</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19</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raw_snapshot_sha256</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quality_flag</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PRAGMA table_info(qs_institution_rankings); строк: 2 185.</w:t>
      </w:r>
    </w:p>
    <w:p>
      <w:pPr>
        <w:pStyle w:val="Heading3"/>
      </w:pPr>
      <w:r>
        <w:t>E.26. quality_flags — 7 строк</w:t>
      </w:r>
    </w:p>
    <w:p>
      <w:pPr>
        <w:pStyle w:val="Caption"/>
      </w:pPr>
      <w:r>
        <w:t>Таблица 75. Схема quality_flags</w:t>
      </w:r>
    </w:p>
    <w:tbl>
      <w:tblPr>
        <w:tblW w:type="auto" w:w="0"/>
        <w:jc w:val="center"/>
        <w:tblLayout w:type="autofit"/>
        <w:tblLook w:firstColumn="1" w:firstRow="1" w:lastColumn="0" w:lastRow="0" w:noHBand="0" w:noVBand="1" w:val="04A0"/>
      </w:tblPr>
      <w:tblGrid>
        <w:gridCol w:w="1635"/>
        <w:gridCol w:w="1635"/>
        <w:gridCol w:w="1635"/>
        <w:gridCol w:w="1635"/>
        <w:gridCol w:w="1635"/>
        <w:gridCol w:w="1635"/>
      </w:tblGrid>
      <w:tr>
        <w:trPr>
          <w:tblHeader w:val="true"/>
        </w:trPr>
        <w:tc>
          <w:tcPr>
            <w:tcW w:type="dxa" w:w="45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w:t>
            </w:r>
          </w:p>
        </w:tc>
        <w:tc>
          <w:tcPr>
            <w:tcW w:type="dxa" w:w="3175"/>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Поле</w:t>
            </w:r>
          </w:p>
        </w:tc>
        <w:tc>
          <w:tcPr>
            <w:tcW w:type="dxa" w:w="124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Тип</w:t>
            </w:r>
          </w:p>
        </w:tc>
        <w:tc>
          <w:tcPr>
            <w:tcW w:type="dxa" w:w="1020"/>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NOT NULL</w:t>
            </w:r>
          </w:p>
        </w:tc>
        <w:tc>
          <w:tcPr>
            <w:tcW w:type="dxa" w:w="181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Default</w:t>
            </w:r>
          </w:p>
        </w:tc>
        <w:tc>
          <w:tcPr>
            <w:tcW w:type="dxa" w:w="73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PK</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quality_flag</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label_ru</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label_en</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severity</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4</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description_ru</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5</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description_en</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PRAGMA table_info(quality_flags); строк: 7.</w:t>
      </w:r>
    </w:p>
    <w:p>
      <w:pPr>
        <w:pStyle w:val="Heading3"/>
      </w:pPr>
      <w:r>
        <w:t>E.27. rankings — 9 918 строк</w:t>
      </w:r>
    </w:p>
    <w:p>
      <w:pPr>
        <w:pStyle w:val="Caption"/>
      </w:pPr>
      <w:r>
        <w:t>Таблица 76. Схема rankings</w:t>
      </w:r>
    </w:p>
    <w:tbl>
      <w:tblPr>
        <w:tblW w:type="auto" w:w="0"/>
        <w:jc w:val="center"/>
        <w:tblLayout w:type="autofit"/>
        <w:tblLook w:firstColumn="1" w:firstRow="1" w:lastColumn="0" w:lastRow="0" w:noHBand="0" w:noVBand="1" w:val="04A0"/>
      </w:tblPr>
      <w:tblGrid>
        <w:gridCol w:w="1635"/>
        <w:gridCol w:w="1635"/>
        <w:gridCol w:w="1635"/>
        <w:gridCol w:w="1635"/>
        <w:gridCol w:w="1635"/>
        <w:gridCol w:w="1635"/>
      </w:tblGrid>
      <w:tr>
        <w:trPr>
          <w:tblHeader w:val="true"/>
        </w:trPr>
        <w:tc>
          <w:tcPr>
            <w:tcW w:type="dxa" w:w="45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w:t>
            </w:r>
          </w:p>
        </w:tc>
        <w:tc>
          <w:tcPr>
            <w:tcW w:type="dxa" w:w="3175"/>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Поле</w:t>
            </w:r>
          </w:p>
        </w:tc>
        <w:tc>
          <w:tcPr>
            <w:tcW w:type="dxa" w:w="124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Тип</w:t>
            </w:r>
          </w:p>
        </w:tc>
        <w:tc>
          <w:tcPr>
            <w:tcW w:type="dxa" w:w="1020"/>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NOT NULL</w:t>
            </w:r>
          </w:p>
        </w:tc>
        <w:tc>
          <w:tcPr>
            <w:tcW w:type="dxa" w:w="181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Default</w:t>
            </w:r>
          </w:p>
        </w:tc>
        <w:tc>
          <w:tcPr>
            <w:tcW w:type="dxa" w:w="73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PK</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index_code</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iso3</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year</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rank</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4</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score</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5</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percentile</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6</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value_id</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PRAGMA table_info(rankings); строк: 9 918.</w:t>
      </w:r>
    </w:p>
    <w:p>
      <w:pPr>
        <w:pStyle w:val="Heading3"/>
      </w:pPr>
      <w:r>
        <w:t>E.28. raw_snapshots — 275 строк</w:t>
      </w:r>
    </w:p>
    <w:p>
      <w:pPr>
        <w:pStyle w:val="Caption"/>
      </w:pPr>
      <w:r>
        <w:t>Таблица 77. Схема raw_snapshots</w:t>
      </w:r>
    </w:p>
    <w:tbl>
      <w:tblPr>
        <w:tblW w:type="auto" w:w="0"/>
        <w:jc w:val="center"/>
        <w:tblLayout w:type="autofit"/>
        <w:tblLook w:firstColumn="1" w:firstRow="1" w:lastColumn="0" w:lastRow="0" w:noHBand="0" w:noVBand="1" w:val="04A0"/>
      </w:tblPr>
      <w:tblGrid>
        <w:gridCol w:w="1635"/>
        <w:gridCol w:w="1635"/>
        <w:gridCol w:w="1635"/>
        <w:gridCol w:w="1635"/>
        <w:gridCol w:w="1635"/>
        <w:gridCol w:w="1635"/>
      </w:tblGrid>
      <w:tr>
        <w:trPr>
          <w:tblHeader w:val="true"/>
        </w:trPr>
        <w:tc>
          <w:tcPr>
            <w:tcW w:type="dxa" w:w="45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w:t>
            </w:r>
          </w:p>
        </w:tc>
        <w:tc>
          <w:tcPr>
            <w:tcW w:type="dxa" w:w="3175"/>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Поле</w:t>
            </w:r>
          </w:p>
        </w:tc>
        <w:tc>
          <w:tcPr>
            <w:tcW w:type="dxa" w:w="124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Тип</w:t>
            </w:r>
          </w:p>
        </w:tc>
        <w:tc>
          <w:tcPr>
            <w:tcW w:type="dxa" w:w="1020"/>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NOT NULL</w:t>
            </w:r>
          </w:p>
        </w:tc>
        <w:tc>
          <w:tcPr>
            <w:tcW w:type="dxa" w:w="181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Default</w:t>
            </w:r>
          </w:p>
        </w:tc>
        <w:tc>
          <w:tcPr>
            <w:tcW w:type="dxa" w:w="73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PK</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snapshot_id</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source_id</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release_year</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retrieved_at</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4</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source_url</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5</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raw_snapshot_path</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6</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raw_snapshot_sha256</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7</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content_type</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8</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bytes_count</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9</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is_official</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license_or_terms</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PRAGMA table_info(raw_snapshots); строк: 275.</w:t>
      </w:r>
    </w:p>
    <w:p>
      <w:pPr>
        <w:pStyle w:val="Heading3"/>
      </w:pPr>
      <w:r>
        <w:t>E.29. recommendations — 9 917 строк</w:t>
      </w:r>
    </w:p>
    <w:p>
      <w:pPr>
        <w:pStyle w:val="Caption"/>
      </w:pPr>
      <w:r>
        <w:t>Таблица 78. Схема recommendations</w:t>
      </w:r>
    </w:p>
    <w:tbl>
      <w:tblPr>
        <w:tblW w:type="auto" w:w="0"/>
        <w:jc w:val="center"/>
        <w:tblLayout w:type="autofit"/>
        <w:tblLook w:firstColumn="1" w:firstRow="1" w:lastColumn="0" w:lastRow="0" w:noHBand="0" w:noVBand="1" w:val="04A0"/>
      </w:tblPr>
      <w:tblGrid>
        <w:gridCol w:w="1635"/>
        <w:gridCol w:w="1635"/>
        <w:gridCol w:w="1635"/>
        <w:gridCol w:w="1635"/>
        <w:gridCol w:w="1635"/>
        <w:gridCol w:w="1635"/>
      </w:tblGrid>
      <w:tr>
        <w:trPr>
          <w:tblHeader w:val="true"/>
        </w:trPr>
        <w:tc>
          <w:tcPr>
            <w:tcW w:type="dxa" w:w="45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w:t>
            </w:r>
          </w:p>
        </w:tc>
        <w:tc>
          <w:tcPr>
            <w:tcW w:type="dxa" w:w="3175"/>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Поле</w:t>
            </w:r>
          </w:p>
        </w:tc>
        <w:tc>
          <w:tcPr>
            <w:tcW w:type="dxa" w:w="124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Тип</w:t>
            </w:r>
          </w:p>
        </w:tc>
        <w:tc>
          <w:tcPr>
            <w:tcW w:type="dxa" w:w="1020"/>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NOT NULL</w:t>
            </w:r>
          </w:p>
        </w:tc>
        <w:tc>
          <w:tcPr>
            <w:tcW w:type="dxa" w:w="181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Default</w:t>
            </w:r>
          </w:p>
        </w:tc>
        <w:tc>
          <w:tcPr>
            <w:tcW w:type="dxa" w:w="73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PK</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id</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iso3</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index_code</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component_code</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4</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year</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2025</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5</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priority_score</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6</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title_ru</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7</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title_en</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8</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text_ru</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9</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text_en</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horizon</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policy_area</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PRAGMA table_info(recommendations); строк: 9 917.</w:t>
      </w:r>
    </w:p>
    <w:p>
      <w:pPr>
        <w:pStyle w:val="Heading3"/>
      </w:pPr>
      <w:r>
        <w:t>E.30. reproducibility_artifacts — 376 строк</w:t>
      </w:r>
    </w:p>
    <w:p>
      <w:pPr>
        <w:pStyle w:val="Caption"/>
      </w:pPr>
      <w:r>
        <w:t>Таблица 79. Схема reproducibility_artifacts</w:t>
      </w:r>
    </w:p>
    <w:tbl>
      <w:tblPr>
        <w:tblW w:type="auto" w:w="0"/>
        <w:jc w:val="center"/>
        <w:tblLayout w:type="autofit"/>
        <w:tblLook w:firstColumn="1" w:firstRow="1" w:lastColumn="0" w:lastRow="0" w:noHBand="0" w:noVBand="1" w:val="04A0"/>
      </w:tblPr>
      <w:tblGrid>
        <w:gridCol w:w="1635"/>
        <w:gridCol w:w="1635"/>
        <w:gridCol w:w="1635"/>
        <w:gridCol w:w="1635"/>
        <w:gridCol w:w="1635"/>
        <w:gridCol w:w="1635"/>
      </w:tblGrid>
      <w:tr>
        <w:trPr>
          <w:tblHeader w:val="true"/>
        </w:trPr>
        <w:tc>
          <w:tcPr>
            <w:tcW w:type="dxa" w:w="45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w:t>
            </w:r>
          </w:p>
        </w:tc>
        <w:tc>
          <w:tcPr>
            <w:tcW w:type="dxa" w:w="3175"/>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Поле</w:t>
            </w:r>
          </w:p>
        </w:tc>
        <w:tc>
          <w:tcPr>
            <w:tcW w:type="dxa" w:w="124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Тип</w:t>
            </w:r>
          </w:p>
        </w:tc>
        <w:tc>
          <w:tcPr>
            <w:tcW w:type="dxa" w:w="1020"/>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NOT NULL</w:t>
            </w:r>
          </w:p>
        </w:tc>
        <w:tc>
          <w:tcPr>
            <w:tcW w:type="dxa" w:w="181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Default</w:t>
            </w:r>
          </w:p>
        </w:tc>
        <w:tc>
          <w:tcPr>
            <w:tcW w:type="dxa" w:w="73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PK</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artifact_id</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snapshot_id</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artifact_type</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artifact_path</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4</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artifact_sha256</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5</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rows_exported</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6</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source_url</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7</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expected_raw_sha256</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8</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distribution_decision</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9</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metadata_json</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created_at</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PRAGMA table_info(reproducibility_artifacts); строк: 376.</w:t>
      </w:r>
    </w:p>
    <w:p>
      <w:pPr>
        <w:pStyle w:val="Heading3"/>
      </w:pPr>
      <w:r>
        <w:t>E.31. source_observations — 18 569 строк</w:t>
      </w:r>
    </w:p>
    <w:p>
      <w:pPr>
        <w:pStyle w:val="Caption"/>
      </w:pPr>
      <w:r>
        <w:t>Таблица 80. Схема source_observations</w:t>
      </w:r>
    </w:p>
    <w:tbl>
      <w:tblPr>
        <w:tblW w:type="auto" w:w="0"/>
        <w:jc w:val="center"/>
        <w:tblLayout w:type="autofit"/>
        <w:tblLook w:firstColumn="1" w:firstRow="1" w:lastColumn="0" w:lastRow="0" w:noHBand="0" w:noVBand="1" w:val="04A0"/>
      </w:tblPr>
      <w:tblGrid>
        <w:gridCol w:w="1635"/>
        <w:gridCol w:w="1635"/>
        <w:gridCol w:w="1635"/>
        <w:gridCol w:w="1635"/>
        <w:gridCol w:w="1635"/>
        <w:gridCol w:w="1635"/>
      </w:tblGrid>
      <w:tr>
        <w:trPr>
          <w:tblHeader w:val="true"/>
        </w:trPr>
        <w:tc>
          <w:tcPr>
            <w:tcW w:type="dxa" w:w="45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w:t>
            </w:r>
          </w:p>
        </w:tc>
        <w:tc>
          <w:tcPr>
            <w:tcW w:type="dxa" w:w="3175"/>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Поле</w:t>
            </w:r>
          </w:p>
        </w:tc>
        <w:tc>
          <w:tcPr>
            <w:tcW w:type="dxa" w:w="124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Тип</w:t>
            </w:r>
          </w:p>
        </w:tc>
        <w:tc>
          <w:tcPr>
            <w:tcW w:type="dxa" w:w="1020"/>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NOT NULL</w:t>
            </w:r>
          </w:p>
        </w:tc>
        <w:tc>
          <w:tcPr>
            <w:tcW w:type="dxa" w:w="181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Default</w:t>
            </w:r>
          </w:p>
        </w:tc>
        <w:tc>
          <w:tcPr>
            <w:tcW w:type="dxa" w:w="73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PK</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observation_id</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index_code</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component_code</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iso3</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4</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year</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5</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source_data_year</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6</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raw_value</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7</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unit</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8</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normalized_score</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9</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selected</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source_id</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source_group</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12</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source_priority</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13</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indicator_code</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14</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dimensions_json</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15</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selection_rule</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16</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source_url</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17</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retrieved_at</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18</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release_year</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19</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raw_snapshot_path</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raw_snapshot_sha256</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transformation_run_id</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22</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transform_id</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23</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quality_flag</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24</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provenance_json</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PRAGMA table_info(source_observations); строк: 18 569.</w:t>
      </w:r>
    </w:p>
    <w:p>
      <w:pPr>
        <w:pStyle w:val="Heading3"/>
      </w:pPr>
      <w:r>
        <w:t>E.32. source_registry — 21 строк</w:t>
      </w:r>
    </w:p>
    <w:p>
      <w:pPr>
        <w:pStyle w:val="Caption"/>
      </w:pPr>
      <w:r>
        <w:t>Таблица 81. Схема source_registry</w:t>
      </w:r>
    </w:p>
    <w:tbl>
      <w:tblPr>
        <w:tblW w:type="auto" w:w="0"/>
        <w:jc w:val="center"/>
        <w:tblLayout w:type="autofit"/>
        <w:tblLook w:firstColumn="1" w:firstRow="1" w:lastColumn="0" w:lastRow="0" w:noHBand="0" w:noVBand="1" w:val="04A0"/>
      </w:tblPr>
      <w:tblGrid>
        <w:gridCol w:w="1635"/>
        <w:gridCol w:w="1635"/>
        <w:gridCol w:w="1635"/>
        <w:gridCol w:w="1635"/>
        <w:gridCol w:w="1635"/>
        <w:gridCol w:w="1635"/>
      </w:tblGrid>
      <w:tr>
        <w:trPr>
          <w:tblHeader w:val="true"/>
        </w:trPr>
        <w:tc>
          <w:tcPr>
            <w:tcW w:type="dxa" w:w="45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w:t>
            </w:r>
          </w:p>
        </w:tc>
        <w:tc>
          <w:tcPr>
            <w:tcW w:type="dxa" w:w="3175"/>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Поле</w:t>
            </w:r>
          </w:p>
        </w:tc>
        <w:tc>
          <w:tcPr>
            <w:tcW w:type="dxa" w:w="124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Тип</w:t>
            </w:r>
          </w:p>
        </w:tc>
        <w:tc>
          <w:tcPr>
            <w:tcW w:type="dxa" w:w="1020"/>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NOT NULL</w:t>
            </w:r>
          </w:p>
        </w:tc>
        <w:tc>
          <w:tcPr>
            <w:tcW w:type="dxa" w:w="181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Default</w:t>
            </w:r>
          </w:p>
        </w:tc>
        <w:tc>
          <w:tcPr>
            <w:tcW w:type="dxa" w:w="73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PK</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source_id</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source_code</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source_name</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title</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4</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owner</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5</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url</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6</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source_url</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7</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access_mode</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8</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update_frequency</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9</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license_or_terms</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license_note</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automation_status</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12</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source_role</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'numeric_source'</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13</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retrieved_at</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14</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release_year</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15</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latest_snapshot_id</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16</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is_official</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17</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free_access</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PRAGMA table_info(source_registry); строк: 21.</w:t>
      </w:r>
    </w:p>
    <w:p>
      <w:pPr>
        <w:pStyle w:val="Heading3"/>
      </w:pPr>
      <w:r>
        <w:t>E.33. training_model_components — 4 943 строк</w:t>
      </w:r>
    </w:p>
    <w:p>
      <w:pPr>
        <w:pStyle w:val="Caption"/>
      </w:pPr>
      <w:r>
        <w:t>Таблица 82. Схема training_model_components</w:t>
      </w:r>
    </w:p>
    <w:tbl>
      <w:tblPr>
        <w:tblW w:type="auto" w:w="0"/>
        <w:jc w:val="center"/>
        <w:tblLayout w:type="autofit"/>
        <w:tblLook w:firstColumn="1" w:firstRow="1" w:lastColumn="0" w:lastRow="0" w:noHBand="0" w:noVBand="1" w:val="04A0"/>
      </w:tblPr>
      <w:tblGrid>
        <w:gridCol w:w="1635"/>
        <w:gridCol w:w="1635"/>
        <w:gridCol w:w="1635"/>
        <w:gridCol w:w="1635"/>
        <w:gridCol w:w="1635"/>
        <w:gridCol w:w="1635"/>
      </w:tblGrid>
      <w:tr>
        <w:trPr>
          <w:tblHeader w:val="true"/>
        </w:trPr>
        <w:tc>
          <w:tcPr>
            <w:tcW w:type="dxa" w:w="45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w:t>
            </w:r>
          </w:p>
        </w:tc>
        <w:tc>
          <w:tcPr>
            <w:tcW w:type="dxa" w:w="3175"/>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Поле</w:t>
            </w:r>
          </w:p>
        </w:tc>
        <w:tc>
          <w:tcPr>
            <w:tcW w:type="dxa" w:w="124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Тип</w:t>
            </w:r>
          </w:p>
        </w:tc>
        <w:tc>
          <w:tcPr>
            <w:tcW w:type="dxa" w:w="1020"/>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NOT NULL</w:t>
            </w:r>
          </w:p>
        </w:tc>
        <w:tc>
          <w:tcPr>
            <w:tcW w:type="dxa" w:w="181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Default</w:t>
            </w:r>
          </w:p>
        </w:tc>
        <w:tc>
          <w:tcPr>
            <w:tcW w:type="dxa" w:w="73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PK</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value_id</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model_value_id</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iso3</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year</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4</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block_code</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5</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block_name_ru</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6</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block_name_en</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7</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component_ref</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8</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component_name_ru</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9</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component_name_en</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source_value_id</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source_data_year</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12</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raw_value</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13</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normalized_score</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14</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weight</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15</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weighted_contribution</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16</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source_id</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17</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source_group</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18</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quality_flag</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19</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provenance_json</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PRAGMA table_info(training_model_components); строк: 4 943.</w:t>
      </w:r>
    </w:p>
    <w:p>
      <w:pPr>
        <w:pStyle w:val="Heading3"/>
      </w:pPr>
      <w:r>
        <w:t>E.34. training_model_scores — 508 строк</w:t>
      </w:r>
    </w:p>
    <w:p>
      <w:pPr>
        <w:pStyle w:val="Caption"/>
      </w:pPr>
      <w:r>
        <w:t>Таблица 83. Схема training_model_scores</w:t>
      </w:r>
    </w:p>
    <w:tbl>
      <w:tblPr>
        <w:tblW w:type="auto" w:w="0"/>
        <w:jc w:val="center"/>
        <w:tblLayout w:type="autofit"/>
        <w:tblLook w:firstColumn="1" w:firstRow="1" w:lastColumn="0" w:lastRow="0" w:noHBand="0" w:noVBand="1" w:val="04A0"/>
      </w:tblPr>
      <w:tblGrid>
        <w:gridCol w:w="1635"/>
        <w:gridCol w:w="1635"/>
        <w:gridCol w:w="1635"/>
        <w:gridCol w:w="1635"/>
        <w:gridCol w:w="1635"/>
        <w:gridCol w:w="1635"/>
      </w:tblGrid>
      <w:tr>
        <w:trPr>
          <w:tblHeader w:val="true"/>
        </w:trPr>
        <w:tc>
          <w:tcPr>
            <w:tcW w:type="dxa" w:w="45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w:t>
            </w:r>
          </w:p>
        </w:tc>
        <w:tc>
          <w:tcPr>
            <w:tcW w:type="dxa" w:w="3175"/>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Поле</w:t>
            </w:r>
          </w:p>
        </w:tc>
        <w:tc>
          <w:tcPr>
            <w:tcW w:type="dxa" w:w="124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Тип</w:t>
            </w:r>
          </w:p>
        </w:tc>
        <w:tc>
          <w:tcPr>
            <w:tcW w:type="dxa" w:w="1020"/>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NOT NULL</w:t>
            </w:r>
          </w:p>
        </w:tc>
        <w:tc>
          <w:tcPr>
            <w:tcW w:type="dxa" w:w="181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Default</w:t>
            </w:r>
          </w:p>
        </w:tc>
        <w:tc>
          <w:tcPr>
            <w:tcW w:type="dxa" w:w="73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PK</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value_id</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iso3</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year</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requested_year</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4</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score</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5</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rank</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6</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percentile</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7</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data_quality</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8</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available_block_weight</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REAL</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9</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source_group_coverage</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formula_version</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quality_flag</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12</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provenance_json</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PRAGMA table_info(training_model_scores); строк: 508.</w:t>
      </w:r>
    </w:p>
    <w:p>
      <w:pPr>
        <w:pStyle w:val="Heading3"/>
      </w:pPr>
      <w:r>
        <w:t>E.35. transformation_runs — 191 строк</w:t>
      </w:r>
    </w:p>
    <w:p>
      <w:pPr>
        <w:pStyle w:val="Caption"/>
      </w:pPr>
      <w:r>
        <w:t>Таблица 84. Схема transformation_runs</w:t>
      </w:r>
    </w:p>
    <w:tbl>
      <w:tblPr>
        <w:tblW w:type="auto" w:w="0"/>
        <w:jc w:val="center"/>
        <w:tblLayout w:type="autofit"/>
        <w:tblLook w:firstColumn="1" w:firstRow="1" w:lastColumn="0" w:lastRow="0" w:noHBand="0" w:noVBand="1" w:val="04A0"/>
      </w:tblPr>
      <w:tblGrid>
        <w:gridCol w:w="1635"/>
        <w:gridCol w:w="1635"/>
        <w:gridCol w:w="1635"/>
        <w:gridCol w:w="1635"/>
        <w:gridCol w:w="1635"/>
        <w:gridCol w:w="1635"/>
      </w:tblGrid>
      <w:tr>
        <w:trPr>
          <w:tblHeader w:val="true"/>
        </w:trPr>
        <w:tc>
          <w:tcPr>
            <w:tcW w:type="dxa" w:w="45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w:t>
            </w:r>
          </w:p>
        </w:tc>
        <w:tc>
          <w:tcPr>
            <w:tcW w:type="dxa" w:w="3175"/>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Поле</w:t>
            </w:r>
          </w:p>
        </w:tc>
        <w:tc>
          <w:tcPr>
            <w:tcW w:type="dxa" w:w="124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Тип</w:t>
            </w:r>
          </w:p>
        </w:tc>
        <w:tc>
          <w:tcPr>
            <w:tcW w:type="dxa" w:w="1020"/>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NOT NULL</w:t>
            </w:r>
          </w:p>
        </w:tc>
        <w:tc>
          <w:tcPr>
            <w:tcW w:type="dxa" w:w="181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Default</w:t>
            </w:r>
          </w:p>
        </w:tc>
        <w:tc>
          <w:tcPr>
            <w:tcW w:type="dxa" w:w="73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PK</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transformation_run_id</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transform_id</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source_id</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snapshot_id</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4</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started_at</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5</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completed_at</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6</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code_version</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7</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rows_loaded</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INTEGER</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8</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notes</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PRAGMA table_info(transformation_runs); строк: 191.</w:t>
      </w:r>
    </w:p>
    <w:p>
      <w:pPr>
        <w:pStyle w:val="Heading3"/>
      </w:pPr>
      <w:r>
        <w:t>E.36. ui_translations — 10 строк</w:t>
      </w:r>
    </w:p>
    <w:p>
      <w:pPr>
        <w:pStyle w:val="Caption"/>
      </w:pPr>
      <w:r>
        <w:t>Таблица 85. Схема ui_translations</w:t>
      </w:r>
    </w:p>
    <w:tbl>
      <w:tblPr>
        <w:tblW w:type="auto" w:w="0"/>
        <w:jc w:val="center"/>
        <w:tblLayout w:type="autofit"/>
        <w:tblLook w:firstColumn="1" w:firstRow="1" w:lastColumn="0" w:lastRow="0" w:noHBand="0" w:noVBand="1" w:val="04A0"/>
      </w:tblPr>
      <w:tblGrid>
        <w:gridCol w:w="1635"/>
        <w:gridCol w:w="1635"/>
        <w:gridCol w:w="1635"/>
        <w:gridCol w:w="1635"/>
        <w:gridCol w:w="1635"/>
        <w:gridCol w:w="1635"/>
      </w:tblGrid>
      <w:tr>
        <w:trPr>
          <w:tblHeader w:val="true"/>
        </w:trPr>
        <w:tc>
          <w:tcPr>
            <w:tcW w:type="dxa" w:w="45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w:t>
            </w:r>
          </w:p>
        </w:tc>
        <w:tc>
          <w:tcPr>
            <w:tcW w:type="dxa" w:w="3175"/>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Поле</w:t>
            </w:r>
          </w:p>
        </w:tc>
        <w:tc>
          <w:tcPr>
            <w:tcW w:type="dxa" w:w="124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Тип</w:t>
            </w:r>
          </w:p>
        </w:tc>
        <w:tc>
          <w:tcPr>
            <w:tcW w:type="dxa" w:w="1020"/>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NOT NULL</w:t>
            </w:r>
          </w:p>
        </w:tc>
        <w:tc>
          <w:tcPr>
            <w:tcW w:type="dxa" w:w="181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Default</w:t>
            </w:r>
          </w:p>
        </w:tc>
        <w:tc>
          <w:tcPr>
            <w:tcW w:type="dxa" w:w="73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PK</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key</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r>
      <w:tr>
        <w:trPr>
          <w:cantSplit/>
        </w:trPr>
        <w:tc>
          <w:tcPr>
            <w:tcW w:type="dxa" w:w="45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w:t>
            </w:r>
          </w:p>
        </w:tc>
        <w:tc>
          <w:tcPr>
            <w:tcW w:type="dxa" w:w="317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lang</w:t>
            </w:r>
          </w:p>
        </w:tc>
        <w:tc>
          <w:tcPr>
            <w:tcW w:type="dxa" w:w="124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r>
      <w:tr>
        <w:trPr>
          <w:cantSplit/>
        </w:trPr>
        <w:tc>
          <w:tcPr>
            <w:tcW w:type="dxa" w:w="45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w:t>
            </w:r>
          </w:p>
        </w:tc>
        <w:tc>
          <w:tcPr>
            <w:tcW w:type="dxa" w:w="317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value</w:t>
            </w:r>
          </w:p>
        </w:tc>
        <w:tc>
          <w:tcPr>
            <w:tcW w:type="dxa" w:w="124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TEXT</w:t>
            </w:r>
          </w:p>
        </w:tc>
        <w:tc>
          <w:tcPr>
            <w:tcW w:type="dxa" w:w="102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81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нет</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PRAGMA table_info(ui_translations); строк: 10.</w:t>
      </w:r>
    </w:p>
    <w:p>
      <w:bookmarkStart w:id="3504" w:name="appf"/>
      <w:pPr>
        <w:pStyle w:val="Heading2"/>
      </w:pPr>
      <w:r>
        <w:t>Приложение F. Аудит, качество и эксплуатационные записи</w:t>
      </w:r>
      <w:bookmarkEnd w:id="3504"/>
    </w:p>
    <w:p>
      <w:pPr>
        <w:pStyle w:val="Caption"/>
      </w:pPr>
      <w:r>
        <w:t>Таблица 86. Методологические аудиты</w:t>
      </w:r>
    </w:p>
    <w:tbl>
      <w:tblPr>
        <w:tblW w:type="auto" w:w="0"/>
        <w:jc w:val="center"/>
        <w:tblLayout w:type="autofit"/>
        <w:tblLook w:firstColumn="1" w:firstRow="1" w:lastColumn="0" w:lastRow="0" w:noHBand="0" w:noVBand="1" w:val="04A0"/>
      </w:tblPr>
      <w:tblGrid>
        <w:gridCol w:w="981"/>
        <w:gridCol w:w="981"/>
        <w:gridCol w:w="981"/>
        <w:gridCol w:w="981"/>
        <w:gridCol w:w="981"/>
        <w:gridCol w:w="981"/>
        <w:gridCol w:w="981"/>
        <w:gridCol w:w="981"/>
        <w:gridCol w:w="981"/>
        <w:gridCol w:w="981"/>
      </w:tblGrid>
      <w:tr>
        <w:trPr>
          <w:tblHeader w:val="true"/>
        </w:trPr>
        <w:tc>
          <w:tcPr>
            <w:tcW w:type="dxa" w:w="1871"/>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ID</w:t>
            </w:r>
          </w:p>
        </w:tc>
        <w:tc>
          <w:tcPr>
            <w:tcW w:type="dxa" w:w="147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Модель</w:t>
            </w:r>
          </w:p>
        </w:tc>
        <w:tc>
          <w:tcPr>
            <w:tcW w:type="dxa" w:w="79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Прогонов</w:t>
            </w:r>
          </w:p>
        </w:tc>
        <w:tc>
          <w:tcPr>
            <w:tcW w:type="dxa" w:w="680"/>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Стран</w:t>
            </w:r>
          </w:p>
        </w:tc>
        <w:tc>
          <w:tcPr>
            <w:tcW w:type="dxa" w:w="90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Mean ρ</w:t>
            </w:r>
          </w:p>
        </w:tc>
        <w:tc>
          <w:tcPr>
            <w:tcW w:type="dxa" w:w="90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Min ρ</w:t>
            </w:r>
          </w:p>
        </w:tc>
        <w:tc>
          <w:tcPr>
            <w:tcW w:type="dxa" w:w="107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Mean |Δrank|</w:t>
            </w:r>
          </w:p>
        </w:tc>
        <w:tc>
          <w:tcPr>
            <w:tcW w:type="dxa" w:w="964"/>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Max Δrank</w:t>
            </w:r>
          </w:p>
        </w:tc>
        <w:tc>
          <w:tcPr>
            <w:tcW w:type="dxa" w:w="850"/>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Пройден</w:t>
            </w:r>
          </w:p>
        </w:tc>
        <w:tc>
          <w:tcPr>
            <w:tcW w:type="dxa" w:w="1701"/>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Создан</w:t>
            </w:r>
          </w:p>
        </w:tc>
      </w:tr>
      <w:tr>
        <w:trPr>
          <w:cantSplit/>
        </w:trPr>
        <w:tc>
          <w:tcPr>
            <w:tcW w:type="dxa" w:w="187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HTEI-V5:2026</w:t>
            </w:r>
          </w:p>
        </w:tc>
        <w:tc>
          <w:tcPr>
            <w:tcW w:type="dxa" w:w="147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HTEI_V5</w:t>
            </w:r>
          </w:p>
        </w:tc>
        <w:tc>
          <w:tcPr>
            <w:tcW w:type="dxa" w:w="79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208</w:t>
            </w:r>
          </w:p>
        </w:tc>
        <w:tc>
          <w:tcPr>
            <w:tcW w:type="dxa" w:w="68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96</w:t>
            </w:r>
          </w:p>
        </w:tc>
        <w:tc>
          <w:tcPr>
            <w:tcW w:type="dxa" w:w="90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0,996538</w:t>
            </w:r>
          </w:p>
        </w:tc>
        <w:tc>
          <w:tcPr>
            <w:tcW w:type="dxa" w:w="90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0,953011</w:t>
            </w:r>
          </w:p>
        </w:tc>
        <w:tc>
          <w:tcPr>
            <w:tcW w:type="dxa" w:w="107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1,338</w:t>
            </w:r>
          </w:p>
        </w:tc>
        <w:tc>
          <w:tcPr>
            <w:tcW w:type="dxa" w:w="96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31</w:t>
            </w:r>
          </w:p>
        </w:tc>
        <w:tc>
          <w:tcPr>
            <w:tcW w:type="dxa" w:w="85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2026-07-11T12:05:45+00:00</w:t>
            </w:r>
          </w:p>
        </w:tc>
      </w:tr>
      <w:tr>
        <w:trPr>
          <w:cantSplit/>
        </w:trPr>
        <w:tc>
          <w:tcPr>
            <w:tcW w:type="dxa" w:w="187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TRAINING-MODEL-V2:2026</w:t>
            </w:r>
          </w:p>
        </w:tc>
        <w:tc>
          <w:tcPr>
            <w:tcW w:type="dxa" w:w="147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TRAINING_MODEL_V2</w:t>
            </w:r>
          </w:p>
        </w:tc>
        <w:tc>
          <w:tcPr>
            <w:tcW w:type="dxa" w:w="79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200</w:t>
            </w:r>
          </w:p>
        </w:tc>
        <w:tc>
          <w:tcPr>
            <w:tcW w:type="dxa" w:w="68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117</w:t>
            </w:r>
          </w:p>
        </w:tc>
        <w:tc>
          <w:tcPr>
            <w:tcW w:type="dxa" w:w="90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0,998747</w:t>
            </w:r>
          </w:p>
        </w:tc>
        <w:tc>
          <w:tcPr>
            <w:tcW w:type="dxa" w:w="90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0,996995</w:t>
            </w:r>
          </w:p>
        </w:tc>
        <w:tc>
          <w:tcPr>
            <w:tcW w:type="dxa" w:w="107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1,126</w:t>
            </w:r>
          </w:p>
        </w:tc>
        <w:tc>
          <w:tcPr>
            <w:tcW w:type="dxa" w:w="964"/>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13</w:t>
            </w:r>
          </w:p>
        </w:tc>
        <w:tc>
          <w:tcPr>
            <w:tcW w:type="dxa" w:w="85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70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2026-07-11T12:05:45+00:00</w:t>
            </w:r>
          </w:p>
        </w:tc>
      </w:tr>
      <w:tr>
        <w:trPr>
          <w:cantSplit/>
        </w:trPr>
        <w:tc>
          <w:tcPr>
            <w:tcW w:type="dxa" w:w="187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HTEI-V6:2026</w:t>
            </w:r>
          </w:p>
        </w:tc>
        <w:tc>
          <w:tcPr>
            <w:tcW w:type="dxa" w:w="147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HTEI_V6</w:t>
            </w:r>
          </w:p>
        </w:tc>
        <w:tc>
          <w:tcPr>
            <w:tcW w:type="dxa" w:w="79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206</w:t>
            </w:r>
          </w:p>
        </w:tc>
        <w:tc>
          <w:tcPr>
            <w:tcW w:type="dxa" w:w="68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89</w:t>
            </w:r>
          </w:p>
        </w:tc>
        <w:tc>
          <w:tcPr>
            <w:tcW w:type="dxa" w:w="90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0,996861</w:t>
            </w:r>
          </w:p>
        </w:tc>
        <w:tc>
          <w:tcPr>
            <w:tcW w:type="dxa" w:w="90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0,934729</w:t>
            </w:r>
          </w:p>
        </w:tc>
        <w:tc>
          <w:tcPr>
            <w:tcW w:type="dxa" w:w="107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1,130</w:t>
            </w:r>
          </w:p>
        </w:tc>
        <w:tc>
          <w:tcPr>
            <w:tcW w:type="dxa" w:w="964"/>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33</w:t>
            </w:r>
          </w:p>
        </w:tc>
        <w:tc>
          <w:tcPr>
            <w:tcW w:type="dxa" w:w="85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да</w:t>
            </w:r>
          </w:p>
        </w:tc>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2026-07-11T12:05:47+00:00</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methodology_audit_runs.</w:t>
      </w:r>
    </w:p>
    <w:p>
      <w:pPr>
        <w:pStyle w:val="Caption"/>
      </w:pPr>
      <w:r>
        <w:t>Таблица 87. Журнал операционных задач</w:t>
      </w:r>
    </w:p>
    <w:tbl>
      <w:tblPr>
        <w:tblW w:type="auto" w:w="0"/>
        <w:jc w:val="center"/>
        <w:tblLayout w:type="autofit"/>
        <w:tblLook w:firstColumn="1" w:firstRow="1" w:lastColumn="0" w:lastRow="0" w:noHBand="0" w:noVBand="1" w:val="04A0"/>
      </w:tblPr>
      <w:tblGrid>
        <w:gridCol w:w="1226"/>
        <w:gridCol w:w="1226"/>
        <w:gridCol w:w="1226"/>
        <w:gridCol w:w="1226"/>
        <w:gridCol w:w="1226"/>
        <w:gridCol w:w="1226"/>
        <w:gridCol w:w="1226"/>
        <w:gridCol w:w="1226"/>
      </w:tblGrid>
      <w:tr>
        <w:trPr>
          <w:tblHeader w:val="true"/>
        </w:trPr>
        <w:tc>
          <w:tcPr>
            <w:tcW w:type="dxa" w:w="2098"/>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Run ID</w:t>
            </w:r>
          </w:p>
        </w:tc>
        <w:tc>
          <w:tcPr>
            <w:tcW w:type="dxa" w:w="141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Job</w:t>
            </w:r>
          </w:p>
        </w:tc>
        <w:tc>
          <w:tcPr>
            <w:tcW w:type="dxa" w:w="850"/>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Статус</w:t>
            </w:r>
          </w:p>
        </w:tc>
        <w:tc>
          <w:tcPr>
            <w:tcW w:type="dxa" w:w="73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Попытки</w:t>
            </w:r>
          </w:p>
        </w:tc>
        <w:tc>
          <w:tcPr>
            <w:tcW w:type="dxa" w:w="737"/>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Строк</w:t>
            </w:r>
          </w:p>
        </w:tc>
        <w:tc>
          <w:tcPr>
            <w:tcW w:type="dxa" w:w="1701"/>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Начало</w:t>
            </w:r>
          </w:p>
        </w:tc>
        <w:tc>
          <w:tcPr>
            <w:tcW w:type="dxa" w:w="1701"/>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Окончание</w:t>
            </w:r>
          </w:p>
        </w:tc>
        <w:tc>
          <w:tcPr>
            <w:tcW w:type="dxa" w:w="2835"/>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Сообщение</w:t>
            </w:r>
          </w:p>
        </w:tc>
      </w:tr>
      <w:tr>
        <w:trPr>
          <w:cantSplit/>
        </w:trPr>
        <w:tc>
          <w:tcPr>
            <w:tcW w:type="dxa" w:w="209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HCI_PLUS_REFRESH:20260711T114039+0000</w:t>
            </w:r>
          </w:p>
        </w:tc>
        <w:tc>
          <w:tcPr>
            <w:tcW w:type="dxa" w:w="141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HCI_PLUS_REFRESH</w:t>
            </w:r>
          </w:p>
        </w:tc>
        <w:tc>
          <w:tcPr>
            <w:tcW w:type="dxa" w:w="85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success</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157</w:t>
            </w:r>
          </w:p>
        </w:tc>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2026-07-11T11:40:39+00:00</w:t>
            </w:r>
          </w:p>
        </w:tc>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2026-07-11T11:41:57+00:00</w:t>
            </w:r>
          </w:p>
        </w:tc>
        <w:tc>
          <w:tcPr>
            <w:tcW w:type="dxa" w:w="28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 World Bank HCI+ 2026 country briefs ingested</w:t>
            </w:r>
          </w:p>
        </w:tc>
      </w:tr>
      <w:tr>
        <w:trPr>
          <w:cantSplit/>
        </w:trPr>
        <w:tc>
          <w:tcPr>
            <w:tcW w:type="dxa" w:w="209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HCI_PLUS_REFRESH:20260711T114545+0000</w:t>
            </w:r>
          </w:p>
        </w:tc>
        <w:tc>
          <w:tcPr>
            <w:tcW w:type="dxa" w:w="141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HCI_PLUS_REFRESH</w:t>
            </w:r>
          </w:p>
        </w:tc>
        <w:tc>
          <w:tcPr>
            <w:tcW w:type="dxa" w:w="85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success</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158</w:t>
            </w:r>
          </w:p>
        </w:tc>
        <w:tc>
          <w:tcPr>
            <w:tcW w:type="dxa" w:w="170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2026-07-11T11:45:45+00:00</w:t>
            </w:r>
          </w:p>
        </w:tc>
        <w:tc>
          <w:tcPr>
            <w:tcW w:type="dxa" w:w="170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2026-07-11T11:47:02+00:00</w:t>
            </w:r>
          </w:p>
        </w:tc>
        <w:tc>
          <w:tcPr>
            <w:tcW w:type="dxa" w:w="283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 World Bank HCI+ 2026 country briefs ingested</w:t>
            </w:r>
          </w:p>
        </w:tc>
      </w:tr>
      <w:tr>
        <w:trPr>
          <w:cantSplit/>
        </w:trPr>
        <w:tc>
          <w:tcPr>
            <w:tcW w:type="dxa" w:w="209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NATIONAL_STATISTICS_REFRESH:20260711T114737+0000</w:t>
            </w:r>
          </w:p>
        </w:tc>
        <w:tc>
          <w:tcPr>
            <w:tcW w:type="dxa" w:w="141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NATIONAL_STATISTICS_REFRESH</w:t>
            </w:r>
          </w:p>
        </w:tc>
        <w:tc>
          <w:tcPr>
            <w:tcW w:type="dxa" w:w="85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success</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w:t>
            </w:r>
          </w:p>
        </w:tc>
        <w:tc>
          <w:tcPr>
            <w:tcW w:type="dxa" w:w="737"/>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94</w:t>
            </w:r>
          </w:p>
        </w:tc>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2026-07-11T11:47:37+00:00</w:t>
            </w:r>
          </w:p>
        </w:tc>
        <w:tc>
          <w:tcPr>
            <w:tcW w:type="dxa" w:w="170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2026-07-11T11:47:49+00:00</w:t>
            </w:r>
          </w:p>
        </w:tc>
        <w:tc>
          <w:tcPr>
            <w:tcW w:type="dxa" w:w="2835"/>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 national-statistics numeric layer ingested</w:t>
            </w:r>
          </w:p>
        </w:tc>
      </w:tr>
      <w:tr>
        <w:trPr>
          <w:cantSplit/>
        </w:trPr>
        <w:tc>
          <w:tcPr>
            <w:tcW w:type="dxa" w:w="209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CORPORATE_REPORTS_REFRESH:20260711T114817+0000</w:t>
            </w:r>
          </w:p>
        </w:tc>
        <w:tc>
          <w:tcPr>
            <w:tcW w:type="dxa" w:w="141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CORPORATE_REPORTS_REFRESH</w:t>
            </w:r>
          </w:p>
        </w:tc>
        <w:tc>
          <w:tcPr>
            <w:tcW w:type="dxa" w:w="85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success</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w:t>
            </w:r>
          </w:p>
        </w:tc>
        <w:tc>
          <w:tcPr>
            <w:tcW w:type="dxa" w:w="737"/>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26</w:t>
            </w:r>
          </w:p>
        </w:tc>
        <w:tc>
          <w:tcPr>
            <w:tcW w:type="dxa" w:w="170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2026-07-11T11:48:17+00:00</w:t>
            </w:r>
          </w:p>
        </w:tc>
        <w:tc>
          <w:tcPr>
            <w:tcW w:type="dxa" w:w="170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2026-07-11T11:48:23+00:00</w:t>
            </w:r>
          </w:p>
        </w:tc>
        <w:tc>
          <w:tcPr>
            <w:tcW w:type="dxa" w:w="2835"/>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Official SEC EDGAR corporate numeric layer ingested</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operational_runs.</w:t>
      </w:r>
    </w:p>
    <w:p>
      <w:pPr>
        <w:pStyle w:val="Caption"/>
      </w:pPr>
      <w:r>
        <w:t>Таблица 88. Сводная инвентаризация таблиц</w:t>
      </w:r>
    </w:p>
    <w:tbl>
      <w:tblPr>
        <w:tblW w:type="auto" w:w="0"/>
        <w:jc w:val="center"/>
        <w:tblLayout w:type="autofit"/>
        <w:tblLook w:firstColumn="1" w:firstRow="1" w:lastColumn="0" w:lastRow="0" w:noHBand="0" w:noVBand="1" w:val="04A0"/>
      </w:tblPr>
      <w:tblGrid>
        <w:gridCol w:w="4904"/>
        <w:gridCol w:w="4904"/>
      </w:tblGrid>
      <w:tr>
        <w:trPr>
          <w:tblHeader w:val="true"/>
        </w:trPr>
        <w:tc>
          <w:tcPr>
            <w:tcW w:type="dxa" w:w="5953"/>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Таблица</w:t>
            </w:r>
          </w:p>
        </w:tc>
        <w:tc>
          <w:tcPr>
            <w:tcW w:type="dxa" w:w="2268"/>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Строк</w:t>
            </w:r>
          </w:p>
        </w:tc>
      </w:tr>
      <w:tr>
        <w:trPr>
          <w:cantSplit/>
        </w:trPr>
        <w:tc>
          <w:tcPr>
            <w:tcW w:type="dxa" w:w="5953"/>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component_values</w:t>
            </w:r>
          </w:p>
        </w:tc>
        <w:tc>
          <w:tcPr>
            <w:tcW w:type="dxa" w:w="226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36 945</w:t>
            </w:r>
          </w:p>
        </w:tc>
      </w:tr>
      <w:tr>
        <w:trPr>
          <w:cantSplit/>
        </w:trPr>
        <w:tc>
          <w:tcPr>
            <w:tcW w:type="dxa" w:w="5953"/>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components</w:t>
            </w:r>
          </w:p>
        </w:tc>
        <w:tc>
          <w:tcPr>
            <w:tcW w:type="dxa" w:w="226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33</w:t>
            </w:r>
          </w:p>
        </w:tc>
      </w:tr>
      <w:tr>
        <w:trPr>
          <w:cantSplit/>
        </w:trPr>
        <w:tc>
          <w:tcPr>
            <w:tcW w:type="dxa" w:w="5953"/>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corporate_metrics</w:t>
            </w:r>
          </w:p>
        </w:tc>
        <w:tc>
          <w:tcPr>
            <w:tcW w:type="dxa" w:w="226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26</w:t>
            </w:r>
          </w:p>
        </w:tc>
      </w:tr>
      <w:tr>
        <w:trPr>
          <w:cantSplit/>
        </w:trPr>
        <w:tc>
          <w:tcPr>
            <w:tcW w:type="dxa" w:w="5953"/>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countries</w:t>
            </w:r>
          </w:p>
        </w:tc>
        <w:tc>
          <w:tcPr>
            <w:tcW w:type="dxa" w:w="226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225</w:t>
            </w:r>
          </w:p>
        </w:tc>
      </w:tr>
      <w:tr>
        <w:trPr>
          <w:cantSplit/>
        </w:trPr>
        <w:tc>
          <w:tcPr>
            <w:tcW w:type="dxa" w:w="5953"/>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diagnostics</w:t>
            </w:r>
          </w:p>
        </w:tc>
        <w:tc>
          <w:tcPr>
            <w:tcW w:type="dxa" w:w="226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9 917</w:t>
            </w:r>
          </w:p>
        </w:tc>
      </w:tr>
      <w:tr>
        <w:trPr>
          <w:cantSplit/>
        </w:trPr>
        <w:tc>
          <w:tcPr>
            <w:tcW w:type="dxa" w:w="5953"/>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external_method_reviews</w:t>
            </w:r>
          </w:p>
        </w:tc>
        <w:tc>
          <w:tcPr>
            <w:tcW w:type="dxa" w:w="226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w:t>
            </w:r>
          </w:p>
        </w:tc>
      </w:tr>
      <w:tr>
        <w:trPr>
          <w:cantSplit/>
        </w:trPr>
        <w:tc>
          <w:tcPr>
            <w:tcW w:type="dxa" w:w="5953"/>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hci_plus_country_scores</w:t>
            </w:r>
          </w:p>
        </w:tc>
        <w:tc>
          <w:tcPr>
            <w:tcW w:type="dxa" w:w="226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158</w:t>
            </w:r>
          </w:p>
        </w:tc>
      </w:tr>
      <w:tr>
        <w:trPr>
          <w:cantSplit/>
        </w:trPr>
        <w:tc>
          <w:tcPr>
            <w:tcW w:type="dxa" w:w="5953"/>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htei_v5_component_values</w:t>
            </w:r>
          </w:p>
        </w:tc>
        <w:tc>
          <w:tcPr>
            <w:tcW w:type="dxa" w:w="226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1 905</w:t>
            </w:r>
          </w:p>
        </w:tc>
      </w:tr>
      <w:tr>
        <w:trPr>
          <w:cantSplit/>
        </w:trPr>
        <w:tc>
          <w:tcPr>
            <w:tcW w:type="dxa" w:w="5953"/>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htei_v5_profiles</w:t>
            </w:r>
          </w:p>
        </w:tc>
        <w:tc>
          <w:tcPr>
            <w:tcW w:type="dxa" w:w="226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404</w:t>
            </w:r>
          </w:p>
        </w:tc>
      </w:tr>
      <w:tr>
        <w:trPr>
          <w:cantSplit/>
        </w:trPr>
        <w:tc>
          <w:tcPr>
            <w:tcW w:type="dxa" w:w="5953"/>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htei_v6_component_values</w:t>
            </w:r>
          </w:p>
        </w:tc>
        <w:tc>
          <w:tcPr>
            <w:tcW w:type="dxa" w:w="226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1 909</w:t>
            </w:r>
          </w:p>
        </w:tc>
      </w:tr>
      <w:tr>
        <w:trPr>
          <w:cantSplit/>
        </w:trPr>
        <w:tc>
          <w:tcPr>
            <w:tcW w:type="dxa" w:w="5953"/>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htei_v6_missingness_audit</w:t>
            </w:r>
          </w:p>
        </w:tc>
        <w:tc>
          <w:tcPr>
            <w:tcW w:type="dxa" w:w="226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34</w:t>
            </w:r>
          </w:p>
        </w:tc>
      </w:tr>
      <w:tr>
        <w:trPr>
          <w:cantSplit/>
        </w:trPr>
        <w:tc>
          <w:tcPr>
            <w:tcW w:type="dxa" w:w="5953"/>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htei_v6_profiles</w:t>
            </w:r>
          </w:p>
        </w:tc>
        <w:tc>
          <w:tcPr>
            <w:tcW w:type="dxa" w:w="226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431</w:t>
            </w:r>
          </w:p>
        </w:tc>
      </w:tr>
      <w:tr>
        <w:trPr>
          <w:cantSplit/>
        </w:trPr>
        <w:tc>
          <w:tcPr>
            <w:tcW w:type="dxa" w:w="5953"/>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index_aliases</w:t>
            </w:r>
          </w:p>
        </w:tc>
        <w:tc>
          <w:tcPr>
            <w:tcW w:type="dxa" w:w="226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27</w:t>
            </w:r>
          </w:p>
        </w:tc>
      </w:tr>
      <w:tr>
        <w:trPr>
          <w:cantSplit/>
        </w:trPr>
        <w:tc>
          <w:tcPr>
            <w:tcW w:type="dxa" w:w="5953"/>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index_components</w:t>
            </w:r>
          </w:p>
        </w:tc>
        <w:tc>
          <w:tcPr>
            <w:tcW w:type="dxa" w:w="226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33</w:t>
            </w:r>
          </w:p>
        </w:tc>
      </w:tr>
      <w:tr>
        <w:trPr>
          <w:cantSplit/>
        </w:trPr>
        <w:tc>
          <w:tcPr>
            <w:tcW w:type="dxa" w:w="5953"/>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index_definitions</w:t>
            </w:r>
          </w:p>
        </w:tc>
        <w:tc>
          <w:tcPr>
            <w:tcW w:type="dxa" w:w="226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8</w:t>
            </w:r>
          </w:p>
        </w:tc>
      </w:tr>
      <w:tr>
        <w:trPr>
          <w:cantSplit/>
        </w:trPr>
        <w:tc>
          <w:tcPr>
            <w:tcW w:type="dxa" w:w="5953"/>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index_formulas</w:t>
            </w:r>
          </w:p>
        </w:tc>
        <w:tc>
          <w:tcPr>
            <w:tcW w:type="dxa" w:w="226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14</w:t>
            </w:r>
          </w:p>
        </w:tc>
      </w:tr>
      <w:tr>
        <w:trPr>
          <w:cantSplit/>
        </w:trPr>
        <w:tc>
          <w:tcPr>
            <w:tcW w:type="dxa" w:w="5953"/>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index_methodology_registry</w:t>
            </w:r>
          </w:p>
        </w:tc>
        <w:tc>
          <w:tcPr>
            <w:tcW w:type="dxa" w:w="226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8</w:t>
            </w:r>
          </w:p>
        </w:tc>
      </w:tr>
      <w:tr>
        <w:trPr>
          <w:cantSplit/>
        </w:trPr>
        <w:tc>
          <w:tcPr>
            <w:tcW w:type="dxa" w:w="5953"/>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index_scores</w:t>
            </w:r>
          </w:p>
        </w:tc>
        <w:tc>
          <w:tcPr>
            <w:tcW w:type="dxa" w:w="226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10 076</w:t>
            </w:r>
          </w:p>
        </w:tc>
      </w:tr>
      <w:tr>
        <w:trPr>
          <w:cantSplit/>
        </w:trPr>
        <w:tc>
          <w:tcPr>
            <w:tcW w:type="dxa" w:w="5953"/>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indices</w:t>
            </w:r>
          </w:p>
        </w:tc>
        <w:tc>
          <w:tcPr>
            <w:tcW w:type="dxa" w:w="226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8</w:t>
            </w:r>
          </w:p>
        </w:tc>
      </w:tr>
      <w:tr>
        <w:trPr>
          <w:cantSplit/>
        </w:trPr>
        <w:tc>
          <w:tcPr>
            <w:tcW w:type="dxa" w:w="5953"/>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license_registry</w:t>
            </w:r>
          </w:p>
        </w:tc>
        <w:tc>
          <w:tcPr>
            <w:tcW w:type="dxa" w:w="226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21</w:t>
            </w:r>
          </w:p>
        </w:tc>
      </w:tr>
      <w:tr>
        <w:trPr>
          <w:cantSplit/>
        </w:trPr>
        <w:tc>
          <w:tcPr>
            <w:tcW w:type="dxa" w:w="5953"/>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methodology_audit_runs</w:t>
            </w:r>
          </w:p>
        </w:tc>
        <w:tc>
          <w:tcPr>
            <w:tcW w:type="dxa" w:w="226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w:t>
            </w:r>
          </w:p>
        </w:tc>
      </w:tr>
      <w:tr>
        <w:trPr>
          <w:cantSplit/>
        </w:trPr>
        <w:tc>
          <w:tcPr>
            <w:tcW w:type="dxa" w:w="5953"/>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national_statistics_metrics</w:t>
            </w:r>
          </w:p>
        </w:tc>
        <w:tc>
          <w:tcPr>
            <w:tcW w:type="dxa" w:w="226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94</w:t>
            </w:r>
          </w:p>
        </w:tc>
      </w:tr>
      <w:tr>
        <w:trPr>
          <w:cantSplit/>
        </w:trPr>
        <w:tc>
          <w:tcPr>
            <w:tcW w:type="dxa" w:w="5953"/>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operational_runs</w:t>
            </w:r>
          </w:p>
        </w:tc>
        <w:tc>
          <w:tcPr>
            <w:tcW w:type="dxa" w:w="226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4</w:t>
            </w:r>
          </w:p>
        </w:tc>
      </w:tr>
      <w:tr>
        <w:trPr>
          <w:cantSplit/>
        </w:trPr>
        <w:tc>
          <w:tcPr>
            <w:tcW w:type="dxa" w:w="5953"/>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policy_brief_items</w:t>
            </w:r>
          </w:p>
        </w:tc>
        <w:tc>
          <w:tcPr>
            <w:tcW w:type="dxa" w:w="226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8</w:t>
            </w:r>
          </w:p>
        </w:tc>
      </w:tr>
      <w:tr>
        <w:trPr>
          <w:cantSplit/>
        </w:trPr>
        <w:tc>
          <w:tcPr>
            <w:tcW w:type="dxa" w:w="5953"/>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qs_institution_rankings</w:t>
            </w:r>
          </w:p>
        </w:tc>
        <w:tc>
          <w:tcPr>
            <w:tcW w:type="dxa" w:w="226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2 185</w:t>
            </w:r>
          </w:p>
        </w:tc>
      </w:tr>
      <w:tr>
        <w:trPr>
          <w:cantSplit/>
        </w:trPr>
        <w:tc>
          <w:tcPr>
            <w:tcW w:type="dxa" w:w="5953"/>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quality_flags</w:t>
            </w:r>
          </w:p>
        </w:tc>
        <w:tc>
          <w:tcPr>
            <w:tcW w:type="dxa" w:w="226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7</w:t>
            </w:r>
          </w:p>
        </w:tc>
      </w:tr>
      <w:tr>
        <w:trPr>
          <w:cantSplit/>
        </w:trPr>
        <w:tc>
          <w:tcPr>
            <w:tcW w:type="dxa" w:w="5953"/>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rankings</w:t>
            </w:r>
          </w:p>
        </w:tc>
        <w:tc>
          <w:tcPr>
            <w:tcW w:type="dxa" w:w="226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9 918</w:t>
            </w:r>
          </w:p>
        </w:tc>
      </w:tr>
      <w:tr>
        <w:trPr>
          <w:cantSplit/>
        </w:trPr>
        <w:tc>
          <w:tcPr>
            <w:tcW w:type="dxa" w:w="5953"/>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raw_snapshots</w:t>
            </w:r>
          </w:p>
        </w:tc>
        <w:tc>
          <w:tcPr>
            <w:tcW w:type="dxa" w:w="226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275</w:t>
            </w:r>
          </w:p>
        </w:tc>
      </w:tr>
      <w:tr>
        <w:trPr>
          <w:cantSplit/>
        </w:trPr>
        <w:tc>
          <w:tcPr>
            <w:tcW w:type="dxa" w:w="5953"/>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recommendations</w:t>
            </w:r>
          </w:p>
        </w:tc>
        <w:tc>
          <w:tcPr>
            <w:tcW w:type="dxa" w:w="226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9 917</w:t>
            </w:r>
          </w:p>
        </w:tc>
      </w:tr>
      <w:tr>
        <w:trPr>
          <w:cantSplit/>
        </w:trPr>
        <w:tc>
          <w:tcPr>
            <w:tcW w:type="dxa" w:w="5953"/>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reproducibility_artifacts</w:t>
            </w:r>
          </w:p>
        </w:tc>
        <w:tc>
          <w:tcPr>
            <w:tcW w:type="dxa" w:w="226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376</w:t>
            </w:r>
          </w:p>
        </w:tc>
      </w:tr>
      <w:tr>
        <w:trPr>
          <w:cantSplit/>
        </w:trPr>
        <w:tc>
          <w:tcPr>
            <w:tcW w:type="dxa" w:w="5953"/>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source_observations</w:t>
            </w:r>
          </w:p>
        </w:tc>
        <w:tc>
          <w:tcPr>
            <w:tcW w:type="dxa" w:w="226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18 569</w:t>
            </w:r>
          </w:p>
        </w:tc>
      </w:tr>
      <w:tr>
        <w:trPr>
          <w:cantSplit/>
        </w:trPr>
        <w:tc>
          <w:tcPr>
            <w:tcW w:type="dxa" w:w="5953"/>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source_registry</w:t>
            </w:r>
          </w:p>
        </w:tc>
        <w:tc>
          <w:tcPr>
            <w:tcW w:type="dxa" w:w="226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21</w:t>
            </w:r>
          </w:p>
        </w:tc>
      </w:tr>
      <w:tr>
        <w:trPr>
          <w:cantSplit/>
        </w:trPr>
        <w:tc>
          <w:tcPr>
            <w:tcW w:type="dxa" w:w="5953"/>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training_model_components</w:t>
            </w:r>
          </w:p>
        </w:tc>
        <w:tc>
          <w:tcPr>
            <w:tcW w:type="dxa" w:w="226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4 943</w:t>
            </w:r>
          </w:p>
        </w:tc>
      </w:tr>
      <w:tr>
        <w:trPr>
          <w:cantSplit/>
        </w:trPr>
        <w:tc>
          <w:tcPr>
            <w:tcW w:type="dxa" w:w="5953"/>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training_model_scores</w:t>
            </w:r>
          </w:p>
        </w:tc>
        <w:tc>
          <w:tcPr>
            <w:tcW w:type="dxa" w:w="226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508</w:t>
            </w:r>
          </w:p>
        </w:tc>
      </w:tr>
      <w:tr>
        <w:trPr>
          <w:cantSplit/>
        </w:trPr>
        <w:tc>
          <w:tcPr>
            <w:tcW w:type="dxa" w:w="5953"/>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transformation_runs</w:t>
            </w:r>
          </w:p>
        </w:tc>
        <w:tc>
          <w:tcPr>
            <w:tcW w:type="dxa" w:w="226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191</w:t>
            </w:r>
          </w:p>
        </w:tc>
      </w:tr>
      <w:tr>
        <w:trPr>
          <w:cantSplit/>
        </w:trPr>
        <w:tc>
          <w:tcPr>
            <w:tcW w:type="dxa" w:w="5953"/>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ui_translations</w:t>
            </w:r>
          </w:p>
        </w:tc>
        <w:tc>
          <w:tcPr>
            <w:tcW w:type="dxa" w:w="226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10</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project_inventory.json.</w:t>
      </w:r>
    </w:p>
    <w:p>
      <w:bookmarkStart w:id="3570" w:name="appg"/>
      <w:pPr>
        <w:pStyle w:val="Heading2"/>
      </w:pPr>
      <w:r>
        <w:t>Приложение G. Справочник формул</w:t>
      </w:r>
      <w:bookmarkEnd w:id="3570"/>
    </w:p>
    <w:p>
      <w:pPr>
        <w:pStyle w:val="Caption"/>
      </w:pPr>
      <w:r>
        <w:t>Таблица 89. Формулы в компактной форме</w:t>
      </w:r>
    </w:p>
    <w:tbl>
      <w:tblPr>
        <w:tblW w:type="auto" w:w="0"/>
        <w:jc w:val="center"/>
        <w:tblLayout w:type="autofit"/>
        <w:tblLook w:firstColumn="1" w:firstRow="1" w:lastColumn="0" w:lastRow="0" w:noHBand="0" w:noVBand="1" w:val="04A0"/>
      </w:tblPr>
      <w:tblGrid>
        <w:gridCol w:w="3269"/>
        <w:gridCol w:w="3269"/>
        <w:gridCol w:w="3269"/>
      </w:tblGrid>
      <w:tr>
        <w:trPr>
          <w:tblHeader w:val="true"/>
        </w:trPr>
        <w:tc>
          <w:tcPr>
            <w:tcW w:type="dxa" w:w="2268"/>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Объект</w:t>
            </w:r>
          </w:p>
        </w:tc>
        <w:tc>
          <w:tcPr>
            <w:tcW w:type="dxa" w:w="4252"/>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Формула</w:t>
            </w:r>
          </w:p>
        </w:tc>
        <w:tc>
          <w:tcPr>
            <w:tcW w:type="dxa" w:w="2891"/>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Статус/комментарий</w:t>
            </w:r>
          </w:p>
        </w:tc>
      </w:tr>
      <w:tr>
        <w:trPr>
          <w:cantSplit/>
        </w:trPr>
        <w:tc>
          <w:tcPr>
            <w:tcW w:type="dxa" w:w="226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HDI — здоровье</w:t>
            </w:r>
          </w:p>
        </w:tc>
        <w:tc>
          <w:tcPr>
            <w:tcW w:type="dxa" w:w="4252"/>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I_LE = (LE−20)/(85−20)</w:t>
            </w:r>
          </w:p>
        </w:tc>
        <w:tc>
          <w:tcPr>
            <w:tcW w:type="dxa" w:w="289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официальная нормализация UNDP</w:t>
            </w:r>
          </w:p>
        </w:tc>
      </w:tr>
      <w:tr>
        <w:trPr>
          <w:cantSplit/>
        </w:trPr>
        <w:tc>
          <w:tcPr>
            <w:tcW w:type="dxa" w:w="226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HDI — образование</w:t>
            </w:r>
          </w:p>
        </w:tc>
        <w:tc>
          <w:tcPr>
            <w:tcW w:type="dxa" w:w="4252"/>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I_Edu = (EYS/18 + MYS/15)/2</w:t>
            </w:r>
          </w:p>
        </w:tc>
        <w:tc>
          <w:tcPr>
            <w:tcW w:type="dxa" w:w="289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официальная нормализация UNDP</w:t>
            </w:r>
          </w:p>
        </w:tc>
      </w:tr>
      <w:tr>
        <w:trPr>
          <w:cantSplit/>
        </w:trPr>
        <w:tc>
          <w:tcPr>
            <w:tcW w:type="dxa" w:w="226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HDI — доход</w:t>
            </w:r>
          </w:p>
        </w:tc>
        <w:tc>
          <w:tcPr>
            <w:tcW w:type="dxa" w:w="4252"/>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I_Income = (ln GNIpc−ln100)/(ln75000−ln100)</w:t>
            </w:r>
          </w:p>
        </w:tc>
        <w:tc>
          <w:tcPr>
            <w:tcW w:type="dxa" w:w="289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официальная логарифмическая нормализация</w:t>
            </w:r>
          </w:p>
        </w:tc>
      </w:tr>
      <w:tr>
        <w:trPr>
          <w:cantSplit/>
        </w:trPr>
        <w:tc>
          <w:tcPr>
            <w:tcW w:type="dxa" w:w="226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HDI — итог</w:t>
            </w:r>
          </w:p>
        </w:tc>
        <w:tc>
          <w:tcPr>
            <w:tcW w:type="dxa" w:w="4252"/>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HDI = (I_LE×I_Edu×I_Income)^(1/3)</w:t>
            </w:r>
          </w:p>
        </w:tc>
        <w:tc>
          <w:tcPr>
            <w:tcW w:type="dxa" w:w="289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геометрическое среднее</w:t>
            </w:r>
          </w:p>
        </w:tc>
      </w:tr>
      <w:tr>
        <w:trPr>
          <w:cantSplit/>
        </w:trPr>
        <w:tc>
          <w:tcPr>
            <w:tcW w:type="dxa" w:w="226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HCI historical</w:t>
            </w:r>
          </w:p>
        </w:tc>
        <w:tc>
          <w:tcPr>
            <w:tcW w:type="dxa" w:w="4252"/>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HCI = Survival×School×Health</w:t>
            </w:r>
          </w:p>
        </w:tc>
        <w:tc>
          <w:tcPr>
            <w:tcW w:type="dxa" w:w="289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схематическое официальное представление</w:t>
            </w:r>
          </w:p>
        </w:tc>
      </w:tr>
      <w:tr>
        <w:trPr>
          <w:cantSplit/>
        </w:trPr>
        <w:tc>
          <w:tcPr>
            <w:tcW w:type="dxa" w:w="226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HCI+</w:t>
            </w:r>
          </w:p>
        </w:tc>
        <w:tc>
          <w:tcPr>
            <w:tcW w:type="dxa" w:w="4252"/>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HCI+ = Health + Education + Employment</w:t>
            </w:r>
          </w:p>
        </w:tc>
        <w:tc>
          <w:tcPr>
            <w:tcW w:type="dxa" w:w="289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аддитивные официальные домены, шкала 0–325</w:t>
            </w:r>
          </w:p>
        </w:tc>
      </w:tr>
      <w:tr>
        <w:trPr>
          <w:cantSplit/>
        </w:trPr>
        <w:tc>
          <w:tcPr>
            <w:tcW w:type="dxa" w:w="226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GII</w:t>
            </w:r>
          </w:p>
        </w:tc>
        <w:tc>
          <w:tcPr>
            <w:tcW w:type="dxa" w:w="4252"/>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GII = (Input + Output)/2</w:t>
            </w:r>
          </w:p>
        </w:tc>
        <w:tc>
          <w:tcPr>
            <w:tcW w:type="dxa" w:w="289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Input: 5 пилларов; Output: 2</w:t>
            </w:r>
          </w:p>
        </w:tc>
      </w:tr>
      <w:tr>
        <w:trPr>
          <w:cantSplit/>
        </w:trPr>
        <w:tc>
          <w:tcPr>
            <w:tcW w:type="dxa" w:w="226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IDI</w:t>
            </w:r>
          </w:p>
        </w:tc>
        <w:tc>
          <w:tcPr>
            <w:tcW w:type="dxa" w:w="4252"/>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IDI = (Universal + Meaningful)/2</w:t>
            </w:r>
          </w:p>
        </w:tc>
        <w:tc>
          <w:tcPr>
            <w:tcW w:type="dxa" w:w="289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официальные пиллары ITU</w:t>
            </w:r>
          </w:p>
        </w:tc>
      </w:tr>
      <w:tr>
        <w:trPr>
          <w:cantSplit/>
        </w:trPr>
        <w:tc>
          <w:tcPr>
            <w:tcW w:type="dxa" w:w="226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GTCI rank diagnostic</w:t>
            </w:r>
          </w:p>
        </w:tc>
        <w:tc>
          <w:tcPr>
            <w:tcW w:type="dxa" w:w="4252"/>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(Rmax−r+1)/Rmax×100</w:t>
            </w:r>
          </w:p>
        </w:tc>
        <w:tc>
          <w:tcPr>
            <w:tcW w:type="dxa" w:w="289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только диагностическое преобразование GIR</w:t>
            </w:r>
          </w:p>
        </w:tc>
      </w:tr>
      <w:tr>
        <w:trPr>
          <w:cantSplit/>
        </w:trPr>
        <w:tc>
          <w:tcPr>
            <w:tcW w:type="dxa" w:w="226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QS_ET country score</w:t>
            </w:r>
          </w:p>
        </w:tc>
        <w:tc>
          <w:tcPr>
            <w:tcW w:type="dxa" w:w="4252"/>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0,25×TOP_COUNT* + 0,25×BEST_RANK* + 0,25×MEDIAN_RANK* + 0,25×QS_SCORE*</w:t>
            </w:r>
          </w:p>
        </w:tc>
        <w:tc>
          <w:tcPr>
            <w:tcW w:type="dxa" w:w="289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авторская агрегация GIR</w:t>
            </w:r>
          </w:p>
        </w:tc>
      </w:tr>
      <w:tr>
        <w:trPr>
          <w:cantSplit/>
        </w:trPr>
        <w:tc>
          <w:tcPr>
            <w:tcW w:type="dxa" w:w="226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w:t>
            </w:r>
          </w:p>
        </w:tc>
        <w:tc>
          <w:tcPr>
            <w:tcW w:type="dxa" w:w="4252"/>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Σ w̃_i z_ic</w:t>
            </w:r>
          </w:p>
        </w:tc>
        <w:tc>
          <w:tcPr>
            <w:tcW w:type="dxa" w:w="289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авторская модель, веса перенормируются в допустимом наборе</w:t>
            </w:r>
          </w:p>
        </w:tc>
      </w:tr>
      <w:tr>
        <w:trPr>
          <w:cantSplit/>
        </w:trPr>
        <w:tc>
          <w:tcPr>
            <w:tcW w:type="dxa" w:w="226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 confidence</w:t>
            </w:r>
          </w:p>
        </w:tc>
        <w:tc>
          <w:tcPr>
            <w:tcW w:type="dxa" w:w="4252"/>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0,45 coverage + 0,35 freshness + 0,20 diversity</w:t>
            </w:r>
          </w:p>
        </w:tc>
        <w:tc>
          <w:tcPr>
            <w:tcW w:type="dxa" w:w="289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качество отдельно от score</w:t>
            </w:r>
          </w:p>
        </w:tc>
      </w:tr>
      <w:tr>
        <w:trPr>
          <w:cantSplit/>
        </w:trPr>
        <w:tc>
          <w:tcPr>
            <w:tcW w:type="dxa" w:w="226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HTEI score interval</w:t>
            </w:r>
          </w:p>
        </w:tc>
        <w:tc>
          <w:tcPr>
            <w:tcW w:type="dxa" w:w="4252"/>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half-width=max(1,(1−confidence)×10)</w:t>
            </w:r>
          </w:p>
        </w:tc>
        <w:tc>
          <w:tcPr>
            <w:tcW w:type="dxa" w:w="289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эвристический, не вероятностный интервал</w:t>
            </w:r>
          </w:p>
        </w:tc>
      </w:tr>
      <w:tr>
        <w:trPr>
          <w:cantSplit/>
        </w:trPr>
        <w:tc>
          <w:tcPr>
            <w:tcW w:type="dxa" w:w="226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Training base</w:t>
            </w:r>
          </w:p>
        </w:tc>
        <w:tc>
          <w:tcPr>
            <w:tcW w:type="dxa" w:w="4252"/>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Σ W̃_b BlockScore_b</w:t>
            </w:r>
          </w:p>
        </w:tc>
        <w:tc>
          <w:tcPr>
            <w:tcW w:type="dxa" w:w="289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четыре блока</w:t>
            </w:r>
          </w:p>
        </w:tc>
      </w:tr>
      <w:tr>
        <w:trPr>
          <w:cantSplit/>
        </w:trPr>
        <w:tc>
          <w:tcPr>
            <w:tcW w:type="dxa" w:w="226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Training final</w:t>
            </w:r>
          </w:p>
        </w:tc>
        <w:tc>
          <w:tcPr>
            <w:tcW w:type="dxa" w:w="4252"/>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Base×(0,90+0,10×quality)</w:t>
            </w:r>
          </w:p>
        </w:tc>
        <w:tc>
          <w:tcPr>
            <w:tcW w:type="dxa" w:w="289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фактическая реализация quality multiplier</w:t>
            </w:r>
          </w:p>
        </w:tc>
      </w:tr>
      <w:tr>
        <w:trPr>
          <w:cantSplit/>
        </w:trPr>
        <w:tc>
          <w:tcPr>
            <w:tcW w:type="dxa" w:w="226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Перцентиль</w:t>
            </w:r>
          </w:p>
        </w:tc>
        <w:tc>
          <w:tcPr>
            <w:tcW w:type="dxa" w:w="4252"/>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(N−rank+1)/N×100</w:t>
            </w:r>
          </w:p>
        </w:tc>
        <w:tc>
          <w:tcPr>
            <w:tcW w:type="dxa" w:w="2891"/>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зависит от состава стран</w:t>
            </w:r>
          </w:p>
        </w:tc>
      </w:tr>
      <w:tr>
        <w:trPr>
          <w:cantSplit/>
        </w:trPr>
        <w:tc>
          <w:tcPr>
            <w:tcW w:type="dxa" w:w="226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Приоритет</w:t>
            </w:r>
          </w:p>
        </w:tc>
        <w:tc>
          <w:tcPr>
            <w:tcW w:type="dxa" w:w="4252"/>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gap×weight×(1+gap/100)×actionability</w:t>
            </w:r>
          </w:p>
        </w:tc>
        <w:tc>
          <w:tcPr>
            <w:tcW w:type="dxa" w:w="2891"/>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диагностическая сортировка мер</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Официальные методики и фактическая реализация GIR.</w:t>
      </w:r>
    </w:p>
    <w:p>
      <w:bookmarkStart w:id="3596" w:name="apph"/>
      <w:pPr>
        <w:pStyle w:val="Heading2"/>
      </w:pPr>
      <w:r>
        <w:t>Приложение H. Глоссарий</w:t>
      </w:r>
      <w:bookmarkEnd w:id="3596"/>
    </w:p>
    <w:p>
      <w:pPr>
        <w:pStyle w:val="Caption"/>
      </w:pPr>
      <w:r>
        <w:t>Таблица 90. Основные термины</w:t>
      </w:r>
    </w:p>
    <w:tbl>
      <w:tblPr>
        <w:tblW w:type="auto" w:w="0"/>
        <w:jc w:val="center"/>
        <w:tblLayout w:type="autofit"/>
        <w:tblLook w:firstColumn="1" w:firstRow="1" w:lastColumn="0" w:lastRow="0" w:noHBand="0" w:noVBand="1" w:val="04A0"/>
      </w:tblPr>
      <w:tblGrid>
        <w:gridCol w:w="4904"/>
        <w:gridCol w:w="4904"/>
      </w:tblGrid>
      <w:tr>
        <w:trPr>
          <w:tblHeader w:val="true"/>
        </w:trPr>
        <w:tc>
          <w:tcPr>
            <w:tcW w:type="dxa" w:w="2268"/>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Термин</w:t>
            </w:r>
          </w:p>
        </w:tc>
        <w:tc>
          <w:tcPr>
            <w:tcW w:type="dxa" w:w="7030"/>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Определение</w:t>
            </w:r>
          </w:p>
        </w:tc>
      </w:tr>
      <w:tr>
        <w:trPr>
          <w:cantSplit/>
        </w:trPr>
        <w:tc>
          <w:tcPr>
            <w:tcW w:type="dxa" w:w="226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API</w:t>
            </w:r>
          </w:p>
        </w:tc>
        <w:tc>
          <w:tcPr>
            <w:tcW w:type="dxa" w:w="703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программный интерфейс, через который клиент получает данные и метаданные</w:t>
            </w:r>
          </w:p>
        </w:tc>
      </w:tr>
      <w:tr>
        <w:trPr>
          <w:cantSplit/>
        </w:trPr>
        <w:tc>
          <w:tcPr>
            <w:tcW w:type="dxa" w:w="226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as-of</w:t>
            </w:r>
          </w:p>
        </w:tc>
        <w:tc>
          <w:tcPr>
            <w:tcW w:type="dxa" w:w="703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профиль из последних доступных наблюдений, даже если годы компонентов различаются</w:t>
            </w:r>
          </w:p>
        </w:tc>
      </w:tr>
      <w:tr>
        <w:trPr>
          <w:cantSplit/>
        </w:trPr>
        <w:tc>
          <w:tcPr>
            <w:tcW w:type="dxa" w:w="226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component signature</w:t>
            </w:r>
          </w:p>
        </w:tc>
        <w:tc>
          <w:tcPr>
            <w:tcW w:type="dxa" w:w="703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точный набор компонентов, использованных в профиле</w:t>
            </w:r>
          </w:p>
        </w:tc>
      </w:tr>
      <w:tr>
        <w:trPr>
          <w:cantSplit/>
        </w:trPr>
        <w:tc>
          <w:tcPr>
            <w:tcW w:type="dxa" w:w="226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confidence</w:t>
            </w:r>
          </w:p>
        </w:tc>
        <w:tc>
          <w:tcPr>
            <w:tcW w:type="dxa" w:w="703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составной показатель покрытия, свежести и разнообразия источников; не вероятность</w:t>
            </w:r>
          </w:p>
        </w:tc>
      </w:tr>
      <w:tr>
        <w:trPr>
          <w:cantSplit/>
        </w:trPr>
        <w:tc>
          <w:tcPr>
            <w:tcW w:type="dxa" w:w="226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derived</w:t>
            </w:r>
          </w:p>
        </w:tc>
        <w:tc>
          <w:tcPr>
            <w:tcW w:type="dxa" w:w="703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значение, рассчитанное платформой из официальных входов</w:t>
            </w:r>
          </w:p>
        </w:tc>
      </w:tr>
      <w:tr>
        <w:trPr>
          <w:cantSplit/>
        </w:trPr>
        <w:tc>
          <w:tcPr>
            <w:tcW w:type="dxa" w:w="226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diagnostic</w:t>
            </w:r>
          </w:p>
        </w:tc>
        <w:tc>
          <w:tcPr>
            <w:tcW w:type="dxa" w:w="703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вспомогательное преобразование для объяснения или рекомендаций, не официальный score</w:t>
            </w:r>
          </w:p>
        </w:tc>
      </w:tr>
      <w:tr>
        <w:trPr>
          <w:cantSplit/>
        </w:trPr>
        <w:tc>
          <w:tcPr>
            <w:tcW w:type="dxa" w:w="226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direct_core</w:t>
            </w:r>
          </w:p>
        </w:tc>
        <w:tc>
          <w:tcPr>
            <w:tcW w:type="dxa" w:w="703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наиболее строгий режим HTEI с прямыми трудовыми компонентами</w:t>
            </w:r>
          </w:p>
        </w:tc>
      </w:tr>
      <w:tr>
        <w:trPr>
          <w:cantSplit/>
        </w:trPr>
        <w:tc>
          <w:tcPr>
            <w:tcW w:type="dxa" w:w="226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download recipe</w:t>
            </w:r>
          </w:p>
        </w:tc>
        <w:tc>
          <w:tcPr>
            <w:tcW w:type="dxa" w:w="703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машиночитаемая инструкция повторного получения raw-файла</w:t>
            </w:r>
          </w:p>
        </w:tc>
      </w:tr>
      <w:tr>
        <w:trPr>
          <w:cantSplit/>
        </w:trPr>
        <w:tc>
          <w:tcPr>
            <w:tcW w:type="dxa" w:w="226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effective weight</w:t>
            </w:r>
          </w:p>
        </w:tc>
        <w:tc>
          <w:tcPr>
            <w:tcW w:type="dxa" w:w="703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вес после перенормирования в доступном наборе</w:t>
            </w:r>
          </w:p>
        </w:tc>
      </w:tr>
      <w:tr>
        <w:trPr>
          <w:cantSplit/>
        </w:trPr>
        <w:tc>
          <w:tcPr>
            <w:tcW w:type="dxa" w:w="226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formula_version</w:t>
            </w:r>
          </w:p>
        </w:tc>
        <w:tc>
          <w:tcPr>
            <w:tcW w:type="dxa" w:w="703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идентификатор состава компонентов, весов и правил расчёта</w:t>
            </w:r>
          </w:p>
        </w:tc>
      </w:tr>
      <w:tr>
        <w:trPr>
          <w:cantSplit/>
        </w:trPr>
        <w:tc>
          <w:tcPr>
            <w:tcW w:type="dxa" w:w="226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ISO3</w:t>
            </w:r>
          </w:p>
        </w:tc>
        <w:tc>
          <w:tcPr>
            <w:tcW w:type="dxa" w:w="703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трёхбуквенный код страны/территории</w:t>
            </w:r>
          </w:p>
        </w:tc>
      </w:tr>
      <w:tr>
        <w:trPr>
          <w:cantSplit/>
        </w:trPr>
        <w:tc>
          <w:tcPr>
            <w:tcW w:type="dxa" w:w="226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lag</w:t>
            </w:r>
          </w:p>
        </w:tc>
        <w:tc>
          <w:tcPr>
            <w:tcW w:type="dxa" w:w="703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разность между годом профиля и годом исходного наблюдения</w:t>
            </w:r>
          </w:p>
        </w:tc>
      </w:tr>
      <w:tr>
        <w:trPr>
          <w:cantSplit/>
        </w:trPr>
        <w:tc>
          <w:tcPr>
            <w:tcW w:type="dxa" w:w="226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lineage / provenance</w:t>
            </w:r>
          </w:p>
        </w:tc>
        <w:tc>
          <w:tcPr>
            <w:tcW w:type="dxa" w:w="703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цепочка происхождения от результата до источника</w:t>
            </w:r>
          </w:p>
        </w:tc>
      </w:tr>
      <w:tr>
        <w:trPr>
          <w:cantSplit/>
        </w:trPr>
        <w:tc>
          <w:tcPr>
            <w:tcW w:type="dxa" w:w="226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min–max</w:t>
            </w:r>
          </w:p>
        </w:tc>
        <w:tc>
          <w:tcPr>
            <w:tcW w:type="dxa" w:w="703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линейное нормирование между минимумом и максимумом</w:t>
            </w:r>
          </w:p>
        </w:tc>
      </w:tr>
      <w:tr>
        <w:trPr>
          <w:cantSplit/>
        </w:trPr>
        <w:tc>
          <w:tcPr>
            <w:tcW w:type="dxa" w:w="226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pillar</w:t>
            </w:r>
          </w:p>
        </w:tc>
        <w:tc>
          <w:tcPr>
            <w:tcW w:type="dxa" w:w="703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крупный тематический блок официального или авторского индекса</w:t>
            </w:r>
          </w:p>
        </w:tc>
      </w:tr>
      <w:tr>
        <w:trPr>
          <w:cantSplit/>
        </w:trPr>
        <w:tc>
          <w:tcPr>
            <w:tcW w:type="dxa" w:w="226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proxy</w:t>
            </w:r>
          </w:p>
        </w:tc>
        <w:tc>
          <w:tcPr>
            <w:tcW w:type="dxa" w:w="703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наблюдаемая переменная, используемая как приближение недоступного конструкта</w:t>
            </w:r>
          </w:p>
        </w:tc>
      </w:tr>
      <w:tr>
        <w:trPr>
          <w:cantSplit/>
        </w:trPr>
        <w:tc>
          <w:tcPr>
            <w:tcW w:type="dxa" w:w="226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raw snapshot</w:t>
            </w:r>
          </w:p>
        </w:tc>
        <w:tc>
          <w:tcPr>
            <w:tcW w:type="dxa" w:w="703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неизменённый снимок полученного источника с контрольной суммой</w:t>
            </w:r>
          </w:p>
        </w:tc>
      </w:tr>
      <w:tr>
        <w:trPr>
          <w:cantSplit/>
        </w:trPr>
        <w:tc>
          <w:tcPr>
            <w:tcW w:type="dxa" w:w="226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release gate</w:t>
            </w:r>
          </w:p>
        </w:tc>
        <w:tc>
          <w:tcPr>
            <w:tcW w:type="dxa" w:w="703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набор автоматических условий, без которых релиз не считается готовым</w:t>
            </w:r>
          </w:p>
        </w:tc>
      </w:tr>
      <w:tr>
        <w:trPr>
          <w:cantSplit/>
        </w:trPr>
        <w:tc>
          <w:tcPr>
            <w:tcW w:type="dxa" w:w="226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score</w:t>
            </w:r>
          </w:p>
        </w:tc>
        <w:tc>
          <w:tcPr>
            <w:tcW w:type="dxa" w:w="703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числовая оценка; её шкала и происхождение всегда должны быть указаны</w:t>
            </w:r>
          </w:p>
        </w:tc>
      </w:tr>
      <w:tr>
        <w:trPr>
          <w:cantSplit/>
        </w:trPr>
        <w:tc>
          <w:tcPr>
            <w:tcW w:type="dxa" w:w="2268"/>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source_data_year</w:t>
            </w:r>
          </w:p>
        </w:tc>
        <w:tc>
          <w:tcPr>
            <w:tcW w:type="dxa" w:w="7030"/>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год фактического исходного наблюдения</w:t>
            </w:r>
          </w:p>
        </w:tc>
      </w:tr>
      <w:tr>
        <w:trPr>
          <w:cantSplit/>
        </w:trPr>
        <w:tc>
          <w:tcPr>
            <w:tcW w:type="dxa" w:w="2268"/>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winsorization</w:t>
            </w:r>
          </w:p>
        </w:tc>
        <w:tc>
          <w:tcPr>
            <w:tcW w:type="dxa" w:w="7030"/>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ограничение экстремальных значений заданными квантилями без удаления наблюдений</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Термины данного документа и проекта GIR.</w:t>
      </w:r>
    </w:p>
    <w:p>
      <w:bookmarkStart w:id="3626" w:name="appi"/>
      <w:pPr>
        <w:pStyle w:val="Heading2"/>
      </w:pPr>
      <w:r>
        <w:t>Приложение I. Источники и библиография</w:t>
      </w:r>
      <w:bookmarkEnd w:id="3626"/>
    </w:p>
    <w:p>
      <w:pPr>
        <w:pStyle w:val="BodyCompact"/>
      </w:pPr>
      <w:r>
        <w:rPr>
          <w:rFonts w:ascii="Noto Serif" w:hAnsi="Noto Serif" w:eastAsia="Noto Serif"/>
          <w:sz w:val="17"/>
        </w:rPr>
        <w:t xml:space="preserve">[1] UNDP Human Development Reports. Human Development Index — Data Center. </w:t>
      </w:r>
      <w:hyperlink r:id="rId41">
        <w:r>
          <w:rPr>
            <w:color w:val="2F6B8A"/>
            <w:u w:val="single"/>
            <w:rFonts w:ascii="Noto Sans" w:hAnsi="Noto Sans"/>
          </w:rPr>
          <w:t>https://hdr.undp.org/data-center</w:t>
        </w:r>
      </w:hyperlink>
    </w:p>
    <w:p>
      <w:pPr>
        <w:pStyle w:val="BodyCompact"/>
      </w:pPr>
      <w:r>
        <w:rPr>
          <w:rFonts w:ascii="Noto Serif" w:hAnsi="Noto Serif" w:eastAsia="Noto Serif"/>
          <w:sz w:val="17"/>
        </w:rPr>
        <w:t xml:space="preserve">[2] UNDP. Human Development Report 2025: Technical Notes. </w:t>
      </w:r>
      <w:hyperlink r:id="rId42">
        <w:r>
          <w:rPr>
            <w:color w:val="2F6B8A"/>
            <w:u w:val="single"/>
            <w:rFonts w:ascii="Noto Sans" w:hAnsi="Noto Sans"/>
          </w:rPr>
          <w:t>https://hdr.undp.org/sites/default/files/2025_HDR/HDR25_Technical_Notes.pdf</w:t>
        </w:r>
      </w:hyperlink>
    </w:p>
    <w:p>
      <w:pPr>
        <w:pStyle w:val="BodyCompact"/>
      </w:pPr>
      <w:r>
        <w:rPr>
          <w:rFonts w:ascii="Noto Serif" w:hAnsi="Noto Serif" w:eastAsia="Noto Serif"/>
          <w:sz w:val="17"/>
        </w:rPr>
        <w:t xml:space="preserve">[3] World Bank. Human Capital Project and historical Human Capital Index. </w:t>
      </w:r>
      <w:hyperlink r:id="rId43">
        <w:r>
          <w:rPr>
            <w:color w:val="2F6B8A"/>
            <w:u w:val="single"/>
            <w:rFonts w:ascii="Noto Sans" w:hAnsi="Noto Sans"/>
          </w:rPr>
          <w:t>https://www.worldbank.org/en/publication/human-capital</w:t>
        </w:r>
      </w:hyperlink>
    </w:p>
    <w:p>
      <w:pPr>
        <w:pStyle w:val="BodyCompact"/>
      </w:pPr>
      <w:r>
        <w:rPr>
          <w:rFonts w:ascii="Noto Serif" w:hAnsi="Noto Serif" w:eastAsia="Noto Serif"/>
          <w:sz w:val="17"/>
        </w:rPr>
        <w:t xml:space="preserve">[4] World Bank. Human Capital Index Plus: country briefs. </w:t>
      </w:r>
      <w:hyperlink r:id="rId38">
        <w:r>
          <w:rPr>
            <w:color w:val="2F6B8A"/>
            <w:u w:val="single"/>
            <w:rFonts w:ascii="Noto Sans" w:hAnsi="Noto Sans"/>
          </w:rPr>
          <w:t>https://humancapital.worldbank.org/en/country-briefs</w:t>
        </w:r>
      </w:hyperlink>
    </w:p>
    <w:p>
      <w:pPr>
        <w:pStyle w:val="BodyCompact"/>
      </w:pPr>
      <w:r>
        <w:rPr>
          <w:rFonts w:ascii="Noto Serif" w:hAnsi="Noto Serif" w:eastAsia="Noto Serif"/>
          <w:sz w:val="17"/>
        </w:rPr>
        <w:t xml:space="preserve">[5] Decerf B., D’Souza R., Schady N., Silva J., Stacy B. The Human Capital Index Plus: Methodology. World Bank, 2026. </w:t>
      </w:r>
      <w:hyperlink r:id="rId44">
        <w:r>
          <w:rPr>
            <w:color w:val="2F6B8A"/>
            <w:u w:val="single"/>
            <w:rFonts w:ascii="Noto Sans" w:hAnsi="Noto Sans"/>
          </w:rPr>
          <w:t>https://doi.org/10.1596/44306</w:t>
        </w:r>
      </w:hyperlink>
    </w:p>
    <w:p>
      <w:pPr>
        <w:pStyle w:val="BodyCompact"/>
      </w:pPr>
      <w:r>
        <w:rPr>
          <w:rFonts w:ascii="Noto Serif" w:hAnsi="Noto Serif" w:eastAsia="Noto Serif"/>
          <w:sz w:val="17"/>
        </w:rPr>
        <w:t xml:space="preserve">[6] Monteiro F., Escalona Reynoso R., Evans P. A. L. (eds.). Global Talent Competitiveness Index 2025. INSEAD / Portulans Institute. </w:t>
      </w:r>
      <w:hyperlink r:id="rId23">
        <w:r>
          <w:rPr>
            <w:color w:val="2F6B8A"/>
            <w:u w:val="single"/>
            <w:rFonts w:ascii="Noto Sans" w:hAnsi="Noto Sans"/>
          </w:rPr>
          <w:t>https://portulansinstitute.org/wp-content/uploads/2025/11/GTCI_2025_report.pdf</w:t>
        </w:r>
      </w:hyperlink>
    </w:p>
    <w:p>
      <w:pPr>
        <w:pStyle w:val="BodyCompact"/>
      </w:pPr>
      <w:r>
        <w:rPr>
          <w:rFonts w:ascii="Noto Serif" w:hAnsi="Noto Serif" w:eastAsia="Noto Serif"/>
          <w:sz w:val="17"/>
        </w:rPr>
        <w:t xml:space="preserve">[7] WIPO. Global Innovation Index 2025. </w:t>
      </w:r>
      <w:hyperlink r:id="rId45">
        <w:r>
          <w:rPr>
            <w:color w:val="2F6B8A"/>
            <w:u w:val="single"/>
            <w:rFonts w:ascii="Noto Sans" w:hAnsi="Noto Sans"/>
          </w:rPr>
          <w:t>https://www.wipo.int/web-publications/global-innovation-index-2025/assets/89507/global-innovation-index-2025-en.pdf</w:t>
        </w:r>
      </w:hyperlink>
    </w:p>
    <w:p>
      <w:pPr>
        <w:pStyle w:val="BodyCompact"/>
      </w:pPr>
      <w:r>
        <w:rPr>
          <w:rFonts w:ascii="Noto Serif" w:hAnsi="Noto Serif" w:eastAsia="Noto Serif"/>
          <w:sz w:val="17"/>
        </w:rPr>
        <w:t xml:space="preserve">[8] WIPO. Global Innovation Index database. </w:t>
      </w:r>
      <w:hyperlink r:id="rId46">
        <w:r>
          <w:rPr>
            <w:color w:val="2F6B8A"/>
            <w:u w:val="single"/>
            <w:rFonts w:ascii="Noto Sans" w:hAnsi="Noto Sans"/>
          </w:rPr>
          <w:t>https://www.wipo.int/global_innovation_index/en/</w:t>
        </w:r>
      </w:hyperlink>
    </w:p>
    <w:p>
      <w:pPr>
        <w:pStyle w:val="BodyCompact"/>
      </w:pPr>
      <w:r>
        <w:rPr>
          <w:rFonts w:ascii="Noto Serif" w:hAnsi="Noto Serif" w:eastAsia="Noto Serif"/>
          <w:sz w:val="17"/>
        </w:rPr>
        <w:t xml:space="preserve">[9] ITU. ICT Development Index 2025. </w:t>
      </w:r>
      <w:hyperlink r:id="rId47">
        <w:r>
          <w:rPr>
            <w:color w:val="2F6B8A"/>
            <w:u w:val="single"/>
            <w:rFonts w:ascii="Noto Sans" w:hAnsi="Noto Sans"/>
          </w:rPr>
          <w:t>https://www.itu.int/itu-d/reports/statistics/idi2025/</w:t>
        </w:r>
      </w:hyperlink>
    </w:p>
    <w:p>
      <w:pPr>
        <w:pStyle w:val="BodyCompact"/>
      </w:pPr>
      <w:r>
        <w:rPr>
          <w:rFonts w:ascii="Noto Serif" w:hAnsi="Noto Serif" w:eastAsia="Noto Serif"/>
          <w:sz w:val="17"/>
        </w:rPr>
        <w:t xml:space="preserve">[10] ITU. ICT Development Index 2026. </w:t>
      </w:r>
      <w:hyperlink r:id="rId48">
        <w:r>
          <w:rPr>
            <w:color w:val="2F6B8A"/>
            <w:u w:val="single"/>
            <w:rFonts w:ascii="Noto Sans" w:hAnsi="Noto Sans"/>
          </w:rPr>
          <w:t>https://www.itu.int/dms_pub/itu-d/opb/ind/D-IND-ICT_MDD-2026-PDF-E.pdf</w:t>
        </w:r>
      </w:hyperlink>
    </w:p>
    <w:p>
      <w:pPr>
        <w:pStyle w:val="BodyCompact"/>
      </w:pPr>
      <w:r>
        <w:rPr>
          <w:rFonts w:ascii="Noto Serif" w:hAnsi="Noto Serif" w:eastAsia="Noto Serif"/>
          <w:sz w:val="17"/>
        </w:rPr>
        <w:t xml:space="preserve">[11] QS. QS World University Rankings by Subject: methodology. </w:t>
      </w:r>
      <w:hyperlink r:id="rId49">
        <w:r>
          <w:rPr>
            <w:color w:val="2F6B8A"/>
            <w:u w:val="single"/>
            <w:rFonts w:ascii="Noto Sans" w:hAnsi="Noto Sans"/>
          </w:rPr>
          <w:t>https://www.topuniversities.com/subject-rankings/methodology</w:t>
        </w:r>
      </w:hyperlink>
    </w:p>
    <w:p>
      <w:pPr>
        <w:pStyle w:val="BodyCompact"/>
      </w:pPr>
      <w:r>
        <w:rPr>
          <w:rFonts w:ascii="Noto Serif" w:hAnsi="Noto Serif" w:eastAsia="Noto Serif"/>
          <w:sz w:val="17"/>
        </w:rPr>
        <w:t xml:space="preserve">[12] QS. Engineering &amp; Technology subject ranking. </w:t>
      </w:r>
      <w:hyperlink r:id="rId35">
        <w:r>
          <w:rPr>
            <w:color w:val="2F6B8A"/>
            <w:u w:val="single"/>
            <w:rFonts w:ascii="Noto Sans" w:hAnsi="Noto Sans"/>
          </w:rPr>
          <w:t>https://www.topuniversities.com/university-subject-rankings/engineering-technology</w:t>
        </w:r>
      </w:hyperlink>
    </w:p>
    <w:p>
      <w:pPr>
        <w:pStyle w:val="BodyCompact"/>
      </w:pPr>
      <w:r>
        <w:rPr>
          <w:rFonts w:ascii="Noto Serif" w:hAnsi="Noto Serif" w:eastAsia="Noto Serif"/>
          <w:sz w:val="17"/>
        </w:rPr>
        <w:t xml:space="preserve">[13] World Bank API. </w:t>
      </w:r>
      <w:hyperlink r:id="rId50">
        <w:r>
          <w:rPr>
            <w:color w:val="2F6B8A"/>
            <w:u w:val="single"/>
            <w:rFonts w:ascii="Noto Sans" w:hAnsi="Noto Sans"/>
          </w:rPr>
          <w:t>https://api.worldbank.org/v2</w:t>
        </w:r>
      </w:hyperlink>
    </w:p>
    <w:p>
      <w:pPr>
        <w:pStyle w:val="BodyCompact"/>
      </w:pPr>
      <w:r>
        <w:rPr>
          <w:rFonts w:ascii="Noto Serif" w:hAnsi="Noto Serif" w:eastAsia="Noto Serif"/>
          <w:sz w:val="17"/>
        </w:rPr>
        <w:t xml:space="preserve">[14] UNESCO Institute for Statistics API. </w:t>
      </w:r>
      <w:hyperlink r:id="rId27">
        <w:r>
          <w:rPr>
            <w:color w:val="2F6B8A"/>
            <w:u w:val="single"/>
            <w:rFonts w:ascii="Noto Sans" w:hAnsi="Noto Sans"/>
          </w:rPr>
          <w:t>https://api.uis.unesco.org/api/public/data/indicators</w:t>
        </w:r>
      </w:hyperlink>
    </w:p>
    <w:p>
      <w:pPr>
        <w:pStyle w:val="BodyCompact"/>
      </w:pPr>
      <w:r>
        <w:rPr>
          <w:rFonts w:ascii="Noto Serif" w:hAnsi="Noto Serif" w:eastAsia="Noto Serif"/>
          <w:sz w:val="17"/>
        </w:rPr>
        <w:t xml:space="preserve">[15] OECD SDMX-JSON API. </w:t>
      </w:r>
      <w:hyperlink r:id="rId29">
        <w:r>
          <w:rPr>
            <w:color w:val="2F6B8A"/>
            <w:u w:val="single"/>
            <w:rFonts w:ascii="Noto Sans" w:hAnsi="Noto Sans"/>
          </w:rPr>
          <w:t>https://sdmx.oecd.org/public/rest/v1/</w:t>
        </w:r>
      </w:hyperlink>
    </w:p>
    <w:p>
      <w:pPr>
        <w:pStyle w:val="BodyCompact"/>
      </w:pPr>
      <w:r>
        <w:rPr>
          <w:rFonts w:ascii="Noto Serif" w:hAnsi="Noto Serif" w:eastAsia="Noto Serif"/>
          <w:sz w:val="17"/>
        </w:rPr>
        <w:t xml:space="preserve">[16] Eurostat dissemination API. </w:t>
      </w:r>
      <w:hyperlink r:id="rId30">
        <w:r>
          <w:rPr>
            <w:color w:val="2F6B8A"/>
            <w:u w:val="single"/>
            <w:rFonts w:ascii="Noto Sans" w:hAnsi="Noto Sans"/>
          </w:rPr>
          <w:t>https://ec.europa.eu/eurostat/api/dissemination/statistics/1.0/data/</w:t>
        </w:r>
      </w:hyperlink>
    </w:p>
    <w:p>
      <w:pPr>
        <w:pStyle w:val="BodyCompact"/>
      </w:pPr>
      <w:r>
        <w:rPr>
          <w:rFonts w:ascii="Noto Serif" w:hAnsi="Noto Serif" w:eastAsia="Noto Serif"/>
          <w:sz w:val="17"/>
        </w:rPr>
        <w:t xml:space="preserve">[17] ILOSTAT bulk download. </w:t>
      </w:r>
      <w:hyperlink r:id="rId28">
        <w:r>
          <w:rPr>
            <w:color w:val="2F6B8A"/>
            <w:u w:val="single"/>
            <w:rFonts w:ascii="Noto Sans" w:hAnsi="Noto Sans"/>
          </w:rPr>
          <w:t>https://rplumber.ilo.org/files/website/bulk/indicator.html</w:t>
        </w:r>
      </w:hyperlink>
    </w:p>
    <w:p>
      <w:pPr>
        <w:pStyle w:val="BodyCompact"/>
      </w:pPr>
      <w:r>
        <w:rPr>
          <w:rFonts w:ascii="Noto Serif" w:hAnsi="Noto Serif" w:eastAsia="Noto Serif"/>
          <w:sz w:val="17"/>
        </w:rPr>
        <w:t xml:space="preserve">[18] U.S. SEC EDGAR application programming interfaces. </w:t>
      </w:r>
      <w:hyperlink r:id="rId40">
        <w:r>
          <w:rPr>
            <w:color w:val="2F6B8A"/>
            <w:u w:val="single"/>
            <w:rFonts w:ascii="Noto Sans" w:hAnsi="Noto Sans"/>
          </w:rPr>
          <w:t>https://www.sec.gov/search-filings/edgar-application-programming-interfaces</w:t>
        </w:r>
      </w:hyperlink>
    </w:p>
    <w:p>
      <w:pPr>
        <w:pStyle w:val="BodyCompact"/>
      </w:pPr>
      <w:r>
        <w:rPr>
          <w:rFonts w:ascii="Noto Serif" w:hAnsi="Noto Serif" w:eastAsia="Noto Serif"/>
          <w:sz w:val="17"/>
        </w:rPr>
        <w:t xml:space="preserve">[19] GIR project. README and technical documentation included in the release archive. </w:t>
      </w:r>
      <w:r>
        <w:rPr>
          <w:rFonts w:ascii="DejaVu Sans Mono" w:hAnsi="DejaVu Sans Mono" w:eastAsia="DejaVu Sans Mono"/>
          <w:color w:val="5A6E7A"/>
          <w:sz w:val="15"/>
        </w:rPr>
        <w:t>local:README.md</w:t>
      </w:r>
    </w:p>
    <w:p>
      <w:pPr>
        <w:pStyle w:val="BodyCompact"/>
      </w:pPr>
      <w:r>
        <w:rPr>
          <w:rFonts w:ascii="Noto Serif" w:hAnsi="Noto Serif" w:eastAsia="Noto Serif"/>
          <w:sz w:val="17"/>
        </w:rPr>
        <w:t xml:space="preserve">[20] GIR project. HTEI Methodology v6. </w:t>
      </w:r>
      <w:r>
        <w:rPr>
          <w:rFonts w:ascii="DejaVu Sans Mono" w:hAnsi="DejaVu Sans Mono" w:eastAsia="DejaVu Sans Mono"/>
          <w:color w:val="5A6E7A"/>
          <w:sz w:val="15"/>
        </w:rPr>
        <w:t>local:docs/HTEI_METHODOLOGY_V6.md</w:t>
      </w:r>
    </w:p>
    <w:p>
      <w:pPr>
        <w:pStyle w:val="BodyCompact"/>
      </w:pPr>
      <w:r>
        <w:rPr>
          <w:rFonts w:ascii="Noto Serif" w:hAnsi="Noto Serif" w:eastAsia="Noto Serif"/>
          <w:sz w:val="17"/>
        </w:rPr>
        <w:t xml:space="preserve">[21] GIR project. Training Model Methodology v2. </w:t>
      </w:r>
      <w:r>
        <w:rPr>
          <w:rFonts w:ascii="DejaVu Sans Mono" w:hAnsi="DejaVu Sans Mono" w:eastAsia="DejaVu Sans Mono"/>
          <w:color w:val="5A6E7A"/>
          <w:sz w:val="15"/>
        </w:rPr>
        <w:t>local:docs/TRAINING_MODEL_METHODOLOGY_V2.md</w:t>
      </w:r>
    </w:p>
    <w:p>
      <w:pPr>
        <w:pStyle w:val="BodyCompact"/>
      </w:pPr>
      <w:r>
        <w:rPr>
          <w:rFonts w:ascii="Noto Serif" w:hAnsi="Noto Serif" w:eastAsia="Noto Serif"/>
          <w:sz w:val="17"/>
        </w:rPr>
        <w:t xml:space="preserve">[22] GIR project. Data Distribution Policy. </w:t>
      </w:r>
      <w:r>
        <w:rPr>
          <w:rFonts w:ascii="DejaVu Sans Mono" w:hAnsi="DejaVu Sans Mono" w:eastAsia="DejaVu Sans Mono"/>
          <w:color w:val="5A6E7A"/>
          <w:sz w:val="15"/>
        </w:rPr>
        <w:t>local:docs/DATA_DISTRIBUTION_POLICY.md</w:t>
      </w:r>
    </w:p>
    <w:p>
      <w:pPr>
        <w:pStyle w:val="BodyCompact"/>
      </w:pPr>
      <w:r>
        <w:rPr>
          <w:rFonts w:ascii="Noto Serif" w:hAnsi="Noto Serif" w:eastAsia="Noto Serif"/>
          <w:sz w:val="17"/>
        </w:rPr>
        <w:t xml:space="preserve">[23] GIR project. Acceptance dossier and release validation evidence. </w:t>
      </w:r>
      <w:r>
        <w:rPr>
          <w:rFonts w:ascii="DejaVu Sans Mono" w:hAnsi="DejaVu Sans Mono" w:eastAsia="DejaVu Sans Mono"/>
          <w:color w:val="5A6E7A"/>
          <w:sz w:val="15"/>
        </w:rPr>
        <w:t>local:docs/ACCEPTANCE_DOSSIER_RU.md</w:t>
      </w:r>
    </w:p>
    <w:p>
      <w:pPr>
        <w:pStyle w:val="Heading3"/>
      </w:pPr>
      <w:r>
        <w:t>I.1. Основные локальные документы релиза</w:t>
      </w:r>
    </w:p>
    <w:p>
      <w:pPr>
        <w:pStyle w:val="Caption"/>
      </w:pPr>
      <w:r>
        <w:t>Таблица 91. Документы в исходном архиве</w:t>
      </w:r>
    </w:p>
    <w:tbl>
      <w:tblPr>
        <w:tblW w:type="auto" w:w="0"/>
        <w:jc w:val="center"/>
        <w:tblLayout w:type="autofit"/>
        <w:tblLook w:firstColumn="1" w:firstRow="1" w:lastColumn="0" w:lastRow="0" w:noHBand="0" w:noVBand="1" w:val="04A0"/>
      </w:tblPr>
      <w:tblGrid>
        <w:gridCol w:w="4904"/>
        <w:gridCol w:w="4904"/>
      </w:tblGrid>
      <w:tr>
        <w:trPr>
          <w:tblHeader w:val="true"/>
        </w:trPr>
        <w:tc>
          <w:tcPr>
            <w:tcW w:type="dxa" w:w="3969"/>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Путь</w:t>
            </w:r>
          </w:p>
        </w:tc>
        <w:tc>
          <w:tcPr>
            <w:tcW w:type="dxa" w:w="5329"/>
            <w:shd w:fill="17324D"/>
            <w:tcMar>
              <w:top w:w="70" w:type="dxa"/>
              <w:start w:w="70" w:type="dxa"/>
              <w:bottom w:w="70" w:type="dxa"/>
              <w:end w:w="70" w:type="dxa"/>
            </w:tcMar>
            <w:tcBorders>
              <w:top w:val="single" w:sz="2" w:color="D6E0E5"/>
              <w:left w:val="single" w:sz="2" w:color="D6E0E5"/>
              <w:bottom w:val="single" w:sz="2" w:color="D6E0E5"/>
              <w:right w:val="single" w:sz="2" w:color="D6E0E5"/>
            </w:tcBorders>
          </w:tcPr>
          <w:p>
            <w:pPr>
              <w:pStyle w:val="TableText"/>
              <w:jc w:val="center"/>
            </w:pPr>
            <w:r>
              <w:rPr>
                <w:rFonts w:ascii="Noto Sans" w:hAnsi="Noto Sans" w:eastAsia="Noto Sans"/>
                <w:b/>
                <w:color w:val="FFFFFF"/>
                <w:sz w:val="15"/>
              </w:rPr>
              <w:t>Назначение</w:t>
            </w:r>
          </w:p>
        </w:tc>
      </w:tr>
      <w:tr>
        <w:trPr>
          <w:cantSplit/>
        </w:trPr>
        <w:tc>
          <w:tcPr>
            <w:tcW w:type="dxa" w:w="3969"/>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README.md</w:t>
            </w:r>
          </w:p>
        </w:tc>
        <w:tc>
          <w:tcPr>
            <w:tcW w:type="dxa" w:w="5329"/>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обзор, установка и структура</w:t>
            </w:r>
          </w:p>
        </w:tc>
      </w:tr>
      <w:tr>
        <w:trPr>
          <w:cantSplit/>
        </w:trPr>
        <w:tc>
          <w:tcPr>
            <w:tcW w:type="dxa" w:w="3969"/>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docs/architecture.md</w:t>
            </w:r>
          </w:p>
        </w:tc>
        <w:tc>
          <w:tcPr>
            <w:tcW w:type="dxa" w:w="5329"/>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архитектура данных и приложения</w:t>
            </w:r>
          </w:p>
        </w:tc>
      </w:tr>
      <w:tr>
        <w:trPr>
          <w:cantSplit/>
        </w:trPr>
        <w:tc>
          <w:tcPr>
            <w:tcW w:type="dxa" w:w="3969"/>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docs/source_matrix.md</w:t>
            </w:r>
          </w:p>
        </w:tc>
        <w:tc>
          <w:tcPr>
            <w:tcW w:type="dxa" w:w="5329"/>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матрица источников</w:t>
            </w:r>
          </w:p>
        </w:tc>
      </w:tr>
      <w:tr>
        <w:trPr>
          <w:cantSplit/>
        </w:trPr>
        <w:tc>
          <w:tcPr>
            <w:tcW w:type="dxa" w:w="3969"/>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docs/HTEI_METHODOLOGY_V6.md</w:t>
            </w:r>
          </w:p>
        </w:tc>
        <w:tc>
          <w:tcPr>
            <w:tcW w:type="dxa" w:w="5329"/>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текущая методика HTEI</w:t>
            </w:r>
          </w:p>
        </w:tc>
      </w:tr>
      <w:tr>
        <w:trPr>
          <w:cantSplit/>
        </w:trPr>
        <w:tc>
          <w:tcPr>
            <w:tcW w:type="dxa" w:w="3969"/>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docs/HTEI_VALIDATION_REPORT_2026.md</w:t>
            </w:r>
          </w:p>
        </w:tc>
        <w:tc>
          <w:tcPr>
            <w:tcW w:type="dxa" w:w="5329"/>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валидация HTEI</w:t>
            </w:r>
          </w:p>
        </w:tc>
      </w:tr>
      <w:tr>
        <w:trPr>
          <w:cantSplit/>
        </w:trPr>
        <w:tc>
          <w:tcPr>
            <w:tcW w:type="dxa" w:w="3969"/>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docs/TRAINING_MODEL_METHODOLOGY_V2.md</w:t>
            </w:r>
          </w:p>
        </w:tc>
        <w:tc>
          <w:tcPr>
            <w:tcW w:type="dxa" w:w="5329"/>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методика модели подготовки</w:t>
            </w:r>
          </w:p>
        </w:tc>
      </w:tr>
      <w:tr>
        <w:trPr>
          <w:cantSplit/>
        </w:trPr>
        <w:tc>
          <w:tcPr>
            <w:tcW w:type="dxa" w:w="3969"/>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docs/HCI_PLUS_2026_METHOD_NOTE.md</w:t>
            </w:r>
          </w:p>
        </w:tc>
        <w:tc>
          <w:tcPr>
            <w:tcW w:type="dxa" w:w="5329"/>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примечание HCI+</w:t>
            </w:r>
          </w:p>
        </w:tc>
      </w:tr>
      <w:tr>
        <w:trPr>
          <w:cantSplit/>
        </w:trPr>
        <w:tc>
          <w:tcPr>
            <w:tcW w:type="dxa" w:w="3969"/>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docs/DATA_DICTIONARY_RU.md</w:t>
            </w:r>
          </w:p>
        </w:tc>
        <w:tc>
          <w:tcPr>
            <w:tcW w:type="dxa" w:w="5329"/>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словарь полей</w:t>
            </w:r>
          </w:p>
        </w:tc>
      </w:tr>
      <w:tr>
        <w:trPr>
          <w:cantSplit/>
        </w:trPr>
        <w:tc>
          <w:tcPr>
            <w:tcW w:type="dxa" w:w="3969"/>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docs/DATA_DISTRIBUTION_POLICY.md</w:t>
            </w:r>
          </w:p>
        </w:tc>
        <w:tc>
          <w:tcPr>
            <w:tcW w:type="dxa" w:w="5329"/>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распространение и лицензии</w:t>
            </w:r>
          </w:p>
        </w:tc>
      </w:tr>
      <w:tr>
        <w:trPr>
          <w:cantSplit/>
        </w:trPr>
        <w:tc>
          <w:tcPr>
            <w:tcW w:type="dxa" w:w="3969"/>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docs/ACCEPTANCE_DOSSIER_RU.md</w:t>
            </w:r>
          </w:p>
        </w:tc>
        <w:tc>
          <w:tcPr>
            <w:tcW w:type="dxa" w:w="5329"/>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приёмка по ТЗ</w:t>
            </w:r>
          </w:p>
        </w:tc>
      </w:tr>
      <w:tr>
        <w:trPr>
          <w:cantSplit/>
        </w:trPr>
        <w:tc>
          <w:tcPr>
            <w:tcW w:type="dxa" w:w="3969"/>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docs/RELEASE_EVIDENCE.md</w:t>
            </w:r>
          </w:p>
        </w:tc>
        <w:tc>
          <w:tcPr>
            <w:tcW w:type="dxa" w:w="5329"/>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доказательства релиза</w:t>
            </w:r>
          </w:p>
        </w:tc>
      </w:tr>
      <w:tr>
        <w:trPr>
          <w:cantSplit/>
        </w:trPr>
        <w:tc>
          <w:tcPr>
            <w:tcW w:type="dxa" w:w="3969"/>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docs/RELEASE_STATUS.md</w:t>
            </w:r>
          </w:p>
        </w:tc>
        <w:tc>
          <w:tcPr>
            <w:tcW w:type="dxa" w:w="5329"/>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сгенерированный статус (требует обновления)</w:t>
            </w:r>
          </w:p>
        </w:tc>
      </w:tr>
      <w:tr>
        <w:trPr>
          <w:cantSplit/>
        </w:trPr>
        <w:tc>
          <w:tcPr>
            <w:tcW w:type="dxa" w:w="3969"/>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docs/USER_GUIDE_RU.md</w:t>
            </w:r>
          </w:p>
        </w:tc>
        <w:tc>
          <w:tcPr>
            <w:tcW w:type="dxa" w:w="5329"/>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руководство пользователя</w:t>
            </w:r>
          </w:p>
        </w:tc>
      </w:tr>
      <w:tr>
        <w:trPr>
          <w:cantSplit/>
        </w:trPr>
        <w:tc>
          <w:tcPr>
            <w:tcW w:type="dxa" w:w="3969"/>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docs/ADMIN_GUIDE_RU.md</w:t>
            </w:r>
          </w:p>
        </w:tc>
        <w:tc>
          <w:tcPr>
            <w:tcW w:type="dxa" w:w="5329"/>
            <w:shd w:fill="F7F9FA"/>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администрирование</w:t>
            </w:r>
          </w:p>
        </w:tc>
      </w:tr>
      <w:tr>
        <w:trPr>
          <w:cantSplit/>
        </w:trPr>
        <w:tc>
          <w:tcPr>
            <w:tcW w:type="dxa" w:w="3969"/>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docs/UPDATE_AND_BACKUP_REGULATION_RU.md</w:t>
            </w:r>
          </w:p>
        </w:tc>
        <w:tc>
          <w:tcPr>
            <w:tcW w:type="dxa" w:w="5329"/>
            <w:tcMar>
              <w:top w:w="55" w:type="dxa"/>
              <w:start w:w="60" w:type="dxa"/>
              <w:bottom w:w="55" w:type="dxa"/>
              <w:end w:w="60" w:type="dxa"/>
            </w:tcMar>
            <w:vAlign w:val="center"/>
            <w:tcBorders>
              <w:top w:val="single" w:sz="2" w:color="D6E0E5"/>
              <w:left w:val="single" w:sz="2" w:color="D6E0E5"/>
              <w:bottom w:val="single" w:sz="2" w:color="D6E0E5"/>
              <w:right w:val="single" w:sz="2" w:color="D6E0E5"/>
            </w:tcBorders>
          </w:tcPr>
          <w:p>
            <w:pPr>
              <w:pStyle w:val="TableText"/>
            </w:pPr>
            <w:r>
              <w:rPr>
                <w:rFonts w:ascii="Noto Sans" w:hAnsi="Noto Sans" w:eastAsia="Noto Sans"/>
                <w:color w:val="243746"/>
                <w:sz w:val="14"/>
              </w:rPr>
              <w:t>обновление и резервирование</w:t>
            </w:r>
          </w:p>
        </w:tc>
      </w:tr>
    </w:tbl>
    <w:p>
      <w:pPr>
        <w:pStyle w:val="SmallNote"/>
      </w:pPr>
      <w:r>
        <w:rPr>
          <w:rFonts w:ascii="Noto Sans" w:hAnsi="Noto Sans" w:eastAsia="Noto Sans"/>
          <w:b/>
          <w:color w:val="5A6E7A"/>
          <w:sz w:val="16"/>
        </w:rPr>
        <w:t xml:space="preserve">Источник: </w:t>
      </w:r>
      <w:r>
        <w:rPr>
          <w:rFonts w:ascii="Noto Sans" w:hAnsi="Noto Sans" w:eastAsia="Noto Sans"/>
          <w:color w:val="5A6E7A"/>
          <w:sz w:val="16"/>
        </w:rPr>
        <w:t>Файлы релизного архива.</w:t>
      </w:r>
    </w:p>
    <w:p>
      <w:bookmarkStart w:id="3676" w:name="appj"/>
      <w:pPr>
        <w:pStyle w:val="Heading2"/>
      </w:pPr>
      <w:r>
        <w:t>Приложение J. Контрольный лист внедрения новой страницы</w:t>
      </w:r>
      <w:bookmarkEnd w:id="3676"/>
    </w:p>
    <w:p>
      <w:pPr>
        <w:pStyle w:val="ListBullet"/>
        <w:ind w:left="369" w:hanging="142"/>
      </w:pPr>
      <w:r>
        <w:rPr>
          <w:rFonts w:ascii="Noto Serif" w:hAnsi="Noto Serif" w:eastAsia="Noto Serif"/>
          <w:sz w:val="18"/>
        </w:rPr>
        <w:t>утвердить публичное название проекта и связь GIR/GIIP;</w:t>
      </w:r>
    </w:p>
    <w:p>
      <w:pPr>
        <w:pStyle w:val="ListBullet"/>
        <w:ind w:left="369" w:hanging="142"/>
      </w:pPr>
      <w:r>
        <w:rPr>
          <w:rFonts w:ascii="Noto Serif" w:hAnsi="Noto Serif" w:eastAsia="Noto Serif"/>
          <w:sz w:val="18"/>
        </w:rPr>
        <w:t>утвердить персональное авторство HTEI и модели подготовки;</w:t>
      </w:r>
    </w:p>
    <w:p>
      <w:pPr>
        <w:pStyle w:val="ListBullet"/>
        <w:ind w:left="369" w:hanging="142"/>
      </w:pPr>
      <w:r>
        <w:rPr>
          <w:rFonts w:ascii="Noto Serif" w:hAnsi="Noto Serif" w:eastAsia="Noto Serif"/>
          <w:sz w:val="18"/>
        </w:rPr>
        <w:t>исправить порог Training Model 65/70%;</w:t>
      </w:r>
    </w:p>
    <w:p>
      <w:pPr>
        <w:pStyle w:val="ListBullet"/>
        <w:ind w:left="369" w:hanging="142"/>
      </w:pPr>
      <w:r>
        <w:rPr>
          <w:rFonts w:ascii="Noto Serif" w:hAnsi="Noto Serif" w:eastAsia="Noto Serif"/>
          <w:sz w:val="18"/>
        </w:rPr>
        <w:t>обновить IDI до выпуска 2026 либо явно указать «данные 2025»;</w:t>
      </w:r>
    </w:p>
    <w:p>
      <w:pPr>
        <w:pStyle w:val="ListBullet"/>
        <w:ind w:left="369" w:hanging="142"/>
      </w:pPr>
      <w:r>
        <w:rPr>
          <w:rFonts w:ascii="Noto Serif" w:hAnsi="Noto Serif" w:eastAsia="Noto Serif"/>
          <w:sz w:val="18"/>
        </w:rPr>
        <w:t>регенерировать release status и OpenAPI version;</w:t>
      </w:r>
    </w:p>
    <w:p>
      <w:pPr>
        <w:pStyle w:val="ListBullet"/>
        <w:ind w:left="369" w:hanging="142"/>
      </w:pPr>
      <w:r>
        <w:rPr>
          <w:rFonts w:ascii="Noto Serif" w:hAnsi="Noto Serif" w:eastAsia="Noto Serif"/>
          <w:sz w:val="18"/>
        </w:rPr>
        <w:t>добавить badges official / derived / project ко всем индексам;</w:t>
      </w:r>
    </w:p>
    <w:p>
      <w:pPr>
        <w:pStyle w:val="ListBullet"/>
        <w:ind w:left="369" w:hanging="142"/>
      </w:pPr>
      <w:r>
        <w:rPr>
          <w:rFonts w:ascii="Noto Serif" w:hAnsi="Noto Serif" w:eastAsia="Noto Serif"/>
          <w:sz w:val="18"/>
        </w:rPr>
        <w:t>развести HCI historical и HCI+ 2026;</w:t>
      </w:r>
    </w:p>
    <w:p>
      <w:pPr>
        <w:pStyle w:val="ListBullet"/>
        <w:ind w:left="369" w:hanging="142"/>
      </w:pPr>
      <w:r>
        <w:rPr>
          <w:rFonts w:ascii="Noto Serif" w:hAnsi="Noto Serif" w:eastAsia="Noto Serif"/>
          <w:sz w:val="18"/>
        </w:rPr>
        <w:t>переименовать QS_ET как страновую агрегацию GIR;</w:t>
      </w:r>
    </w:p>
    <w:p>
      <w:pPr>
        <w:pStyle w:val="ListBullet"/>
        <w:ind w:left="369" w:hanging="142"/>
      </w:pPr>
      <w:r>
        <w:rPr>
          <w:rFonts w:ascii="Noto Serif" w:hAnsi="Noto Serif" w:eastAsia="Noto Serif"/>
          <w:sz w:val="18"/>
        </w:rPr>
        <w:t>показать HTEI coverage mode, source data year, confidence и intervals;</w:t>
      </w:r>
    </w:p>
    <w:p>
      <w:pPr>
        <w:pStyle w:val="ListBullet"/>
        <w:ind w:left="369" w:hanging="142"/>
      </w:pPr>
      <w:r>
        <w:rPr>
          <w:rFonts w:ascii="Noto Serif" w:hAnsi="Noto Serif" w:eastAsia="Noto Serif"/>
          <w:sz w:val="18"/>
        </w:rPr>
        <w:t>сделать source/provenance ссылки доступными из каждого значения;</w:t>
      </w:r>
    </w:p>
    <w:p>
      <w:pPr>
        <w:pStyle w:val="ListBullet"/>
        <w:ind w:left="369" w:hanging="142"/>
      </w:pPr>
      <w:r>
        <w:rPr>
          <w:rFonts w:ascii="Noto Serif" w:hAnsi="Noto Serif" w:eastAsia="Noto Serif"/>
          <w:sz w:val="18"/>
        </w:rPr>
        <w:t>добавить раздел ограничений и пустое состояние external reviews;</w:t>
      </w:r>
    </w:p>
    <w:p>
      <w:pPr>
        <w:pStyle w:val="ListBullet"/>
        <w:ind w:left="369" w:hanging="142"/>
      </w:pPr>
      <w:r>
        <w:rPr>
          <w:rFonts w:ascii="Noto Serif" w:hAnsi="Noto Serif" w:eastAsia="Noto Serif"/>
          <w:sz w:val="18"/>
        </w:rPr>
        <w:t>связать текст страницы с registry/API, чтобы исключить ручной drift;</w:t>
      </w:r>
    </w:p>
    <w:p>
      <w:pPr>
        <w:pStyle w:val="ListBullet"/>
        <w:ind w:left="369" w:hanging="142"/>
      </w:pPr>
      <w:r>
        <w:rPr>
          <w:rFonts w:ascii="Noto Serif" w:hAnsi="Noto Serif" w:eastAsia="Noto Serif"/>
          <w:sz w:val="18"/>
        </w:rPr>
        <w:t>проверить мобильную версию, контраст, клавиатурную навигацию и печать;</w:t>
      </w:r>
    </w:p>
    <w:p>
      <w:pPr>
        <w:pStyle w:val="ListBullet"/>
        <w:ind w:left="369" w:hanging="142"/>
      </w:pPr>
      <w:r>
        <w:rPr>
          <w:rFonts w:ascii="Noto Serif" w:hAnsi="Noto Serif" w:eastAsia="Noto Serif"/>
          <w:sz w:val="18"/>
        </w:rPr>
        <w:t>добавить скачивание DOCX/PDF/Markdown и дату среза данных.</w:t>
      </w:r>
    </w:p>
    <w:p>
      <w:pPr>
        <w:spacing w:before="360"/>
        <w:jc w:val="center"/>
      </w:pPr>
      <w:r>
        <w:rPr>
          <w:rFonts w:ascii="Noto Sans" w:hAnsi="Noto Sans" w:eastAsia="Noto Sans"/>
          <w:b/>
          <w:color w:val="5A6E7A"/>
          <w:sz w:val="18"/>
        </w:rPr>
        <w:t>Конец документа</w:t>
      </w:r>
    </w:p>
    <w:sectPr>
      <w:headerReference w:type="default" r:id="rId9"/>
      <w:footerReference w:type="default" r:id="rId10"/>
      <w:pgSz w:w="11906" w:h="16838"/>
      <w:pgMar w:top="1020" w:right="964" w:bottom="964"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904"/>
      <w:gridCol w:w="4904"/>
    </w:tblGrid>
    <w:tr>
      <w:tc>
        <w:tcPr>
          <w:tcW w:type="dxa" w:w="4904"/>
        </w:tcPr>
        <w:p>
          <w:r>
            <w:rPr>
              <w:rFonts w:ascii="Noto Sans" w:hAnsi="Noto Sans" w:eastAsia="Noto Sans"/>
              <w:color w:val="5A6E7A"/>
              <w:sz w:val="15"/>
            </w:rPr>
            <w:t>Редакция от 12 июля 2026 г.</w:t>
          </w:r>
        </w:p>
      </w:tc>
      <w:tc>
        <w:tcPr>
          <w:tcW w:type="dxa" w:w="4904"/>
        </w:tcPr>
        <w:p>
          <w:pPr>
            <w:jc w:val="right"/>
          </w:pPr>
          <w:r>
            <w:rPr>
              <w:rFonts w:ascii="Noto Sans" w:hAnsi="Noto Sans" w:eastAsia="Noto Sans"/>
              <w:color w:val="5A6E7A"/>
              <w:sz w:val="15"/>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Noto Sans" w:hAnsi="Noto Sans" w:eastAsia="Noto Sans"/>
        <w:b/>
        <w:color w:val="5A6E7A"/>
        <w:sz w:val="16"/>
      </w:rPr>
      <w:t>GIR · Методология и техническая документация</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4" w:line="259" w:lineRule="auto"/>
      <w:jc w:val="both"/>
    </w:pPr>
    <w:rPr>
      <w:rFonts w:ascii="Noto Serif" w:hAnsi="Noto Seri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Noto Sans" w:hAnsi="Noto Sans"/>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Noto Sans" w:hAnsi="Noto Sans"/>
      <w:b/>
      <w:bCs/>
      <w:color w:val="2F6B8A"/>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Noto Sans" w:hAnsi="Noto Sans"/>
      <w:b/>
      <w:bCs/>
      <w:color w:val="2F8F83"/>
      <w:sz w:val="22"/>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Noto Sans" w:hAnsi="Noto Sans"/>
      <w:b/>
      <w:bCs/>
      <w:i/>
      <w:iCs/>
      <w:color w:val="705A8A"/>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Noto Sans" w:hAnsi="Noto Sans"/>
      <w:b/>
      <w:color w:val="1732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Noto Sans" w:hAnsi="Noto Sans"/>
      <w:b/>
      <w:i/>
      <w:iCs/>
      <w:color w:val="5A6E7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jc w:val="center"/>
    </w:pPr>
    <w:rPr>
      <w:rFonts w:ascii="Noto Sans" w:hAnsi="Noto Sans"/>
      <w:b/>
      <w:bCs/>
      <w:i/>
      <w:color w:val="5A6E7A"/>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Compact">
    <w:name w:val="Body Compact"/>
    <w:pPr>
      <w:spacing w:after="50" w:line="240" w:lineRule="auto"/>
    </w:pPr>
    <w:rPr>
      <w:rFonts w:ascii="Noto Serif" w:hAnsi="Noto Serif"/>
      <w:sz w:val="17"/>
    </w:rPr>
  </w:style>
  <w:style w:type="paragraph" w:customStyle="1" w:styleId="TableText">
    <w:name w:val="Table Text"/>
    <w:pPr>
      <w:spacing w:after="0" w:line="240" w:lineRule="auto"/>
    </w:pPr>
    <w:rPr>
      <w:rFonts w:ascii="Noto Sans" w:hAnsi="Noto Sans"/>
      <w:sz w:val="15"/>
    </w:rPr>
  </w:style>
  <w:style w:type="paragraph" w:customStyle="1" w:styleId="SmallNote">
    <w:name w:val="Small Note"/>
    <w:pPr>
      <w:spacing w:after="80" w:line="240" w:lineRule="auto"/>
    </w:pPr>
    <w:rPr>
      <w:rFonts w:ascii="Noto Sans" w:hAnsi="Noto Sans"/>
      <w:color w:val="5A6E7A"/>
      <w:sz w:val="16"/>
    </w:rPr>
  </w:style>
  <w:style w:type="paragraph" w:customStyle="1" w:styleId="CodeBlock">
    <w:name w:val="Code Block"/>
    <w:pPr>
      <w:spacing w:before="60" w:after="100"/>
      <w:ind w:left="198" w:right="142"/>
    </w:pPr>
    <w:rPr>
      <w:rFonts w:ascii="DejaVu Sans Mono" w:hAnsi="DejaVu Sans Mono"/>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hyperlink" Target="https://hdr.undp.org/sites/default/files/2025_HDR/HDR25_Composite_indices_complete_time_series.csv" TargetMode="External"/><Relationship Id="rId21" Type="http://schemas.openxmlformats.org/officeDocument/2006/relationships/hyperlink" Target="https://api.worldbank.org/v2/source/63" TargetMode="External"/><Relationship Id="rId22" Type="http://schemas.openxmlformats.org/officeDocument/2006/relationships/hyperlink" Target="https://api.worldbank.org/v2/country?format=json&amp;per_page=400" TargetMode="External"/><Relationship Id="rId23" Type="http://schemas.openxmlformats.org/officeDocument/2006/relationships/hyperlink" Target="https://portulansinstitute.org/wp-content/uploads/2025/11/GTCI_2025_report.pdf" TargetMode="External"/><Relationship Id="rId24" Type="http://schemas.openxmlformats.org/officeDocument/2006/relationships/hyperlink" Target="https://tind.wipo.int/record/58882/files/wipo-pub-2000-2025-gii-tech1.xlsx" TargetMode="External"/><Relationship Id="rId25" Type="http://schemas.openxmlformats.org/officeDocument/2006/relationships/hyperlink" Target="https://www.itu.int/itu-d/reports/statistics/wp-content/uploads/sites/5/2025/06/IDIDataset_2025.xlsx" TargetMode="External"/><Relationship Id="rId26" Type="http://schemas.openxmlformats.org/officeDocument/2006/relationships/hyperlink" Target="https://api.worldbank.org/v2/indicator" TargetMode="External"/><Relationship Id="rId27" Type="http://schemas.openxmlformats.org/officeDocument/2006/relationships/hyperlink" Target="https://api.uis.unesco.org/api/public/data/indicators" TargetMode="External"/><Relationship Id="rId28" Type="http://schemas.openxmlformats.org/officeDocument/2006/relationships/hyperlink" Target="https://rplumber.ilo.org/files/website/bulk/indicator.html" TargetMode="External"/><Relationship Id="rId29" Type="http://schemas.openxmlformats.org/officeDocument/2006/relationships/hyperlink" Target="https://sdmx.oecd.org/public/rest/v1/" TargetMode="External"/><Relationship Id="rId30" Type="http://schemas.openxmlformats.org/officeDocument/2006/relationships/hyperlink" Target="https://ec.europa.eu/eurostat/api/dissemination/statistics/1.0/data/" TargetMode="External"/><Relationship Id="rId31" Type="http://schemas.openxmlformats.org/officeDocument/2006/relationships/hyperlink" Target="local:methodology/national-statistics-register" TargetMode="External"/><Relationship Id="rId32" Type="http://schemas.openxmlformats.org/officeDocument/2006/relationships/hyperlink" Target="local:methodology/corporate-report-register" TargetMode="External"/><Relationship Id="rId33" Type="http://schemas.openxmlformats.org/officeDocument/2006/relationships/hyperlink" Target="local:methodology/specialized-ratings-register" TargetMode="External"/><Relationship Id="rId34" Type="http://schemas.openxmlformats.org/officeDocument/2006/relationships/hyperlink" Target="local:methodology/htei-observation-staging-v3" TargetMode="External"/><Relationship Id="rId35" Type="http://schemas.openxmlformats.org/officeDocument/2006/relationships/hyperlink" Target="https://www.topuniversities.com/university-subject-rankings/engineering-technology" TargetMode="External"/><Relationship Id="rId36" Type="http://schemas.openxmlformats.org/officeDocument/2006/relationships/hyperlink" Target="local:docs/HTEI_METHODOLOGY_V5.md" TargetMode="External"/><Relationship Id="rId37" Type="http://schemas.openxmlformats.org/officeDocument/2006/relationships/hyperlink" Target="local:docs/HTEI_METHODOLOGY_V6.md" TargetMode="External"/><Relationship Id="rId38" Type="http://schemas.openxmlformats.org/officeDocument/2006/relationships/hyperlink" Target="https://humancapital.worldbank.org/en/country-briefs" TargetMode="External"/><Relationship Id="rId39" Type="http://schemas.openxmlformats.org/officeDocument/2006/relationships/hyperlink" Target="local:configs/national_statistics_sources.release.json" TargetMode="External"/><Relationship Id="rId40" Type="http://schemas.openxmlformats.org/officeDocument/2006/relationships/hyperlink" Target="https://www.sec.gov/search-filings/edgar-application-programming-interfaces" TargetMode="External"/><Relationship Id="rId41" Type="http://schemas.openxmlformats.org/officeDocument/2006/relationships/hyperlink" Target="https://hdr.undp.org/data-center" TargetMode="External"/><Relationship Id="rId42" Type="http://schemas.openxmlformats.org/officeDocument/2006/relationships/hyperlink" Target="https://hdr.undp.org/sites/default/files/2025_HDR/HDR25_Technical_Notes.pdf" TargetMode="External"/><Relationship Id="rId43" Type="http://schemas.openxmlformats.org/officeDocument/2006/relationships/hyperlink" Target="https://www.worldbank.org/en/publication/human-capital" TargetMode="External"/><Relationship Id="rId44" Type="http://schemas.openxmlformats.org/officeDocument/2006/relationships/hyperlink" Target="https://doi.org/10.1596/44306" TargetMode="External"/><Relationship Id="rId45" Type="http://schemas.openxmlformats.org/officeDocument/2006/relationships/hyperlink" Target="https://www.wipo.int/web-publications/global-innovation-index-2025/assets/89507/global-innovation-index-2025-en.pdf" TargetMode="External"/><Relationship Id="rId46" Type="http://schemas.openxmlformats.org/officeDocument/2006/relationships/hyperlink" Target="https://www.wipo.int/global_innovation_index/en/" TargetMode="External"/><Relationship Id="rId47" Type="http://schemas.openxmlformats.org/officeDocument/2006/relationships/hyperlink" Target="https://www.itu.int/itu-d/reports/statistics/idi2025/" TargetMode="External"/><Relationship Id="rId48" Type="http://schemas.openxmlformats.org/officeDocument/2006/relationships/hyperlink" Target="https://www.itu.int/dms_pub/itu-d/opb/ind/D-IND-ICT_MDD-2026-PDF-E.pdf" TargetMode="External"/><Relationship Id="rId49" Type="http://schemas.openxmlformats.org/officeDocument/2006/relationships/hyperlink" Target="https://www.topuniversities.com/subject-rankings/methodology" TargetMode="External"/><Relationship Id="rId50" Type="http://schemas.openxmlformats.org/officeDocument/2006/relationships/hyperlink" Target="https://api.worldbank.org/v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Методология проекта GIR: полное описание данных, индексов, алгоритмов и API</dc:title>
  <dc:subject>Методологическая и техническая документация проекта Global Index Ranker</dc:subject>
  <dc:creator/>
  <cp:keywords>GIR; методология; индексы; HTEI; API; база данных; воспроизводимость</cp:keywords>
  <dc:description>generated by python-docx</dc:description>
  <cp:lastModifiedBy/>
  <cp:revision>1</cp:revision>
  <dcterms:created xsi:type="dcterms:W3CDTF">2013-12-23T23:15:00Z</dcterms:created>
  <dcterms:modified xsi:type="dcterms:W3CDTF">2013-12-23T23:15:00Z</dcterms:modified>
  <cp:category/>
</cp:coreProperties>
</file>