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«ЭКОЛОГИЧЕСКОЕ БЛАГОПОЛУЧИЕ»</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szCs w:val="28"/>
          <w:lang w:val="ru-RU"/>
        </w:rPr>
        <w:t>СОДЕРЖАНИЕ</w:t>
      </w:r>
    </w:p>
    <w:p>
      <w:pPr>
        <w:pStyle w:val="TOCEntry"/>
        <w:keepNext/>
        <w:keepLines/>
        <w:tabs>
          <w:tab w:pos="9581" w:val="right" w:leader="dot"/>
        </w:tabs>
        <w:spacing w:after="80"/>
        <w:ind w:left="0" w:firstLine="0" w:right="170"/>
      </w:pPr>
      <w:hyperlink w:anchor="sec_001" w:history="1">
        <w:r>
          <w:rPr>
            <w:rFonts w:ascii="Times New Roman" w:hAnsi="Times New Roman" w:cs="Times New Roman"/>
            <w:b/>
            <w:color w:val="000000"/>
            <w:sz w:val="24"/>
          </w:rPr>
          <w:t>Основные результаты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sec_001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3</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02" w:history="1">
        <w:r>
          <w:rPr>
            <w:rFonts w:ascii="Times New Roman" w:hAnsi="Times New Roman" w:cs="Times New Roman"/>
            <w:b/>
            <w:color w:val="000000"/>
            <w:sz w:val="24"/>
          </w:rPr>
          <w:t>1 Предмет и методические основания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sec_002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6</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3" w:history="1">
        <w:r>
          <w:rPr>
            <w:rFonts w:ascii="Times New Roman" w:hAnsi="Times New Roman" w:cs="Times New Roman"/>
            <w:color w:val="000000"/>
            <w:sz w:val="24"/>
          </w:rPr>
          <w:t>1.1 Предмет экспертизы и критерии экологического результата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4" w:history="1">
        <w:r>
          <w:rPr>
            <w:rFonts w:ascii="Times New Roman" w:hAnsi="Times New Roman" w:cs="Times New Roman"/>
            <w:color w:val="000000"/>
            <w:sz w:val="24"/>
          </w:rPr>
          <w:t>1.2 Источники и логика доказательств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8</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05" w:history="1">
        <w:r>
          <w:rPr>
            <w:rFonts w:ascii="Times New Roman" w:hAnsi="Times New Roman" w:cs="Times New Roman"/>
            <w:b/>
            <w:color w:val="000000"/>
            <w:sz w:val="24"/>
          </w:rPr>
          <w:t>2 Структура и механизмы национального проекта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sec_005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10</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6" w:history="1">
        <w:r>
          <w:rPr>
            <w:rFonts w:ascii="Times New Roman" w:hAnsi="Times New Roman" w:cs="Times New Roman"/>
            <w:color w:val="000000"/>
            <w:sz w:val="24"/>
          </w:rPr>
          <w:t>2.1 Система целей и статус открытых сведений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7" w:history="1">
        <w:r>
          <w:rPr>
            <w:rFonts w:ascii="Times New Roman" w:hAnsi="Times New Roman" w:cs="Times New Roman"/>
            <w:color w:val="000000"/>
            <w:sz w:val="24"/>
          </w:rPr>
          <w:t>2.2 Обращение с отходами и ликвидация накопленного вреда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8" w:history="1">
        <w:r>
          <w:rPr>
            <w:rFonts w:ascii="Times New Roman" w:hAnsi="Times New Roman" w:cs="Times New Roman"/>
            <w:color w:val="000000"/>
            <w:sz w:val="24"/>
          </w:rPr>
          <w:t>2.3 Качество атмосферного воздуха и восстановление водных объектов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sec_008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17</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9" w:history="1">
        <w:r>
          <w:rPr>
            <w:rFonts w:ascii="Times New Roman" w:hAnsi="Times New Roman" w:cs="Times New Roman"/>
            <w:color w:val="000000"/>
            <w:sz w:val="24"/>
          </w:rPr>
          <w:t>2.4 Воспроизводство лесов и сохранение биологического разнообразия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21</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0" w:history="1">
        <w:r>
          <w:rPr>
            <w:rFonts w:ascii="Times New Roman" w:hAnsi="Times New Roman" w:cs="Times New Roman"/>
            <w:b/>
            <w:color w:val="000000"/>
            <w:sz w:val="24"/>
          </w:rPr>
          <w:t>3 Статистические результаты и территориальные различия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sec_010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25</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1" w:history="1">
        <w:r>
          <w:rPr>
            <w:rFonts w:ascii="Times New Roman" w:hAnsi="Times New Roman" w:cs="Times New Roman"/>
            <w:color w:val="000000"/>
            <w:sz w:val="24"/>
          </w:rPr>
          <w:t>3.1 Сопоставимость статистики и плановых ориентиров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25</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2" w:history="1">
        <w:r>
          <w:rPr>
            <w:rFonts w:ascii="Times New Roman" w:hAnsi="Times New Roman" w:cs="Times New Roman"/>
            <w:color w:val="000000"/>
            <w:sz w:val="24"/>
          </w:rPr>
          <w:t>3.2 Обработка и захоронение отходов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3" w:history="1">
        <w:r>
          <w:rPr>
            <w:rFonts w:ascii="Times New Roman" w:hAnsi="Times New Roman" w:cs="Times New Roman"/>
            <w:color w:val="000000"/>
            <w:sz w:val="24"/>
          </w:rPr>
          <w:t>3.3 Изменение выбросов и неоднородность городов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4" w:history="1">
        <w:r>
          <w:rPr>
            <w:rFonts w:ascii="Times New Roman" w:hAnsi="Times New Roman" w:cs="Times New Roman"/>
            <w:color w:val="000000"/>
            <w:sz w:val="24"/>
          </w:rPr>
          <w:t>3.4 Вода, Байкальская территория и накопленный вред</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37</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5" w:history="1">
        <w:r>
          <w:rPr>
            <w:rFonts w:ascii="Times New Roman" w:hAnsi="Times New Roman" w:cs="Times New Roman"/>
            <w:color w:val="000000"/>
            <w:sz w:val="24"/>
          </w:rPr>
          <w:t>3.5 Восстановление лесов и временная база показателей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6" w:history="1">
        <w:r>
          <w:rPr>
            <w:rFonts w:ascii="Times New Roman" w:hAnsi="Times New Roman" w:cs="Times New Roman"/>
            <w:color w:val="000000"/>
            <w:sz w:val="24"/>
          </w:rPr>
          <w:t>3.6 Биоразнообразие и посещение охраняемых территорий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43</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7" w:history="1">
        <w:r>
          <w:rPr>
            <w:rFonts w:ascii="Times New Roman" w:hAnsi="Times New Roman" w:cs="Times New Roman"/>
            <w:b/>
            <w:color w:val="000000"/>
            <w:sz w:val="24"/>
          </w:rPr>
          <w:t>4 Финансовое обеспечение и бюджетные риски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sec_017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47</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18" w:history="1">
        <w:r>
          <w:rPr>
            <w:rFonts w:ascii="Times New Roman" w:hAnsi="Times New Roman" w:cs="Times New Roman"/>
            <w:b/>
            <w:color w:val="000000"/>
            <w:sz w:val="24"/>
          </w:rPr>
          <w:t>5 Связи мероприятий с показателями и анализ текстов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sec_018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54</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9" w:history="1">
        <w:r>
          <w:rPr>
            <w:rFonts w:ascii="Times New Roman" w:hAnsi="Times New Roman" w:cs="Times New Roman"/>
            <w:color w:val="000000"/>
            <w:sz w:val="24"/>
          </w:rPr>
          <w:t>5.1 Методика анализа проектной логики и текстов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0" w:history="1">
        <w:r>
          <w:rPr>
            <w:rFonts w:ascii="Times New Roman" w:hAnsi="Times New Roman" w:cs="Times New Roman"/>
            <w:color w:val="000000"/>
            <w:sz w:val="24"/>
          </w:rPr>
          <w:t>5.2 Прослеживаемость связей мероприятий и результатов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1" w:history="1">
        <w:r>
          <w:rPr>
            <w:rFonts w:ascii="Times New Roman" w:hAnsi="Times New Roman" w:cs="Times New Roman"/>
            <w:color w:val="000000"/>
            <w:sz w:val="24"/>
          </w:rPr>
          <w:t>5.3 Тематическая специализация и пределы автоматического сопоставления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61</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2" w:history="1">
        <w:r>
          <w:rPr>
            <w:rFonts w:ascii="Times New Roman" w:hAnsi="Times New Roman" w:cs="Times New Roman"/>
            <w:color w:val="000000"/>
            <w:sz w:val="24"/>
          </w:rPr>
          <w:t>5.4 Межпроектные связи и лексическая близость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3" w:history="1">
        <w:r>
          <w:rPr>
            <w:rFonts w:ascii="Times New Roman" w:hAnsi="Times New Roman" w:cs="Times New Roman"/>
            <w:color w:val="000000"/>
            <w:sz w:val="24"/>
          </w:rPr>
          <w:t>5.5 Устойчивость результатов и условия их применения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69</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4" w:history="1">
        <w:r>
          <w:rPr>
            <w:rFonts w:ascii="Times New Roman" w:hAnsi="Times New Roman" w:cs="Times New Roman"/>
            <w:b/>
            <w:color w:val="000000"/>
            <w:sz w:val="24"/>
          </w:rPr>
          <w:t>6 Экологические результаты: территория, потоки и устойчивость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sec_024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72</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5" w:history="1">
        <w:r>
          <w:rPr>
            <w:rFonts w:ascii="Times New Roman" w:hAnsi="Times New Roman" w:cs="Times New Roman"/>
            <w:color w:val="000000"/>
            <w:sz w:val="24"/>
          </w:rPr>
          <w:t>6.1 Территория воздействия и распределение экологических выгод</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6" w:history="1">
        <w:r>
          <w:rPr>
            <w:rFonts w:ascii="Times New Roman" w:hAnsi="Times New Roman" w:cs="Times New Roman"/>
            <w:color w:val="000000"/>
            <w:sz w:val="24"/>
          </w:rPr>
          <w:t>6.2 Прослеживаемость материальных потоков и устойчивость технологий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7" w:history="1">
        <w:r>
          <w:rPr>
            <w:rFonts w:ascii="Times New Roman" w:hAnsi="Times New Roman" w:cs="Times New Roman"/>
            <w:color w:val="000000"/>
            <w:sz w:val="24"/>
          </w:rPr>
          <w:t>6.3 Устойчивость восстановления природных систем</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76</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8" w:history="1">
        <w:r>
          <w:rPr>
            <w:rFonts w:ascii="Times New Roman" w:hAnsi="Times New Roman" w:cs="Times New Roman"/>
            <w:b/>
            <w:color w:val="000000"/>
            <w:sz w:val="24"/>
          </w:rPr>
          <w:t>7 Направления совершенствования национального проекта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sec_028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78</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9" w:history="1">
        <w:r>
          <w:rPr>
            <w:rFonts w:ascii="Times New Roman" w:hAnsi="Times New Roman" w:cs="Times New Roman"/>
            <w:color w:val="000000"/>
            <w:sz w:val="24"/>
          </w:rPr>
          <w:t>7.1 Согласование показателей и ответственности за результат</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0" w:history="1">
        <w:r>
          <w:rPr>
            <w:rFonts w:ascii="Times New Roman" w:hAnsi="Times New Roman" w:cs="Times New Roman"/>
            <w:color w:val="000000"/>
            <w:sz w:val="24"/>
          </w:rPr>
          <w:t>7.2 Показатели для проверки экологических изменений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79</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1" w:history="1">
        <w:r>
          <w:rPr>
            <w:rFonts w:ascii="Times New Roman" w:hAnsi="Times New Roman" w:cs="Times New Roman"/>
            <w:color w:val="000000"/>
            <w:sz w:val="24"/>
          </w:rPr>
          <w:t>7.3 Последовательность внедрения и оценка дополнительного эффекта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81</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32" w:history="1">
        <w:r>
          <w:rPr>
            <w:rFonts w:ascii="Times New Roman" w:hAnsi="Times New Roman" w:cs="Times New Roman"/>
            <w:b/>
            <w:color w:val="000000"/>
            <w:sz w:val="24"/>
          </w:rPr>
          <w:t>Заключение</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sec_032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83</w:t>
      </w:r>
      <w:r>
        <w:rPr>
          <w:rFonts w:ascii="Times New Roman" w:hAnsi="Times New Roman" w:eastAsia="Times New Roman" w:cs="Times New Roman"/>
          <w:b/>
          <w:color w:val="000000"/>
          <w:sz w:val="24"/>
          <w:szCs w:val="24"/>
          <w:lang w:val="ru-RU"/>
        </w:rPr>
        <w:fldChar w:fldCharType="end"/>
      </w:r>
    </w:p>
    <w:p>
      <w:pPr>
        <w:pStyle w:val="Heading1"/>
      </w:pPr>
      <w:bookmarkStart w:id="1" w:name="sec_001"/>
      <w:r>
        <w:rPr>
          <w:rFonts w:ascii="Times New Roman" w:hAnsi="Times New Roman" w:eastAsia="Times New Roman" w:cs="Times New Roman"/>
          <w:b/>
          <w:color w:val="000000"/>
          <w:sz w:val="28"/>
          <w:szCs w:val="28"/>
          <w:lang w:val="ru-RU"/>
        </w:rPr>
        <w:t>Основные результаты экспертизы</w:t>
      </w:r>
      <w:bookmarkEnd w:id="1"/>
    </w:p>
    <w:p>
      <w:r>
        <w:rPr>
          <w:rFonts w:ascii="Times New Roman" w:hAnsi="Times New Roman" w:eastAsia="Times New Roman" w:cs="Times New Roman"/>
          <w:color w:val="000000"/>
          <w:lang w:val="ru-RU"/>
        </w:rPr>
        <w:t>Национальный проект «Экологическое благополучие» объединяет шесть федеральных направлений и охватывает основные механизмы снижения загрязнения и восстановления природных систем. Наряду со строительством и количественными заданиями предусмотрены экологический мониторинг, оценка воздействия на здоровье, проверка работы очистных сооружений, уход за лесом и природоохранные меры. При совершенствовании проекта необходимо уточнить связи мероприятий с изменением состояния конкретной территории, условиями жизни населения и устойчивостью экосистем.</w:t>
      </w:r>
      <w:r>
        <w:rPr>
          <w:rStyle w:val="FootnoteReference"/>
          <w:rFonts w:ascii="Times New Roman" w:hAnsi="Times New Roman" w:eastAsia="Times New Roman" w:cs="Times New Roman"/>
          <w:color w:val="000000"/>
          <w:sz w:val="20"/>
          <w:szCs w:val="20"/>
          <w:lang w:val="ru-RU"/>
        </w:rPr>
        <w:footnoteReference w:id="1"/>
      </w:r>
    </w:p>
    <w:p>
      <w:r>
        <w:rPr>
          <w:rFonts w:ascii="Times New Roman" w:hAnsi="Times New Roman" w:eastAsia="Times New Roman" w:cs="Times New Roman"/>
          <w:color w:val="000000"/>
          <w:lang w:val="ru-RU"/>
        </w:rPr>
        <w:t>В 2025 г. общероссийские доли обработки и захоронения твёрдых коммунальных отходов (ТКО) составили соответственно 56,6 и 81,1%. Обработка и захоронение могут быть последовательными стадиями обращения с одной массой отходов, поэтому их доли не являются взаимоисключающими. В десяти из 85 представленных субъектов обе величины достигали не менее 80%. В 54 субъектах захоронение составляло не менее 90%. При расширении обработки необходимо отдельно проверять фактическое использование выделенного сырья и сокращение остатка, направляемого на захоронение.</w:t>
      </w:r>
      <w:r>
        <w:rPr>
          <w:rStyle w:val="FootnoteReference"/>
          <w:rFonts w:ascii="Times New Roman" w:hAnsi="Times New Roman" w:eastAsia="Times New Roman" w:cs="Times New Roman"/>
          <w:color w:val="000000"/>
          <w:sz w:val="20"/>
          <w:szCs w:val="20"/>
          <w:lang w:val="ru-RU"/>
        </w:rPr>
        <w:footnoteReference w:id="2"/>
      </w:r>
    </w:p>
    <w:p>
      <w:r>
        <w:rPr>
          <w:rFonts w:ascii="Times New Roman" w:hAnsi="Times New Roman" w:eastAsia="Times New Roman" w:cs="Times New Roman"/>
          <w:color w:val="000000"/>
          <w:lang w:val="ru-RU"/>
        </w:rPr>
        <w:t>По воздуху необходимо различать остаточный объём выбросов к базе и величину сокращения. Общероссийские значения 2025 г. – 79,2059% для 12 городов и 93,5968% для 29 территорий – получаются при расчёте средних городских индексов с разными базовыми годами. Они не характеризуют изменение суммарной массы выбросов всех городов и не измеряют непосредственно воздействие на население. Для оценки результата нужны согласованные сведения об источниках, концентрациях, территории и наблюдаемой экспозиции.</w:t>
      </w:r>
      <w:r>
        <w:rPr>
          <w:rStyle w:val="FootnoteReference"/>
          <w:rFonts w:ascii="Times New Roman" w:hAnsi="Times New Roman" w:eastAsia="Times New Roman" w:cs="Times New Roman"/>
          <w:color w:val="000000"/>
          <w:sz w:val="20"/>
          <w:szCs w:val="20"/>
          <w:lang w:val="ru-RU"/>
        </w:rPr>
        <w:footnoteReference w:id="3"/>
      </w:r>
    </w:p>
    <w:p>
      <w:r>
        <w:rPr>
          <w:rFonts w:ascii="Times New Roman" w:hAnsi="Times New Roman" w:eastAsia="Times New Roman" w:cs="Times New Roman"/>
          <w:color w:val="000000"/>
          <w:lang w:val="ru-RU"/>
        </w:rPr>
        <w:t>Показатель лесовосстановления 149,64% за 2025 г. необходимо оценивать с учётом методики расчёта знаменателя и временного лага. Площадной коэффициент сам по себе не подтверждает восстановление экологических функций леса. Увеличение посещений охраняемых территорий характеризует рекреационную активность и не является универсальным измерителем сохранности природного комплекса. За январь–август 2026 г. учтено 14,7296 млн посещений против 16,2 млн за те же месяцы 2025 г. Причины изменения требуют отдельного исследования.</w:t>
      </w:r>
      <w:r>
        <w:rPr>
          <w:rStyle w:val="FootnoteReference"/>
          <w:rFonts w:ascii="Times New Roman" w:hAnsi="Times New Roman" w:eastAsia="Times New Roman" w:cs="Times New Roman"/>
          <w:color w:val="000000"/>
          <w:sz w:val="20"/>
          <w:szCs w:val="20"/>
          <w:lang w:val="ru-RU"/>
        </w:rPr>
        <w:footnoteReference w:id="4"/>
      </w:r>
    </w:p>
    <w:p>
      <w:r>
        <w:rPr>
          <w:rFonts w:ascii="Times New Roman" w:hAnsi="Times New Roman" w:eastAsia="Times New Roman" w:cs="Times New Roman"/>
          <w:color w:val="000000"/>
          <w:lang w:val="ru-RU"/>
        </w:rPr>
        <w:t>Плановое финансирование на 2025–2030 гг. в опубликованной редакции составляет 1,519 трлн руб., включая федеральные, региональные и внебюджетные источники. Плановые объёмы следует разграничивать с бюджетными назначениями, предложениями и фактическими расходами. В обращении с отходами значительную роль играют посреднические финансовые инструменты, при ликвидации накопленного вреда – резервирование будущих ассигнований. По плану «Генеральной уборки» 76% завершений работ на опасных объектах приходится на 2029–2030 гг. Концентрация работ в конце периода требует проверки готовности проектов, сроков и последующей работы объектов. Сама по себе она не доказывает будущего неисполнения задания.</w:t>
      </w:r>
      <w:r>
        <w:rPr>
          <w:rStyle w:val="FootnoteReference"/>
          <w:rFonts w:ascii="Times New Roman" w:hAnsi="Times New Roman" w:eastAsia="Times New Roman" w:cs="Times New Roman"/>
          <w:color w:val="000000"/>
          <w:sz w:val="20"/>
          <w:szCs w:val="20"/>
          <w:lang w:val="ru-RU"/>
        </w:rPr>
        <w:footnoteReference w:id="5"/>
      </w:r>
    </w:p>
    <w:p>
      <w:r>
        <w:rPr>
          <w:rFonts w:ascii="Times New Roman" w:hAnsi="Times New Roman" w:eastAsia="Times New Roman" w:cs="Times New Roman"/>
          <w:color w:val="000000"/>
          <w:lang w:val="ru-RU"/>
        </w:rPr>
        <w:t>В открытой публикации выявлена 151 запись влияния результатов, по которой нельзя однозначно восстановить показатель назначения. Ограничение относится к доступному представлению сведений. TF-IDF подтверждает устойчивую лексическую близость с «Инфраструктурой для жизни», но обнаруживает и существенный предел автоматического сопоставления: после удаления чисел названия показателей для 12 и 29 городов дают одинаковые векторы. Территориальные совокупности, базовые периоды и механизмы следует сохранять как самостоятельные признаки проектной связи.</w:t>
      </w:r>
      <w:r>
        <w:rPr>
          <w:rStyle w:val="FootnoteReference"/>
          <w:rFonts w:ascii="Times New Roman" w:hAnsi="Times New Roman" w:eastAsia="Times New Roman" w:cs="Times New Roman"/>
          <w:color w:val="000000"/>
          <w:sz w:val="20"/>
          <w:szCs w:val="20"/>
          <w:lang w:val="ru-RU"/>
        </w:rPr>
        <w:footnoteReference w:id="6"/>
      </w:r>
    </w:p>
    <w:p>
      <w:r>
        <w:rPr>
          <w:rFonts w:ascii="Times New Roman" w:hAnsi="Times New Roman" w:eastAsia="Times New Roman" w:cs="Times New Roman"/>
          <w:color w:val="000000"/>
          <w:lang w:val="ru-RU"/>
        </w:rPr>
        <w:t>Рекомендуется согласовать редакции показателей и целей, однозначно определить связи мероприятий с результатами, подтверждать движение материальных потоков и режимы эксплуатации. Необходимы наблюдение за состоянием среды после завершения работ и учёт пространственного распределения выгод. Предлагается поэтапная проверка типовых мероприятий с использованием действующих информационных систем. Оценку дополнительного эффекта следует планировать до вмешательства, предусматривая сопоставимые территории, сезонность и возможные внешние воздействия.</w:t>
      </w:r>
    </w:p>
    <w:p>
      <w:pPr>
        <w:pStyle w:val="Heading1"/>
      </w:pPr>
      <w:bookmarkStart w:id="2" w:name="sec_002"/>
      <w:r>
        <w:rPr>
          <w:rFonts w:ascii="Times New Roman" w:hAnsi="Times New Roman" w:eastAsia="Times New Roman" w:cs="Times New Roman"/>
          <w:b/>
          <w:color w:val="000000"/>
          <w:sz w:val="28"/>
          <w:szCs w:val="28"/>
          <w:lang w:val="ru-RU"/>
        </w:rPr>
        <w:t>1 Предмет и методические основания экспертизы</w:t>
      </w:r>
      <w:bookmarkEnd w:id="2"/>
    </w:p>
    <w:p>
      <w:pPr>
        <w:pStyle w:val="Heading2"/>
      </w:pPr>
      <w:bookmarkStart w:id="3" w:name="sec_003"/>
      <w:r>
        <w:rPr>
          <w:rFonts w:ascii="Times New Roman" w:hAnsi="Times New Roman" w:eastAsia="Times New Roman" w:cs="Times New Roman"/>
          <w:b/>
          <w:color w:val="000000"/>
          <w:sz w:val="28"/>
          <w:szCs w:val="28"/>
          <w:lang w:val="ru-RU"/>
        </w:rPr>
        <w:t>1.1 Предмет экспертизы и критерии экологического результата</w:t>
      </w:r>
      <w:bookmarkEnd w:id="3"/>
    </w:p>
    <w:p>
      <w:r>
        <w:rPr>
          <w:rFonts w:ascii="Times New Roman" w:hAnsi="Times New Roman" w:eastAsia="Times New Roman" w:cs="Times New Roman"/>
          <w:color w:val="000000"/>
          <w:lang w:val="ru-RU"/>
        </w:rPr>
        <w:t>Экспертиза национального проекта «Экологическое благополучие» оценивает обоснованность его механизмов, согласованность целей и мероприятий, интерпретируемость статистических результатов и условия устойчивого изменения окружающей среды. Адресат рекомендаций – органы управления проектом и его федеральными направлениями. Проверяется, позволяют ли предусмотренные работы, финансовые инструменты и показатели установить вид устранённого экологического воздействия, территорию и сохранение результата во времени.</w:t>
      </w:r>
    </w:p>
    <w:p>
      <w:r>
        <w:rPr>
          <w:rFonts w:ascii="Times New Roman" w:hAnsi="Times New Roman" w:eastAsia="Times New Roman" w:cs="Times New Roman"/>
          <w:color w:val="000000"/>
          <w:lang w:val="ru-RU"/>
        </w:rPr>
        <w:t>Предмет проекта включает ликвидацию накопленного вреда, обращение с отходами, охрану воздуха и воды, воспроизводство лесов, сохранение биоразнообразия и развитие экологического туризма. Официальное открытое изложение предусматривает как инфраструктурные, так и природоохранные, нормативные и информационные меры. При оценке необходимо учитывать совместное действие мер. Перечень объектов не раскрывает всех механизмов проекта. Экологическое состояние территории зависит также от хозяйственной деятельности и решений за его пределами.</w:t>
      </w:r>
      <w:r>
        <w:rPr>
          <w:rStyle w:val="FootnoteReference"/>
          <w:rFonts w:ascii="Times New Roman" w:hAnsi="Times New Roman" w:eastAsia="Times New Roman" w:cs="Times New Roman"/>
          <w:color w:val="000000"/>
          <w:sz w:val="20"/>
          <w:szCs w:val="20"/>
          <w:lang w:val="ru-RU"/>
        </w:rPr>
        <w:footnoteReference w:id="7"/>
      </w:r>
    </w:p>
    <w:p>
      <w:r>
        <w:rPr>
          <w:rFonts w:ascii="Times New Roman" w:hAnsi="Times New Roman" w:eastAsia="Times New Roman" w:cs="Times New Roman"/>
          <w:color w:val="000000"/>
          <w:lang w:val="ru-RU"/>
        </w:rPr>
        <w:t>Различаются выполнение установленного задания, экологический результат и дополнительный эффект государственной поддержки. Выполнение задания проверяется по соответствующей редакции плана и методики. Экологический результат устанавливается наблюдением состояния среды, воздействия на население или восстановления экосистем. Дополнительный эффект требует обоснованного сравнения с изменениями, которые могли произойти без рассматриваемого вмешательства. Для каждого из трёх оснований оценки необходимы самостоятельные доказательства.</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 w:name="tab_er_level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4"/>
      <w:r>
        <w:rPr>
          <w:rFonts w:ascii="Times New Roman" w:hAnsi="Times New Roman" w:eastAsia="Times New Roman" w:cs="Times New Roman"/>
          <w:color w:val="000000"/>
          <w:sz w:val="24"/>
          <w:szCs w:val="24"/>
          <w:lang w:val="ru-RU"/>
        </w:rPr>
        <w:t xml:space="preserve"> – Уровни оценки результатов экологического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2211"/>
        <w:gridCol w:w="3288"/>
        <w:gridCol w:w="4139"/>
      </w:tblGrid>
      <w:tr>
        <w:trPr>
          <w:cantSplit/>
          <w:tblHeader/>
        </w:trPr>
        <w:tc>
          <w:tcPr>
            <w:tcW w:type="dxa" w:w="221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Уровень</w:t>
            </w:r>
          </w:p>
        </w:tc>
        <w:tc>
          <w:tcPr>
            <w:tcW w:type="dxa" w:w="328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Объект проверки</w:t>
            </w:r>
          </w:p>
        </w:tc>
        <w:tc>
          <w:tcPr>
            <w:tcW w:type="dxa" w:w="413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Достаточное основание</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Мероприятие</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Работы, оборудование, нормативное или финансовое решение</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Подтверждение выполнения и соответствия заданию</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воздействие</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Выбросы, сбросы, потоки отходов, причины деградации</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Сопоставимое измерение нагрузки и её источников</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Состояние среды</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Концентрации, состояние водоёма, леса, местообитаний</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Наблюдение в определённой зоне и за сопоставимый период</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Общественный и природо­охранный результат</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Снижение воздействия на жителей, сохранение популяций и функций экосистем</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Подтверждение охвата, устойчивости и распределения результата</w:t>
            </w:r>
          </w:p>
        </w:tc>
      </w:tr>
      <w:tr>
        <w:trPr>
          <w:cantSplit/>
        </w:trPr>
        <w:tc>
          <w:tcPr>
            <w:tcW w:type="dxa" w:w="2211"/>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Дополнитель­ный эффект</w:t>
            </w:r>
          </w:p>
        </w:tc>
        <w:tc>
          <w:tcPr>
            <w:tcW w:type="dxa" w:w="328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Изменение, обусловленное конкретным вмешательством</w:t>
            </w:r>
          </w:p>
        </w:tc>
        <w:tc>
          <w:tcPr>
            <w:tcW w:type="dxa" w:w="4139"/>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Обоснованная оценка изменений без вмешательства и проверка альтернативных объяснений</w:t>
            </w:r>
          </w:p>
        </w:tc>
      </w:tr>
    </w:tbl>
    <w:p>
      <w:pPr>
        <w:pStyle w:val="SourceNote"/>
        <w:keepLines/>
        <w:spacing w:after="140"/>
      </w:pPr>
      <w:r>
        <w:rPr>
          <w:rFonts w:ascii="Times New Roman" w:hAnsi="Times New Roman" w:eastAsia="Times New Roman" w:cs="Times New Roman"/>
          <w:color w:val="000000"/>
          <w:sz w:val="22"/>
          <w:szCs w:val="22"/>
          <w:lang w:val="ru-RU"/>
        </w:rPr>
        <w:t>Аналитическая схема экспертизы. Наличие измерителя на одном уровне не подтверждает автоматически результаты остальных уровней.</w:t>
      </w:r>
    </w:p>
    <w:p>
      <w:r>
        <w:rPr>
          <w:rFonts w:ascii="Times New Roman" w:hAnsi="Times New Roman" w:eastAsia="Times New Roman" w:cs="Times New Roman"/>
          <w:color w:val="000000"/>
          <w:lang w:val="ru-RU"/>
        </w:rPr>
        <w:t>Экологические результаты неоднородны. Масса отходов, концентрация вещества, площадь лесов и численность редкого вида не складываются в естественную общую единицу. Введение единого балла без согласованных предпочтений и ограничений могло бы скрыть ухудшение одного компонента за улучшением другого. Направления проекта и связи между ними оцениваются последовательно. Для сопоставления территорий используются одинаковые определения, временные интервалы и явно указанные совокупности.</w:t>
      </w:r>
    </w:p>
    <w:p>
      <w:r>
        <w:rPr>
          <w:rFonts w:ascii="Times New Roman" w:hAnsi="Times New Roman" w:eastAsia="Times New Roman" w:cs="Times New Roman"/>
          <w:color w:val="000000"/>
          <w:lang w:val="ru-RU"/>
        </w:rPr>
        <w:t>Территориальный анализ разграничивает площадь экосистем, их состояние и оказываемые ими услуги. В экосистемном учёте ООН природные территории одинаковой площади могут различаться по функциям и качеству. При управлении нацпроектом необходимо связывать объект поддержки с конкретным участком среды и наблюдаемым изменением. Суммы выполненных работ для подобной оценки недостаточно.</w:t>
      </w:r>
      <w:r>
        <w:rPr>
          <w:rStyle w:val="FootnoteReference"/>
          <w:rFonts w:ascii="Times New Roman" w:hAnsi="Times New Roman" w:eastAsia="Times New Roman" w:cs="Times New Roman"/>
          <w:color w:val="000000"/>
          <w:sz w:val="20"/>
          <w:szCs w:val="20"/>
          <w:lang w:val="ru-RU"/>
        </w:rPr>
        <w:footnoteReference w:id="8"/>
      </w:r>
    </w:p>
    <w:p>
      <w:pPr>
        <w:pStyle w:val="Heading2"/>
      </w:pPr>
      <w:bookmarkStart w:id="5" w:name="sec_004"/>
      <w:r>
        <w:rPr>
          <w:rFonts w:ascii="Times New Roman" w:hAnsi="Times New Roman" w:eastAsia="Times New Roman" w:cs="Times New Roman"/>
          <w:b/>
          <w:color w:val="000000"/>
          <w:sz w:val="28"/>
          <w:szCs w:val="28"/>
          <w:lang w:val="ru-RU"/>
        </w:rPr>
        <w:t>1.2 Источники и логика доказательств</w:t>
      </w:r>
      <w:bookmarkEnd w:id="5"/>
    </w:p>
    <w:p>
      <w:r>
        <w:rPr>
          <w:rFonts w:ascii="Times New Roman" w:hAnsi="Times New Roman" w:eastAsia="Times New Roman" w:cs="Times New Roman"/>
          <w:color w:val="000000"/>
          <w:lang w:val="ru-RU"/>
        </w:rPr>
        <w:t>Срез публичных сведений выполнен на 28 октября 2026 г. Использованы официальные нормативные и методические документы, открытое изложение параметров проекта, датированные электронные републикации паспортных сведений, сохранённые официальные статистические выгрузки и бюджетные материалы. Статистические наблюдения относятся к тем периодам, которые указаны при каждом расчёте. Дата обращения к публикации не означает, что все её содержательные блоки обновлены одновременно.</w:t>
      </w:r>
    </w:p>
    <w:p>
      <w:r>
        <w:rPr>
          <w:rFonts w:ascii="Times New Roman" w:hAnsi="Times New Roman" w:eastAsia="Times New Roman" w:cs="Times New Roman"/>
          <w:color w:val="000000"/>
          <w:lang w:val="ru-RU"/>
        </w:rPr>
        <w:t>Различаются официальное открытое изложение проекта и внешняя републикация паспортных сведений. Их правовой статус и обнаруженные численные расхождения рассматриваются в разделе 2.1. Более поздняя дата страницы сама по себе не удостоверяет официальную историю корректировок. При сопоставлении источников устанавливаются редакция, определение и период. При отсутствии полной истории изменений неизвестные сведения не восстанавливаются предположительно.</w:t>
      </w:r>
    </w:p>
    <w:p>
      <w:r>
        <w:rPr>
          <w:rFonts w:ascii="Times New Roman" w:hAnsi="Times New Roman" w:eastAsia="Times New Roman" w:cs="Times New Roman"/>
          <w:color w:val="000000"/>
          <w:lang w:val="ru-RU"/>
        </w:rPr>
        <w:t>Статистический анализ включает проверку единиц, направленности шкалы, базового периода и правил накопления. Для показателя с названием «снижение» отдельно устанавливается, представляет ли число величину сокращения или оставшуюся долю к базе. Месячные записи годового результата не рассматриваются как независимые наблюдения. Общероссийское значение не подменяется невзвешенным средним по субъектам. Пропуски и неопределённые нули сохраняют свой информационный статус.</w:t>
      </w:r>
    </w:p>
    <w:p>
      <w:r>
        <w:rPr>
          <w:rFonts w:ascii="Times New Roman" w:hAnsi="Times New Roman" w:eastAsia="Times New Roman" w:cs="Times New Roman"/>
          <w:color w:val="000000"/>
          <w:lang w:val="ru-RU"/>
        </w:rPr>
        <w:t>Карты показывают пространственное распределение наблюдаемого показателя. Площадь закрашенного региона не определяет величину экологической выгоды или численность её получателей. При региональных сопоставлениях указываются охват, исключённые территории и несовпадающие периоды. Для коротких рядов приоритетны описание распределений и проверка плановых ориентиров. Экстраполяция неустойчивого тренда ограничена длиной ряда.</w:t>
      </w:r>
    </w:p>
    <w:p>
      <w:r>
        <w:rPr>
          <w:rFonts w:ascii="Times New Roman" w:hAnsi="Times New Roman" w:eastAsia="Times New Roman" w:cs="Times New Roman"/>
          <w:color w:val="000000"/>
          <w:lang w:val="ru-RU"/>
        </w:rPr>
        <w:t>Финансовый анализ разделяет многолетний паспортный план, назначения бюджета, законодательные предложения и кассовое исполнение. Суммы сравниваются в одинаковом временном охвате и по сопоставимым источникам. Взнос, кредитный механизм, строительство и эксплуатационные расходы имеют разные функции. Финансовые инструменты оцениваются по условиям получения экологического результата. Арифметическое расхождение публикаций требует сверки, но не является самостоятельным доказательством финансового нарушения.</w:t>
      </w:r>
    </w:p>
    <w:p>
      <w:r>
        <w:rPr>
          <w:rFonts w:ascii="Times New Roman" w:hAnsi="Times New Roman" w:eastAsia="Times New Roman" w:cs="Times New Roman"/>
          <w:color w:val="000000"/>
          <w:lang w:val="ru-RU"/>
        </w:rPr>
        <w:t>Анализ текстов сочетает содержательное чтение мероприятий, проверку связей результатов с показателями и формализованное лексическое сравнение. TF-IDF используется для выявления тематических различий и сопряжённости документов. Его результаты проверяются при альтернативной обработке текста и способах объединения паспортов. Сходство формулировок не устанавливает причинную связь, а отсутствие доступного идентификатора назначения характеризует проверяемость открытой публикации.</w:t>
      </w:r>
    </w:p>
    <w:p>
      <w:r>
        <w:rPr>
          <w:rFonts w:ascii="Times New Roman" w:hAnsi="Times New Roman" w:eastAsia="Times New Roman" w:cs="Times New Roman"/>
          <w:color w:val="000000"/>
          <w:lang w:val="ru-RU"/>
        </w:rPr>
        <w:t>Обнаруженные расхождения характеризуют сопоставленные источники. Возможный неблагоприятный механизм рассматривается как риск, который требует наблюдения. Предлагаемый показатель или порядок отбора является рекомендацией экспертизы. Причинная эффективность проекта не выводится из одного национального итога, корреляции регионов или лексической близости текстов.</w:t>
      </w:r>
    </w:p>
    <w:p>
      <w:pPr>
        <w:pStyle w:val="Heading1"/>
      </w:pPr>
      <w:bookmarkStart w:id="6" w:name="sec_005"/>
      <w:r>
        <w:rPr>
          <w:rFonts w:ascii="Times New Roman" w:hAnsi="Times New Roman" w:eastAsia="Times New Roman" w:cs="Times New Roman"/>
          <w:b/>
          <w:color w:val="000000"/>
          <w:sz w:val="28"/>
          <w:szCs w:val="28"/>
          <w:lang w:val="ru-RU"/>
        </w:rPr>
        <w:t>2 Структура и механизмы национального проекта</w:t>
      </w:r>
      <w:bookmarkEnd w:id="6"/>
    </w:p>
    <w:p>
      <w:pPr>
        <w:pStyle w:val="Heading2"/>
      </w:pPr>
      <w:bookmarkStart w:id="7" w:name="sec_006"/>
      <w:r>
        <w:rPr>
          <w:rFonts w:ascii="Times New Roman" w:hAnsi="Times New Roman" w:eastAsia="Times New Roman" w:cs="Times New Roman"/>
          <w:b/>
          <w:color w:val="000000"/>
          <w:sz w:val="28"/>
          <w:szCs w:val="28"/>
          <w:lang w:val="ru-RU"/>
        </w:rPr>
        <w:t>2.1 Система целей и статус открытых сведений</w:t>
      </w:r>
      <w:bookmarkEnd w:id="7"/>
    </w:p>
    <w:p>
      <w:r>
        <w:rPr>
          <w:rFonts w:ascii="Times New Roman" w:hAnsi="Times New Roman" w:eastAsia="Times New Roman" w:cs="Times New Roman"/>
          <w:color w:val="000000"/>
          <w:lang w:val="ru-RU"/>
        </w:rPr>
        <w:t>Национальный проект «Экологическое благополучие» объединяет меры по снижению загрязнения, обращению с отходами и сохранению природных комплексов. Различия источников нагрузки, путей распространения загрязнения и механизмов восстановления требуют разных мер. В состав проекта входят шесть федеральных направлений: «Генеральная уборка», «Экономика замкнутого цикла», «Сохранение биологического разнообразия и развитие экологического туризма», «Чистый воздух», «Вода России» и «Сохранение лесов». Открытое ведомственное изложение связывает их с пятью показателями и задачами национальной цели, установленной Указом Президента Российской Федерации № 309.</w:t>
      </w:r>
      <w:r>
        <w:rPr>
          <w:rStyle w:val="FootnoteReference"/>
          <w:rFonts w:ascii="Times New Roman" w:hAnsi="Times New Roman" w:eastAsia="Times New Roman" w:cs="Times New Roman"/>
          <w:color w:val="000000"/>
          <w:sz w:val="20"/>
          <w:szCs w:val="20"/>
          <w:lang w:val="ru-RU"/>
        </w:rPr>
        <w:footnoteReference w:id="9"/>
      </w:r>
    </w:p>
    <w:p>
      <w:r>
        <w:rPr>
          <w:rFonts w:ascii="Times New Roman" w:hAnsi="Times New Roman" w:eastAsia="Times New Roman" w:cs="Times New Roman"/>
          <w:color w:val="000000"/>
          <w:lang w:val="ru-RU"/>
        </w:rPr>
        <w:t>Оценка охватывает два срока достижения целей. К 2030 г. должны быть обеспечены сортировка всего ежегодно образуемого объёма твёрдых коммунальных отходов, захоронение не более половины таких отходов, вовлечение в хозяйственный оборот не менее четверти отходов производства и потребления в качестве вторичных ресурсов и сырья, а также ликвидация не менее 50 опасных объектов накопленного вреда. Снижение вдвое опасных выбросов в загрязнённых городах и объёма неочищенных сточных вод относится к 2036 г. К тому же сроку относится утилизация и обезвреживание не менее половины общего объёма отходов I и II классов опасности. Поэтому выполнение шестилетнего проекта следует оценивать одновременно по его промежуточным результатам и по достаточности создаваемых предпосылок для более отдалённых целей.</w:t>
      </w:r>
      <w:r>
        <w:rPr>
          <w:rStyle w:val="FootnoteReference"/>
          <w:rFonts w:ascii="Times New Roman" w:hAnsi="Times New Roman" w:eastAsia="Times New Roman" w:cs="Times New Roman"/>
          <w:color w:val="000000"/>
          <w:sz w:val="20"/>
          <w:szCs w:val="20"/>
          <w:lang w:val="ru-RU"/>
        </w:rPr>
        <w:footnoteReference w:id="10"/>
      </w:r>
    </w:p>
    <w:p>
      <w:r>
        <w:rPr>
          <w:rFonts w:ascii="Times New Roman" w:hAnsi="Times New Roman" w:eastAsia="Times New Roman" w:cs="Times New Roman"/>
          <w:color w:val="000000"/>
          <w:lang w:val="ru-RU"/>
        </w:rPr>
        <w:t xml:space="preserve">Экологический результат зависит от фактической загрузки установки, состава загрязняющих веществ, расположения источника относительно людей и уязвимых экосистем, а также от сохранения результата после завершения финансирования. Число введённых объектов не отражает всей цели проекта. В официальном описании предусмотрены отраслевые и региональные программы применения вторичных ресурсов, квотирование выбросов, верификация нормативной очистки стоков, мониторинг, охрана природных территорий, подготовка кадров и природоохранное просвещение. При экспертизе проверяется связь перечисленных механизмов с изменением состояния среды. Основные предметы оценки сопоставлены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tab_ep_structure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r>
        <w:rPr>
          <w:rStyle w:val="FootnoteReference"/>
          <w:rFonts w:ascii="Times New Roman" w:hAnsi="Times New Roman" w:eastAsia="Times New Roman" w:cs="Times New Roman"/>
          <w:color w:val="000000"/>
          <w:sz w:val="20"/>
          <w:szCs w:val="20"/>
          <w:lang w:val="ru-RU"/>
        </w:rPr>
        <w:footnoteReference w:id="11"/>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8" w:name="tab_ep_structur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8"/>
      <w:r>
        <w:rPr>
          <w:rFonts w:ascii="Times New Roman" w:hAnsi="Times New Roman" w:eastAsia="Times New Roman" w:cs="Times New Roman"/>
          <w:color w:val="000000"/>
          <w:sz w:val="24"/>
          <w:szCs w:val="24"/>
          <w:lang w:val="ru-RU"/>
        </w:rPr>
        <w:t xml:space="preserve"> – Направления национального проекта и предмет оценки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680"/>
        <w:gridCol w:w="4365"/>
        <w:gridCol w:w="4592"/>
      </w:tblGrid>
      <w:tr>
        <w:trPr>
          <w:cantSplit/>
          <w:tblHeader/>
        </w:trPr>
        <w:tc>
          <w:tcPr>
            <w:tcW w:type="dxa" w:w="680"/>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Код</w:t>
            </w:r>
          </w:p>
        </w:tc>
        <w:tc>
          <w:tcPr>
            <w:tcW w:type="dxa" w:w="436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4592"/>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Основной предмет оценки</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Ч1</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Генеральная уборка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Устранение опасности накопленного загрязнения</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Ч2</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Экономика замкнутого цикла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Обращение с отходами и использование вторичных ресурсов</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Ч3</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Сохранение биологического разнообразия и развитие экологического туризма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Состояние популяций и природных комплексов при регулируемом посещении</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Ч4</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Чистый воздух</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Сокращение опасных выбросов и изменение качества воздуха</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Ч5</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Вода России</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Снижение загрязнённых сбросов и восстановление водных объектов</w:t>
            </w:r>
          </w:p>
        </w:tc>
      </w:tr>
      <w:tr>
        <w:trPr>
          <w:cantSplit/>
        </w:trPr>
        <w:tc>
          <w:tcPr>
            <w:tcW w:type="dxa" w:w="680"/>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Ч6</w:t>
            </w:r>
          </w:p>
        </w:tc>
        <w:tc>
          <w:tcPr>
            <w:tcW w:type="dxa" w:w="436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Сохранение лесов</w:t>
            </w:r>
          </w:p>
        </w:tc>
        <w:tc>
          <w:tcPr>
            <w:tcW w:type="dxa" w:w="4592"/>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Воспроизводство лесов и снижение ущерба от пожаров</w:t>
            </w:r>
          </w:p>
        </w:tc>
      </w:tr>
    </w:tbl>
    <w:p>
      <w:pPr>
        <w:pStyle w:val="SourceNote"/>
        <w:keepLines/>
        <w:spacing w:after="140"/>
      </w:pPr>
      <w:r>
        <w:rPr>
          <w:rFonts w:ascii="Times New Roman" w:hAnsi="Times New Roman" w:eastAsia="Times New Roman" w:cs="Times New Roman"/>
          <w:color w:val="000000"/>
          <w:sz w:val="22"/>
          <w:szCs w:val="22"/>
          <w:lang w:val="ru-RU"/>
        </w:rPr>
        <w:t>Названия и состав соответствуют открытому ведомственному описанию. Предмет оценки сформулирован в ходе экспертизы.</w:t>
      </w:r>
      <w:r>
        <w:rPr>
          <w:rStyle w:val="FootnoteReference"/>
          <w:rFonts w:ascii="Times New Roman" w:hAnsi="Times New Roman" w:eastAsia="Times New Roman" w:cs="Times New Roman"/>
          <w:color w:val="000000"/>
          <w:sz w:val="20"/>
          <w:szCs w:val="20"/>
          <w:lang w:val="ru-RU"/>
        </w:rPr>
        <w:footnoteReference w:id="12"/>
      </w:r>
    </w:p>
    <w:p>
      <w:r>
        <w:rPr>
          <w:rFonts w:ascii="Times New Roman" w:hAnsi="Times New Roman" w:eastAsia="Times New Roman" w:cs="Times New Roman"/>
          <w:color w:val="000000"/>
          <w:lang w:val="ru-RU"/>
        </w:rPr>
        <w:t>При использовании открытых сведений необходимо учитывать их статус. В письме Минприроды России от 7 августа 2025 г. указано, что официальные паспорта относятся к документам ограниченного доступа, а внешние копии носят ознакомительный характер. Письмо раскрывает основные параметры на 5 августа 2025 г. Электронные представления от 16 октября 2026 г. содержат более подробные годовые и финансовые таблицы, однако дата размещения не подтверждает их соответствия действующему официальному паспорту. В экспертизе они используются как датированная открытая републикация. Особенности внешнего отображения не позволяют делать выводы о внутренней структуре утверждённого документа.</w:t>
      </w:r>
      <w:r>
        <w:rPr>
          <w:rStyle w:val="FootnoteReference"/>
          <w:rFonts w:ascii="Times New Roman" w:hAnsi="Times New Roman" w:eastAsia="Times New Roman" w:cs="Times New Roman"/>
          <w:color w:val="000000"/>
          <w:sz w:val="20"/>
          <w:szCs w:val="20"/>
          <w:lang w:val="ru-RU"/>
        </w:rPr>
        <w:footnoteReference w:id="13"/>
      </w:r>
    </w:p>
    <w:p>
      <w:r>
        <w:rPr>
          <w:rFonts w:ascii="Times New Roman" w:hAnsi="Times New Roman" w:eastAsia="Times New Roman" w:cs="Times New Roman"/>
          <w:color w:val="000000"/>
          <w:lang w:val="ru-RU"/>
        </w:rPr>
        <w:t xml:space="preserve">В двух открытых изложениях часть целевых ориентиров совпадает, часть различается и требует документального объяснения. В обоих источниках к 2030 г. указаны индекс использования вторичных ресурсов 25%, остаточный уровень опасных выбросов в 29 городах 80% исходного уровня, отношение лесовосстановления к выбытию 112%, 20,6 млн посетителей федеральных особо охраняемых природных территорий и 50 ликвидированных опасных объектов. Различаются отдельные водные параметры и промежуточный календарь ликвидации объектов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tab_ep_versions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3</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Приведённые различия нельзя автоматически объявить официальным изменением цели. Для подтверждения необходимы сведения об утверждении соответствующих редакций и основаниях пересчёта.</w:t>
      </w:r>
      <w:r>
        <w:rPr>
          <w:rStyle w:val="FootnoteReference"/>
          <w:rFonts w:ascii="Times New Roman" w:hAnsi="Times New Roman" w:eastAsia="Times New Roman" w:cs="Times New Roman"/>
          <w:color w:val="000000"/>
          <w:sz w:val="20"/>
          <w:szCs w:val="20"/>
          <w:lang w:val="ru-RU"/>
        </w:rPr>
        <w:footnoteReference w:id="14"/>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9" w:name="tab_ep_vers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9"/>
      <w:r>
        <w:rPr>
          <w:rFonts w:ascii="Times New Roman" w:hAnsi="Times New Roman" w:eastAsia="Times New Roman" w:cs="Times New Roman"/>
          <w:color w:val="000000"/>
          <w:sz w:val="24"/>
          <w:szCs w:val="24"/>
          <w:lang w:val="ru-RU"/>
        </w:rPr>
        <w:t xml:space="preserve"> – Различия параметров в двух открытых изложениях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649"/>
        <w:gridCol w:w="2494"/>
        <w:gridCol w:w="2494"/>
      </w:tblGrid>
      <w:tr>
        <w:trPr>
          <w:cantSplit/>
          <w:tblHeader/>
        </w:trPr>
        <w:tc>
          <w:tcPr>
            <w:tcW w:type="dxa" w:w="464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Параметр</w:t>
            </w:r>
          </w:p>
        </w:tc>
        <w:tc>
          <w:tcPr>
            <w:tcW w:type="dxa" w:w="249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Письмо на 05.08.2025</w:t>
            </w:r>
          </w:p>
        </w:tc>
        <w:tc>
          <w:tcPr>
            <w:tcW w:type="dxa" w:w="249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Републикация от 16.10.2026</w:t>
            </w:r>
          </w:p>
        </w:tc>
      </w:tr>
      <w:tr>
        <w:trPr>
          <w:cantSplit/>
        </w:trPr>
        <w:tc>
          <w:tcPr>
            <w:tcW w:type="dxa" w:w="464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Неочищенные сточные воды в 2030 г., млн м³</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9 215,1</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7 692,03</w:t>
            </w:r>
          </w:p>
        </w:tc>
      </w:tr>
      <w:tr>
        <w:trPr>
          <w:cantSplit/>
        </w:trPr>
        <w:tc>
          <w:tcPr>
            <w:tcW w:type="dxa" w:w="464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Показатель негативного воздействия на центральную экологическую зону Байкала в 2030 г., %</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54,7</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54,1</w:t>
            </w:r>
          </w:p>
        </w:tc>
      </w:tr>
      <w:tr>
        <w:trPr>
          <w:cantSplit/>
        </w:trPr>
        <w:tc>
          <w:tcPr>
            <w:tcW w:type="dxa" w:w="464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Ликвидированные опасные объекты к 2027 г., накопленным итогом, ед.</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r>
      <w:tr>
        <w:trPr>
          <w:cantSplit/>
        </w:trPr>
        <w:tc>
          <w:tcPr>
            <w:tcW w:type="dxa" w:w="4649"/>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Те же объекты к 2030 г., накопленным итогом, ед.</w:t>
            </w:r>
          </w:p>
        </w:tc>
        <w:tc>
          <w:tcPr>
            <w:tcW w:type="dxa" w:w="249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50</w:t>
            </w:r>
          </w:p>
        </w:tc>
        <w:tc>
          <w:tcPr>
            <w:tcW w:type="dxa" w:w="249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50</w:t>
            </w:r>
          </w:p>
        </w:tc>
      </w:tr>
    </w:tbl>
    <w:p>
      <w:pPr>
        <w:pStyle w:val="SourceNote"/>
        <w:keepLines/>
        <w:spacing w:after="140"/>
      </w:pPr>
      <w:r>
        <w:rPr>
          <w:rFonts w:ascii="Times New Roman" w:hAnsi="Times New Roman" w:eastAsia="Times New Roman" w:cs="Times New Roman"/>
          <w:color w:val="000000"/>
          <w:sz w:val="22"/>
          <w:szCs w:val="22"/>
          <w:lang w:val="ru-RU"/>
        </w:rPr>
        <w:t>Различия источников не являются самостоятельным доказательством официальной корректировки паспорта. Для водных показателей дополнительно требуется согласование методических редакций.</w:t>
      </w:r>
      <w:r>
        <w:rPr>
          <w:rStyle w:val="FootnoteReference"/>
          <w:rFonts w:ascii="Times New Roman" w:hAnsi="Times New Roman" w:eastAsia="Times New Roman" w:cs="Times New Roman"/>
          <w:color w:val="000000"/>
          <w:sz w:val="20"/>
          <w:szCs w:val="20"/>
          <w:lang w:val="ru-RU"/>
        </w:rPr>
        <w:footnoteReference w:id="15"/>
      </w:r>
    </w:p>
    <w:p>
      <w:r>
        <w:rPr>
          <w:rFonts w:ascii="Times New Roman" w:hAnsi="Times New Roman" w:eastAsia="Times New Roman" w:cs="Times New Roman"/>
          <w:color w:val="000000"/>
          <w:lang w:val="ru-RU"/>
        </w:rPr>
        <w:t>Реализация проекта требует согласования федеральных, региональных, муниципальных и корпоративных решений. На одном водосборе сочетаются коммунальные и промышленные сбросы, лесопользование и рекреация. В одном городе действуют промышленные источники, транспорт и отопление домов. За исполнение мероприятий отвечают отраслевые органы, однако территория экологического улучшения не всегда совпадает с административными границами. Межведомственное согласование следует оценивать по общей нагрузке и наблюдаемым изменениям среды. Одновременного выполнения нескольких ведомственных планов для такой оценки недостаточно.</w:t>
      </w:r>
    </w:p>
    <w:p>
      <w:r>
        <w:rPr>
          <w:rFonts w:ascii="Times New Roman" w:hAnsi="Times New Roman" w:eastAsia="Times New Roman" w:cs="Times New Roman"/>
          <w:color w:val="000000"/>
          <w:lang w:val="ru-RU"/>
        </w:rPr>
        <w:t>В управлении проектом следует раздельно учитывать предусмотренные меры, выполненные действия и изменения среды. Открытая паспортная информация преимущественно описывает планы. Выполнение мероприятий и состояние среды должны характеризоваться отчётностью и измерительными сетями. Отсутствие связи в публичной форме не доказывает отсутствия управленческого решения, однако затрудняет внешнюю оценку. Необходимо публиковать согласованные определения, периоды, территории и проверяемые результаты в объёме, который не затрагивает сведения ограниченного доступа.</w:t>
      </w:r>
    </w:p>
    <w:p>
      <w:pPr>
        <w:pStyle w:val="Heading2"/>
      </w:pPr>
      <w:bookmarkStart w:id="10" w:name="sec_007"/>
      <w:r>
        <w:rPr>
          <w:rFonts w:ascii="Times New Roman" w:hAnsi="Times New Roman" w:eastAsia="Times New Roman" w:cs="Times New Roman"/>
          <w:b/>
          <w:color w:val="000000"/>
          <w:sz w:val="28"/>
          <w:szCs w:val="28"/>
          <w:lang w:val="ru-RU"/>
        </w:rPr>
        <w:t>2.2 Обращение с отходами и ликвидация накопленного вреда</w:t>
      </w:r>
      <w:bookmarkEnd w:id="10"/>
    </w:p>
    <w:p>
      <w:r>
        <w:rPr>
          <w:rFonts w:ascii="Times New Roman" w:hAnsi="Times New Roman" w:eastAsia="Times New Roman" w:cs="Times New Roman"/>
          <w:color w:val="000000"/>
          <w:lang w:val="ru-RU"/>
        </w:rPr>
        <w:t>В направлении экономики замкнутого цикла необходимо разграничивать предотвращение образования отходов, их обработку, утилизацию и захоронение. Федеральный закон № 89-ФЗ определяет обработку как подготовительную стадию, которая включает сортировку. Следовательно, передача всей массы коммунальных отходов на обработку не означает возврата всей этой массы в материальное производство. После сортировки остаются фракции, для которых должны быть установлены безопасные и экономически реализуемые дальнейшие маршруты. Увеличение проектной мощности сортировочных комплексов характеризует необходимую инфраструктурную предпосылку, но ещё не доказывает замыкания материального цикла.</w:t>
      </w:r>
      <w:r>
        <w:rPr>
          <w:rStyle w:val="FootnoteReference"/>
          <w:rFonts w:ascii="Times New Roman" w:hAnsi="Times New Roman" w:eastAsia="Times New Roman" w:cs="Times New Roman"/>
          <w:color w:val="000000"/>
          <w:sz w:val="20"/>
          <w:szCs w:val="20"/>
          <w:lang w:val="ru-RU"/>
        </w:rPr>
        <w:footnoteReference w:id="16"/>
      </w:r>
    </w:p>
    <w:p>
      <w:r>
        <w:rPr>
          <w:rFonts w:ascii="Times New Roman" w:hAnsi="Times New Roman" w:eastAsia="Times New Roman" w:cs="Times New Roman"/>
          <w:color w:val="000000"/>
          <w:lang w:val="ru-RU"/>
        </w:rPr>
        <w:t>Указ № 309 сочетает ориентиры по сортировке, захоронению и вторичному использованию. Совместное применение показателей способно ограничивать формальное выполнение отдельной цели. При этом их охват различается. Показатели сортировки и захоронения относятся к твёрдым коммунальным отходам, тогда как использование вторичных ресурсов охватывает отходы производства и потребления в отраслях экономики. Сопоставлять их как части одного баланса без проверки состава потоков и методики нельзя. В анализе следует отдельно показывать коммунальные, промышленные и иные отходы, а также исключать повторный учёт одной массы на последовательных стадиях обращения.</w:t>
      </w:r>
      <w:r>
        <w:rPr>
          <w:rStyle w:val="FootnoteReference"/>
          <w:rFonts w:ascii="Times New Roman" w:hAnsi="Times New Roman" w:eastAsia="Times New Roman" w:cs="Times New Roman"/>
          <w:color w:val="000000"/>
          <w:sz w:val="20"/>
          <w:szCs w:val="20"/>
          <w:lang w:val="ru-RU"/>
        </w:rPr>
        <w:footnoteReference w:id="17"/>
      </w:r>
    </w:p>
    <w:p>
      <w:r>
        <w:rPr>
          <w:rFonts w:ascii="Times New Roman" w:hAnsi="Times New Roman" w:eastAsia="Times New Roman" w:cs="Times New Roman"/>
          <w:color w:val="000000"/>
          <w:lang w:val="ru-RU"/>
        </w:rPr>
        <w:t>Официальное описание предусматривает создание инфраструктуры, региональные программы перехода к экономике замкнутого цикла и отраслевые программы применения вторичных ресурсов. Для реализации программ необходимы возможность выделения сырья и устойчивый спрос на него. При экспертизе инвестиционного проекта следует проследить состав поступающих отходов, качество товарной фракции, наличие подтверждённого покупателя и фактическую поставку. Если связь между стадиями не установлена, существует риск накопления отсортированных материалов или их последующего размещения. Наличие риска не свидетельствует о фактических результатах конкретного оператора.</w:t>
      </w:r>
      <w:r>
        <w:rPr>
          <w:rStyle w:val="FootnoteReference"/>
          <w:rFonts w:ascii="Times New Roman" w:hAnsi="Times New Roman" w:eastAsia="Times New Roman" w:cs="Times New Roman"/>
          <w:color w:val="000000"/>
          <w:sz w:val="20"/>
          <w:szCs w:val="20"/>
          <w:lang w:val="ru-RU"/>
        </w:rPr>
        <w:footnoteReference w:id="18"/>
      </w:r>
    </w:p>
    <w:p>
      <w:r>
        <w:rPr>
          <w:rFonts w:ascii="Times New Roman" w:hAnsi="Times New Roman" w:eastAsia="Times New Roman" w:cs="Times New Roman"/>
          <w:color w:val="000000"/>
          <w:lang w:val="ru-RU"/>
        </w:rPr>
        <w:t>Для проверки результата рекомендуется раздельно учитывать поступление на объект, массу после сортировки, выпуск вторичного сырья, подтверждённое использование этого сырья и остатки, направленные на захоронение либо обезвреживание. Каждый переход должен иметь период, единицу измерения и идентификатор передающей и принимающей стороны. Объём собранного вторсырья, проектная мощность оборудования и фактическая масса использованного материала отвечают на разные управленческие вопросы. Их объединение в одну величину могло бы создавать видимость достижения цели при неполном прохождении технологической цепочки.</w:t>
      </w:r>
    </w:p>
    <w:p>
      <w:r>
        <w:rPr>
          <w:rFonts w:ascii="Times New Roman" w:hAnsi="Times New Roman" w:eastAsia="Times New Roman" w:cs="Times New Roman"/>
          <w:color w:val="000000"/>
          <w:lang w:val="ru-RU"/>
        </w:rPr>
        <w:t>Юридическое содержание утилизации также шире материального рециклинга: закон предусматривает отдельные формы энергетического использования отходов при установленных условиях. Поэтому рост учтённой утилизации сам по себе не показывает, какая доля исходных материалов действительно заменяет первичное сырьё. Для содержательной характеристики экономики замкнутого цикла полезно раскрывать структуру способов утилизации и выход полезного материала. Раскрытие структуры дополняет действующую правовую классификацию и уточняет экологическое содержание показателя.</w:t>
      </w:r>
      <w:r>
        <w:rPr>
          <w:rStyle w:val="FootnoteReference"/>
          <w:rFonts w:ascii="Times New Roman" w:hAnsi="Times New Roman" w:eastAsia="Times New Roman" w:cs="Times New Roman"/>
          <w:color w:val="000000"/>
          <w:sz w:val="20"/>
          <w:szCs w:val="20"/>
          <w:lang w:val="ru-RU"/>
        </w:rPr>
        <w:footnoteReference w:id="19"/>
      </w:r>
    </w:p>
    <w:p>
      <w:pPr>
        <w:keepLines w:val="1"/>
        <w:pageBreakBefore w:val="1"/>
      </w:pPr>
      <w:r>
        <w:rPr>
          <w:rFonts w:ascii="Times New Roman" w:hAnsi="Times New Roman" w:eastAsia="Times New Roman" w:cs="Times New Roman"/>
          <w:color w:val="000000"/>
          <w:lang w:val="ru-RU"/>
        </w:rPr>
        <w:t>Для отходов I и II классов опасности тоннажа недостаточно для сопоставления экологической пользы. Необходимы сведения о классе и способе обращения. Проект предусматривает проверку фактического соответствия объектов требованиям безопасного обращения и подтверждение объёмов. Проверку следует связывать с составом поступающих отходов, технологическим результатом, обращением со вторичными остатками и конечным размещением. Снижение опасности возможно без эквивалентного сокращения массы. Возможно и сокращение массы без соответствующего снижения опасности. Поэтому следует подтверждать безопасное завершение обращения с отходами после их приёма на установку.</w:t>
      </w:r>
      <w:r>
        <w:rPr>
          <w:rStyle w:val="FootnoteReference"/>
          <w:rFonts w:ascii="Times New Roman" w:hAnsi="Times New Roman" w:eastAsia="Times New Roman" w:cs="Times New Roman"/>
          <w:color w:val="000000"/>
          <w:sz w:val="20"/>
          <w:szCs w:val="20"/>
          <w:lang w:val="ru-RU"/>
        </w:rPr>
        <w:footnoteReference w:id="20"/>
      </w:r>
    </w:p>
    <w:p>
      <w:r>
        <w:rPr>
          <w:rFonts w:ascii="Times New Roman" w:hAnsi="Times New Roman" w:eastAsia="Times New Roman" w:cs="Times New Roman"/>
          <w:color w:val="000000"/>
          <w:lang w:val="ru-RU"/>
        </w:rPr>
        <w:t>Исходной единицей «Генеральной уборки» является опасный объект накопленного вреда. Законодательство предусматривает выявление, обследование и оценку объектов, что позволяет определять приоритеты по опасности. Удобство завершения работ не должно заменять этот критерий. Число ликвидированных объектов необходимо для календарного контроля, однако небольшой участок и крупная промышленная площадка экологически неравноценны. Счётный показатель следует дополнить сведениями об исходной опасности, затронутой территории, путях миграции загрязнения и результатах наблюдений после работ.</w:t>
      </w:r>
      <w:r>
        <w:rPr>
          <w:rStyle w:val="FootnoteReference"/>
          <w:rFonts w:ascii="Times New Roman" w:hAnsi="Times New Roman" w:eastAsia="Times New Roman" w:cs="Times New Roman"/>
          <w:color w:val="000000"/>
          <w:sz w:val="20"/>
          <w:szCs w:val="20"/>
          <w:lang w:val="ru-RU"/>
        </w:rPr>
        <w:footnoteReference w:id="21"/>
      </w:r>
    </w:p>
    <w:p>
      <w:r>
        <w:rPr>
          <w:rFonts w:ascii="Times New Roman" w:hAnsi="Times New Roman" w:eastAsia="Times New Roman" w:cs="Times New Roman"/>
          <w:color w:val="000000"/>
          <w:lang w:val="ru-RU"/>
        </w:rPr>
        <w:t>В открытой републикации накопленный итог ликвидации составляет 2 объекта к 2027 г., 12 к 2028 г., 28 к 2029 г. и 50 к 2030 г. На два последних года приходится завершение 38 из 50 объектов, или 76% итогового количества. Распределение сроков характеризует заявленный план и не свидетельствует о будущем срыве. Оно требует заблаговременных обследований, подготовки документации, разрешительных процедур, технологических испытаний и подтверждения мощностей обращения с извлекаемыми отходами. Проверка подготовки в начале периода информативнее ожидания роста числа завершённых объектов к его концу.</w:t>
      </w:r>
      <w:r>
        <w:rPr>
          <w:rStyle w:val="FootnoteReference"/>
          <w:rFonts w:ascii="Times New Roman" w:hAnsi="Times New Roman" w:eastAsia="Times New Roman" w:cs="Times New Roman"/>
          <w:color w:val="000000"/>
          <w:sz w:val="20"/>
          <w:szCs w:val="20"/>
          <w:lang w:val="ru-RU"/>
        </w:rPr>
        <w:footnoteReference w:id="22"/>
      </w:r>
    </w:p>
    <w:p>
      <w:r>
        <w:rPr>
          <w:rFonts w:ascii="Times New Roman" w:hAnsi="Times New Roman" w:eastAsia="Times New Roman" w:cs="Times New Roman"/>
          <w:color w:val="000000"/>
          <w:lang w:val="ru-RU"/>
        </w:rPr>
        <w:t>Завершение инженерных работ следует дополнять наблюдением за остаточным воздействием. Для разных объектов это могут быть качество подземных и поверхностных вод, состояние почв, пыление, фильтрат или устойчивость защитных сооружений. Показатели выбираются по установленному пути воздействия. Единый универсальный перечень не учитывает различий объектов. Условиями приёмки и последующего мониторинга должны быть предусмотрены ответственный оператор, срок наблюдений, источник финансирования и действия при отклонениях. При этом достижение проектных критериев ликвидации и восстановление природной территории до фонового состояния могут иметь разные сроки и не должны смешиваться.</w:t>
      </w:r>
    </w:p>
    <w:p>
      <w:r>
        <w:rPr>
          <w:rFonts w:ascii="Times New Roman" w:hAnsi="Times New Roman" w:eastAsia="Times New Roman" w:cs="Times New Roman"/>
          <w:color w:val="000000"/>
          <w:lang w:val="ru-RU"/>
        </w:rPr>
        <w:t>Пространственный перенос загрязнения необходимо исключать из положительной оценки. Вывоз отходов с одного объекта является промежуточным результатом, пока не подтверждены законность, безопасность и технологическое завершение обращения на принимающем объекте. Общая логика двух федеральных направлений состоит в прослеживаемости потока: от источника и исходной опасности до конечного использования либо изоляции. По прослеживаемому потоку можно оценивать действительное уменьшение воздействия на население и экосистемы, сохраняя различия между коммунальными потоками, промышленными отходами и наследием прошлой деятельности.</w:t>
      </w:r>
    </w:p>
    <w:p>
      <w:pPr>
        <w:pStyle w:val="Heading2"/>
      </w:pPr>
      <w:bookmarkStart w:id="11" w:name="sec_008"/>
      <w:r>
        <w:rPr>
          <w:rFonts w:ascii="Times New Roman" w:hAnsi="Times New Roman" w:eastAsia="Times New Roman" w:cs="Times New Roman"/>
          <w:b/>
          <w:color w:val="000000"/>
          <w:sz w:val="28"/>
          <w:szCs w:val="28"/>
          <w:lang w:val="ru-RU"/>
        </w:rPr>
        <w:t>2.3 Качество атмосферного воздуха и восстановление водных объектов</w:t>
      </w:r>
      <w:bookmarkEnd w:id="11"/>
    </w:p>
    <w:p>
      <w:r>
        <w:rPr>
          <w:rFonts w:ascii="Times New Roman" w:hAnsi="Times New Roman" w:eastAsia="Times New Roman" w:cs="Times New Roman"/>
          <w:color w:val="000000"/>
          <w:lang w:val="ru-RU"/>
        </w:rPr>
        <w:t>Проект «Чистый воздух» предусматривает комплексы мер для определённых территорий. Официальное описание включает индивидуальные планы снижения выбросов, мероприятия промышленных предприятий, преобразование коммунального и автономного отопления, развитие наблюдений и оценку влияния на здоровье. Состав источников загрязнения различается между городами, поэтому подбор мер для каждой территории обоснован. Межгородское сравнение требует единых правил расчёта и отдельного раскрытия исходного уровня загрязнения.</w:t>
      </w:r>
      <w:r>
        <w:rPr>
          <w:rStyle w:val="FootnoteReference"/>
          <w:rFonts w:ascii="Times New Roman" w:hAnsi="Times New Roman" w:eastAsia="Times New Roman" w:cs="Times New Roman"/>
          <w:color w:val="000000"/>
          <w:sz w:val="20"/>
          <w:szCs w:val="20"/>
          <w:lang w:val="ru-RU"/>
        </w:rPr>
        <w:footnoteReference w:id="23"/>
      </w:r>
    </w:p>
    <w:p>
      <w:r>
        <w:rPr>
          <w:rFonts w:ascii="Times New Roman" w:hAnsi="Times New Roman" w:eastAsia="Times New Roman" w:cs="Times New Roman"/>
          <w:color w:val="000000"/>
          <w:lang w:val="ru-RU"/>
        </w:rPr>
        <w:t>Первая группа из 12 городов и последующая группа из 29 городов не образуют один полностью однородный временной ряд. Закон о квотировании устанавливает для первоначальных территорий срок эксперимента до конца 2026 г. Сроки и этапы для дополнительных территорий определяются отдельно. В опубликованных целях также различаются сроки достижения и исходные периоды. Поэтому объединённая оценка должна сохранять принадлежность города к соответствующей группе, используемую базу и состав загрязняющих веществ. Нельзя интерпретировать разность двух несопоставимых индексов как ускорение или замедление общей экологической политики.</w:t>
      </w:r>
      <w:r>
        <w:rPr>
          <w:rStyle w:val="FootnoteReference"/>
          <w:rFonts w:ascii="Times New Roman" w:hAnsi="Times New Roman" w:eastAsia="Times New Roman" w:cs="Times New Roman"/>
          <w:color w:val="000000"/>
          <w:sz w:val="20"/>
          <w:szCs w:val="20"/>
          <w:lang w:val="ru-RU"/>
        </w:rPr>
        <w:footnoteReference w:id="24"/>
      </w:r>
    </w:p>
    <w:p>
      <w:r>
        <w:rPr>
          <w:rFonts w:ascii="Times New Roman" w:hAnsi="Times New Roman" w:eastAsia="Times New Roman" w:cs="Times New Roman"/>
          <w:color w:val="000000"/>
          <w:lang w:val="ru-RU"/>
        </w:rPr>
        <w:t>Сокращение выбросов необходимо отличать от улучшения качества воздуха в месте проживания. Первое характеризует давление источников, второе – состояние среды после распространения и преобразования загрязняющих веществ. На концентрации влияют расположение источников, характеристики выброса, погода и пространственное распределение населения. Следовательно, один агрегированный процент снижения выбросов не раскрывает, какие районы города получили наибольшее улучшение. Для проверки общественного результата целесообразно сопоставлять данные об источниках с измерениями концентраций и населением в зонах воздействия, сохраняя различия между веществами.</w:t>
      </w:r>
    </w:p>
    <w:p>
      <w:r>
        <w:rPr>
          <w:rFonts w:ascii="Times New Roman" w:hAnsi="Times New Roman" w:eastAsia="Times New Roman" w:cs="Times New Roman"/>
          <w:color w:val="000000"/>
          <w:lang w:val="ru-RU"/>
        </w:rPr>
        <w:t>Выполнение промышленного мероприятия следует подтверждать технологическими параметрами и наблюдениями при сопоставимой производственной нагрузке. Падение выпуска продукции способно уменьшить абсолютную массу выбросов без модернизации, а рост выпуска – частично скрыть улучшение удельных характеристик оборудования. Поэтому абсолютные выбросы и выбросы на единицу сопоставимого выпуска полезно рассматривать совместно, не заменяя установленную цель по опасным веществам показателем производственной эффективности. При сопоставлении городов необходимо также учитывать изменение перечня контролируемых источников и полноту инвентаризации.</w:t>
      </w:r>
    </w:p>
    <w:p>
      <w:r>
        <w:rPr>
          <w:rFonts w:ascii="Times New Roman" w:hAnsi="Times New Roman" w:eastAsia="Times New Roman" w:cs="Times New Roman"/>
          <w:color w:val="000000"/>
          <w:lang w:val="ru-RU"/>
        </w:rPr>
        <w:t>Для перевода частных домовладений на более чистое отопление критерием устойчивости является фактическое использование новой системы в отопительный сезон. Подключение и установка оборудования создают возможность, но её реализация зависит от надёжности снабжения, эксплуатационных расходов и технического обслуживания. При выборе мер рекомендуется проверять совместную готовность сетей и домовладений, доступность расходов для получателей поддержки и сохранение результата после первоначального субсидирования. Проверка условий эксплуатации позволяет заранее выявить риск возврата к прежнему топливу, до изменения концентраций загрязняющих веществ в городе.</w:t>
      </w:r>
      <w:r>
        <w:rPr>
          <w:rStyle w:val="FootnoteReference"/>
          <w:rFonts w:ascii="Times New Roman" w:hAnsi="Times New Roman" w:eastAsia="Times New Roman" w:cs="Times New Roman"/>
          <w:color w:val="000000"/>
          <w:sz w:val="20"/>
          <w:szCs w:val="20"/>
          <w:lang w:val="ru-RU"/>
        </w:rPr>
        <w:footnoteReference w:id="25"/>
      </w:r>
    </w:p>
    <w:p>
      <w:r>
        <w:rPr>
          <w:rFonts w:ascii="Times New Roman" w:hAnsi="Times New Roman" w:eastAsia="Times New Roman" w:cs="Times New Roman"/>
          <w:color w:val="000000"/>
          <w:lang w:val="ru-RU"/>
        </w:rPr>
        <w:t>Направление «Вода России» соединяет снижение неочищенных сбросов и экологическое оздоровление водных объектов. В открытом ведомственном изложении предусмотрены строительство и реконструкция очистных сооружений, оценка Росприроднадзором нормативной очистки, восстановление гидрографической сети и гидротехнические мероприятия. Проверку очистки необходимо последовательно связать с режимом эксплуатации и состоянием принимающего водного объекта.</w:t>
      </w:r>
      <w:r>
        <w:rPr>
          <w:rStyle w:val="FootnoteReference"/>
          <w:rFonts w:ascii="Times New Roman" w:hAnsi="Times New Roman" w:eastAsia="Times New Roman" w:cs="Times New Roman"/>
          <w:color w:val="000000"/>
          <w:sz w:val="20"/>
          <w:szCs w:val="20"/>
          <w:lang w:val="ru-RU"/>
        </w:rPr>
        <w:footnoteReference w:id="26"/>
      </w:r>
    </w:p>
    <w:p>
      <w:r>
        <w:rPr>
          <w:rFonts w:ascii="Times New Roman" w:hAnsi="Times New Roman" w:eastAsia="Times New Roman" w:cs="Times New Roman"/>
          <w:color w:val="000000"/>
          <w:lang w:val="ru-RU"/>
        </w:rPr>
        <w:t>Объём неочищенных сточных вод является значимым, но неполным измерителем нагрузки. Экологическое последствие зависит также от концентрации и массы отдельных веществ, сезонного водного режима, фонового состояния и способности водного объекта к самоочищению. Снижение объёма сброса не обязательно означает такое же снижение загрязняющей нагрузки. При эксплуатации очистного сооружения необходимо сопоставлять входящий поток, фактическую очистку и характеристики выхода. Изменения классификации качества воды следует отделять от изменений её физического состава. Разграничение необходимо при пересмотре методики расчёта целевого показателя.</w:t>
      </w:r>
    </w:p>
    <w:p>
      <w:r>
        <w:rPr>
          <w:rFonts w:ascii="Times New Roman" w:hAnsi="Times New Roman" w:eastAsia="Times New Roman" w:cs="Times New Roman"/>
          <w:color w:val="000000"/>
          <w:lang w:val="ru-RU"/>
        </w:rPr>
        <w:t>Ведомственное описание предусматривает отбор проектов по объёму очищаемого загрязнённого стока на рубль федерального финансирования. Критерий затрат способствует экономности, однако при отборе необходимо учитывать и экологическую значимость результата. Большой объём относительно мало загрязнённого потока и небольшой объём опасного сброса могут иметь различную приоритетность. Поэтому сравнение допустимо внутри сопоставимых классов задач и должно учитывать принимающий водный объект, требуемую степень очистки, стоимость эксплуатации и достоверность проектного объёма. Универсальное ранжирование только по кубическим метрам на рубль могло бы недооценить сложные, но экологически необходимые мероприятия.</w:t>
      </w:r>
      <w:r>
        <w:rPr>
          <w:rStyle w:val="FootnoteReference"/>
          <w:rFonts w:ascii="Times New Roman" w:hAnsi="Times New Roman" w:eastAsia="Times New Roman" w:cs="Times New Roman"/>
          <w:color w:val="000000"/>
          <w:sz w:val="20"/>
          <w:szCs w:val="20"/>
          <w:lang w:val="ru-RU"/>
        </w:rPr>
        <w:footnoteReference w:id="27"/>
      </w:r>
    </w:p>
    <w:p>
      <w:r>
        <w:rPr>
          <w:rFonts w:ascii="Times New Roman" w:hAnsi="Times New Roman" w:eastAsia="Times New Roman" w:cs="Times New Roman"/>
          <w:color w:val="000000"/>
          <w:lang w:val="ru-RU"/>
        </w:rPr>
        <w:t>Водосбор образует естественную единицу согласования мероприятий. Очистка на одном участке может сочетаться с сохранением нагрузки выше по течению. Восстановление русла также возможно при продолжающемся поступлении загрязнённого стока. В проектной оценке требуется устанавливать, какие источники формируют основную нагрузку, какая доля контролируется поддерживаемыми мерами и где должны располагаться пункты наблюдения. Границы ответственности конкретного исполнителя при этом сохраняются, но результаты разных исполнителей сопоставляются в пределах общего водного объекта. Численность населения вблизи оздоровленного водоёма должна трактоваться как охват территории, пока фактическое улучшение условий для этих жителей не подтверждено дополнительными наблюдениями.</w:t>
      </w:r>
    </w:p>
    <w:p>
      <w:r>
        <w:rPr>
          <w:rFonts w:ascii="Times New Roman" w:hAnsi="Times New Roman" w:eastAsia="Times New Roman" w:cs="Times New Roman"/>
          <w:color w:val="000000"/>
          <w:lang w:val="ru-RU"/>
        </w:rPr>
        <w:t>Для Байкальской природной территории требуется согласование мероприятий по обращению с отходами, ликвидации накопленного вреда, очистке стоков, охране природных комплексов и лесному мониторингу. Межпроектное взаимодействие предусмотрено официальным описанием. Его результативность следует оценивать по согласованным данным о нагрузке и состоянии экосистемы. Суммирование несопоставимых введённых мощностей не характеризует экологическое изменение. Интегральный показатель негативного воздействия полезен для общего наблюдения, но управленческое решение требует видеть его компоненты, территориальный охват и причины изменения каждого компонента.</w:t>
      </w:r>
      <w:r>
        <w:rPr>
          <w:rStyle w:val="FootnoteReference"/>
          <w:rFonts w:ascii="Times New Roman" w:hAnsi="Times New Roman" w:eastAsia="Times New Roman" w:cs="Times New Roman"/>
          <w:color w:val="000000"/>
          <w:sz w:val="20"/>
          <w:szCs w:val="20"/>
          <w:lang w:val="ru-RU"/>
        </w:rPr>
        <w:footnoteReference w:id="28"/>
      </w:r>
    </w:p>
    <w:p>
      <w:pPr>
        <w:pStyle w:val="Heading2"/>
      </w:pPr>
      <w:bookmarkStart w:id="12" w:name="sec_009"/>
      <w:r>
        <w:rPr>
          <w:rFonts w:ascii="Times New Roman" w:hAnsi="Times New Roman" w:eastAsia="Times New Roman" w:cs="Times New Roman"/>
          <w:b/>
          <w:color w:val="000000"/>
          <w:sz w:val="28"/>
          <w:szCs w:val="28"/>
          <w:lang w:val="ru-RU"/>
        </w:rPr>
        <w:t>2.4 Воспроизводство лесов и сохранение биологического разнообразия</w:t>
      </w:r>
      <w:bookmarkEnd w:id="12"/>
    </w:p>
    <w:p>
      <w:r>
        <w:rPr>
          <w:rFonts w:ascii="Times New Roman" w:hAnsi="Times New Roman" w:eastAsia="Times New Roman" w:cs="Times New Roman"/>
          <w:color w:val="000000"/>
          <w:lang w:val="ru-RU"/>
        </w:rPr>
        <w:t>Сохранение лесов предусматривает воспроизводство, противопожарные меры, подготовку семян и посадочного материала, а также уточнение информации о лесных ресурсах. В открытом описании цель сформулирована как превышение площади воспроизводства над площадью выбытия. При этом методика расчёта сопоставляет лесовосстановление и лесоразведение отчётного года с площадью вырубленных и погибших насаждений за год, предшествующий отчётному на два года. Поэтому коэффициент нельзя интерпретировать как баланс прироста и выбытия одного календарного года. Он также не характеризует сам по себе состояние возникшего леса: одинаковая площадь может различаться по породному составу, возрасту, приживаемости и защитным функциям.</w:t>
      </w:r>
      <w:r>
        <w:rPr>
          <w:rStyle w:val="FootnoteReference"/>
          <w:rFonts w:ascii="Times New Roman" w:hAnsi="Times New Roman" w:eastAsia="Times New Roman" w:cs="Times New Roman"/>
          <w:color w:val="000000"/>
          <w:sz w:val="20"/>
          <w:szCs w:val="20"/>
          <w:lang w:val="ru-RU"/>
        </w:rPr>
        <w:footnoteReference w:id="29"/>
      </w:r>
    </w:p>
    <w:p>
      <w:r>
        <w:rPr>
          <w:rFonts w:ascii="Times New Roman" w:hAnsi="Times New Roman" w:eastAsia="Times New Roman" w:cs="Times New Roman"/>
          <w:color w:val="000000"/>
          <w:lang w:val="ru-RU"/>
        </w:rPr>
        <w:t>Поэтому количественное выполнение восстановления должно сопровождаться проверкой сохранности и качества на последующих стадиях. В составе показателей предусмотрено отнесение площадей лесовосстановления к землям, на которых расположены леса. Показатель разграничивает завершение восстановления и первоначальное выполнение работ. Экспертная рекомендация состоит в согласовании площадей по одной пространственной единице и году начала восстановления, чтобы повторные работы на одном участке не создавали ложного представления о расширении достигнутого результата. Состояние следует оценивать за период, соответствующий биологическим особенностям насаждений, с отдельным указанием причин утраты.</w:t>
      </w:r>
      <w:r>
        <w:rPr>
          <w:rStyle w:val="FootnoteReference"/>
          <w:rFonts w:ascii="Times New Roman" w:hAnsi="Times New Roman" w:eastAsia="Times New Roman" w:cs="Times New Roman"/>
          <w:color w:val="000000"/>
          <w:sz w:val="20"/>
          <w:szCs w:val="20"/>
          <w:lang w:val="ru-RU"/>
        </w:rPr>
        <w:footnoteReference w:id="30"/>
      </w:r>
    </w:p>
    <w:p>
      <w:r>
        <w:rPr>
          <w:rFonts w:ascii="Times New Roman" w:hAnsi="Times New Roman" w:eastAsia="Times New Roman" w:cs="Times New Roman"/>
          <w:color w:val="000000"/>
          <w:lang w:val="ru-RU"/>
        </w:rPr>
        <w:t>Интерпретация отношения восстановления к выбытию требует одновременно видеть абсолютные площади и годы, к которым они относятся. Последствия крупного пожара могут отразиться в знаменателе коэффициента через два года. Изменение отношения нельзя автоматически связывать с качеством восстановительных работ текущего года. Кроме того, методика предусматривает условное правило при нулевых площадях рубок и гибели: значение составляет 0%, если восстановления также нет, и 125% при положительной площади восстановления. В последнем случае 125% не является результатом деления двух наблюдаемых площадей. Само наличие такого значения без исходных компонентов не позволяет установить, применено ли условное правило. Для управленческого решения полезны многолетние ряды абсолютных площадей, причины выбытия и наблюдения за восстановленными участками.</w:t>
      </w:r>
      <w:r>
        <w:rPr>
          <w:rStyle w:val="FootnoteReference"/>
          <w:rFonts w:ascii="Times New Roman" w:hAnsi="Times New Roman" w:eastAsia="Times New Roman" w:cs="Times New Roman"/>
          <w:color w:val="000000"/>
          <w:sz w:val="20"/>
          <w:szCs w:val="20"/>
          <w:lang w:val="ru-RU"/>
        </w:rPr>
        <w:footnoteReference w:id="31"/>
      </w:r>
    </w:p>
    <w:p>
      <w:r>
        <w:rPr>
          <w:rFonts w:ascii="Times New Roman" w:hAnsi="Times New Roman" w:eastAsia="Times New Roman" w:cs="Times New Roman"/>
          <w:color w:val="000000"/>
          <w:lang w:val="ru-RU"/>
        </w:rPr>
        <w:t>Противопожарное направление следует рассматривать через готовность предупреждения, обнаружения и реагирования. Приобретённая техника и её доступность в период высокой опасности являются разными результатами. Операционная оценка должна учитывать исправность, экипажи, связь, снабжение, время обнаружения и возможность прибытия. Площадь пожаров за год зависит также от погодных условий и полноты выявления, поэтому её изменение не следует автоматически приписывать обновлению техники. Более содержательная оценка сочетает конечный ущерб с наблюдением за теми действиями, на которые органы управления способны непосредственно влиять.</w:t>
      </w:r>
    </w:p>
    <w:p>
      <w:r>
        <w:rPr>
          <w:rFonts w:ascii="Times New Roman" w:hAnsi="Times New Roman" w:eastAsia="Times New Roman" w:cs="Times New Roman"/>
          <w:color w:val="000000"/>
          <w:lang w:val="ru-RU"/>
        </w:rPr>
        <w:t>Биологическое разнообразие и экологический туризм включены в один федеральный проект. Официальное описание предусматривает сохранение популяций приоритетных животных, развитие заповедной системы, охрану от пожаров, ликвидацию свалок, повышение квалификации и просвещение наряду с туристической инфраструктурой. Следовательно, рост посещаемости не является единственным содержанием направления. Его положительная роль возможна при поддержке охраны территории и экологического образования, но экологическая оценка должна сохранять самостоятельность показателей состояния видов и природных комплексов.</w:t>
      </w:r>
      <w:r>
        <w:rPr>
          <w:rStyle w:val="FootnoteReference"/>
          <w:rFonts w:ascii="Times New Roman" w:hAnsi="Times New Roman" w:eastAsia="Times New Roman" w:cs="Times New Roman"/>
          <w:color w:val="000000"/>
          <w:sz w:val="20"/>
          <w:szCs w:val="20"/>
          <w:lang w:val="ru-RU"/>
        </w:rPr>
        <w:footnoteReference w:id="32"/>
      </w:r>
    </w:p>
    <w:p>
      <w:r>
        <w:rPr>
          <w:rFonts w:ascii="Times New Roman" w:hAnsi="Times New Roman" w:eastAsia="Times New Roman" w:cs="Times New Roman"/>
          <w:color w:val="000000"/>
          <w:lang w:val="ru-RU"/>
        </w:rPr>
        <w:t>Количество посетителей характеризует масштаб использования особо охраняемых природных территорий, а доля видов, охваченных мероприятиями, – распространённость природоохранных действий. Ни один из этих показателей сам по себе не подтверждает восстановление популяций. Рекомендуется связывать мероприятия по конкретному виду с исходным состоянием, местом обитания, действующим ограничивающим фактором и наблюдаемой динамикой. При небольшой численности вида краткосрочные колебания особенно трудно интерпретировать. Требуется достаточная продолжительность и сопоставимость наблюдений. Наличие мероприятия должно быть отделено от подтверждения биологического результата.</w:t>
      </w:r>
    </w:p>
    <w:p>
      <w:r>
        <w:rPr>
          <w:rFonts w:ascii="Times New Roman" w:hAnsi="Times New Roman" w:eastAsia="Times New Roman" w:cs="Times New Roman"/>
          <w:color w:val="000000"/>
          <w:lang w:val="ru-RU"/>
        </w:rPr>
        <w:t>Туристическую нагрузку необходимо оценивать в пространстве и по сезонам. Один годовой поток может распределяться равномерно или концентрироваться на нескольких уязвимых маршрутах. Нормативная основа для ограничения уже существует: постановлением Правительства Российской Федерации № 1811 утверждены правила расчёта предельно допустимой рекреационной ёмкости федеральных особо охраняемых природных территорий и их отдельных частей. При планировании туристической инфраструктуры следует применять действующие правила и проверять соответствие расчётной ёмкости, фактического потока и состояния территории.</w:t>
      </w:r>
      <w:r>
        <w:rPr>
          <w:rStyle w:val="FootnoteReference"/>
          <w:rFonts w:ascii="Times New Roman" w:hAnsi="Times New Roman" w:eastAsia="Times New Roman" w:cs="Times New Roman"/>
          <w:color w:val="000000"/>
          <w:sz w:val="20"/>
          <w:szCs w:val="20"/>
          <w:lang w:val="ru-RU"/>
        </w:rPr>
        <w:footnoteReference w:id="33"/>
      </w:r>
    </w:p>
    <w:p>
      <w:r>
        <w:rPr>
          <w:rFonts w:ascii="Times New Roman" w:hAnsi="Times New Roman" w:eastAsia="Times New Roman" w:cs="Times New Roman"/>
          <w:color w:val="000000"/>
          <w:lang w:val="ru-RU"/>
        </w:rPr>
        <w:t>При оценке нового маршрута или визит-центра следует учитывать канализацию, обращение с отходами, безопасность, охрану и постоянное обслуживание. Инвестиционный объект способен перераспределять поток и облегчать контроль, однако увеличение пропускной способности без соответствующих природоохранных условий может повысить нагрузку. Обоснование должно показывать, где посещение допустимо, какие ограничения обеспечивают сохранение природного комплекса и по каким наблюдаемым признакам решение будет пересмотрено. Учёт условий посещения позволяет согласовать рекреационную функцию с природоохранным назначением территории.</w:t>
      </w:r>
    </w:p>
    <w:p>
      <w:pPr>
        <w:keepLines w:val="1"/>
      </w:pPr>
      <w:r>
        <w:rPr>
          <w:rFonts w:ascii="Times New Roman" w:hAnsi="Times New Roman" w:eastAsia="Times New Roman" w:cs="Times New Roman"/>
          <w:color w:val="000000"/>
          <w:lang w:val="ru-RU"/>
        </w:rPr>
        <w:t>Восстановление лесного участка и популяции редкого вида происходит в разных временных масштабах. Оценку следует строить по последовательности промежуточных и конечных признаков, установленной для конкретной природной системы.</w:t>
      </w:r>
    </w:p>
    <w:p>
      <w:pPr>
        <w:pStyle w:val="Heading1"/>
      </w:pPr>
      <w:bookmarkStart w:id="13" w:name="sec_010"/>
      <w:r>
        <w:rPr>
          <w:rFonts w:ascii="Times New Roman" w:hAnsi="Times New Roman" w:eastAsia="Times New Roman" w:cs="Times New Roman"/>
          <w:b/>
          <w:color w:val="000000"/>
          <w:sz w:val="28"/>
          <w:szCs w:val="28"/>
          <w:lang w:val="ru-RU"/>
        </w:rPr>
        <w:t>3 Статистические результаты и территориальные различия</w:t>
      </w:r>
      <w:bookmarkEnd w:id="13"/>
    </w:p>
    <w:p>
      <w:pPr>
        <w:pStyle w:val="Heading2"/>
      </w:pPr>
      <w:bookmarkStart w:id="14" w:name="sec_011"/>
      <w:r>
        <w:rPr>
          <w:rFonts w:ascii="Times New Roman" w:hAnsi="Times New Roman" w:eastAsia="Times New Roman" w:cs="Times New Roman"/>
          <w:b/>
          <w:color w:val="000000"/>
          <w:sz w:val="28"/>
          <w:szCs w:val="28"/>
          <w:lang w:val="ru-RU"/>
        </w:rPr>
        <w:t>3.1 Сопоставимость статистики и плановых ориентиров</w:t>
      </w:r>
      <w:bookmarkEnd w:id="14"/>
    </w:p>
    <w:p>
      <w:r>
        <w:rPr>
          <w:rFonts w:ascii="Times New Roman" w:hAnsi="Times New Roman" w:eastAsia="Times New Roman" w:cs="Times New Roman"/>
          <w:color w:val="000000"/>
          <w:lang w:val="ru-RU"/>
        </w:rPr>
        <w:t>Количественная оценка основана на 18 рядах официального проектного мониторинга Единой межведомственной информационно-статистической системы (ЕМИСС), охватывающих 2025–2026 годы. Статистический срез зафиксирован 15 октября 2026 года. Отчётные периоды различаются по направлениям. Законченные годовые итоги относятся к 2025 году, а последние оперативные наблюдения – преимущественно к августу–сентябрю 2026 года. По сточным водам и Байкальской природной территории доступная последовательность заканчивается февралем 2026 года. Поэтому результаты за неполный год рассматриваются отдельно от годовых, а отсутствие более позднего наблюдения не трактуется как отсутствие природоохранной деятельности.</w:t>
      </w:r>
      <w:r>
        <w:rPr>
          <w:rStyle w:val="FootnoteReference"/>
          <w:rFonts w:ascii="Times New Roman" w:hAnsi="Times New Roman" w:eastAsia="Times New Roman" w:cs="Times New Roman"/>
          <w:color w:val="000000"/>
          <w:sz w:val="20"/>
          <w:szCs w:val="20"/>
          <w:lang w:val="ru-RU"/>
        </w:rPr>
        <w:footnoteReference w:id="34"/>
      </w:r>
    </w:p>
    <w:p>
      <w:r>
        <w:rPr>
          <w:rFonts w:ascii="Times New Roman" w:hAnsi="Times New Roman" w:eastAsia="Times New Roman" w:cs="Times New Roman"/>
          <w:color w:val="000000"/>
          <w:lang w:val="ru-RU"/>
        </w:rPr>
        <w:t>Наиболее содержательная территориальная детализация имеется по обращению с твёрдыми коммунальными отходами – 85 субъектов за 2025 год, по лесовосстановлению – 81 субъект, по выбросам – две самостоятельные группы из 12 и 29 территорий. Федеральные округа и общероссийские итоги исключены из межрегиональных распределений. Наблюдения не дополнены условными значениями. Федеральный показатель не присвоен территориям, для которых данные отсутствуют. Медианы и квартили характеризуют распределение субъектов с равным весом каждого. Они не показывают долю населения или массу отходов в соответствующем положении.</w:t>
      </w:r>
      <w:r>
        <w:rPr>
          <w:rStyle w:val="FootnoteReference"/>
          <w:rFonts w:ascii="Times New Roman" w:hAnsi="Times New Roman" w:eastAsia="Times New Roman" w:cs="Times New Roman"/>
          <w:color w:val="000000"/>
          <w:sz w:val="20"/>
          <w:szCs w:val="20"/>
          <w:lang w:val="ru-RU"/>
        </w:rPr>
        <w:footnoteReference w:id="35"/>
      </w:r>
    </w:p>
    <w:p>
      <w:r>
        <w:rPr>
          <w:rFonts w:ascii="Times New Roman" w:hAnsi="Times New Roman" w:eastAsia="Times New Roman" w:cs="Times New Roman"/>
          <w:color w:val="000000"/>
          <w:lang w:val="ru-RU"/>
        </w:rPr>
        <w:t xml:space="preserve">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tab_eq_planfact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4</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результаты сопоставлены с целями открытой републикации от 16 октября 2026 года. Сравнение характеризует отклонение от опубликованных к указанной дате плановых значений. Оно не устанавливает исполнение неизменного первоначального задания. Официальный паспорт относится к документам ограниченного доступа. Полная идентичность внешней публикации официальной редакции независимо не подтверждена. Отсутствие подтверждения ограничивает оценку планового отклонения, сохраняя возможность описательного анализа статистических результатов.</w:t>
      </w:r>
      <w:r>
        <w:rPr>
          <w:rStyle w:val="FootnoteReference"/>
          <w:rFonts w:ascii="Times New Roman" w:hAnsi="Times New Roman" w:eastAsia="Times New Roman" w:cs="Times New Roman"/>
          <w:color w:val="000000"/>
          <w:sz w:val="20"/>
          <w:szCs w:val="20"/>
          <w:lang w:val="ru-RU"/>
        </w:rPr>
        <w:footnoteReference w:id="36"/>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15" w:name="tab_eq_planfact"/>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15"/>
      <w:r>
        <w:rPr>
          <w:rFonts w:ascii="Times New Roman" w:hAnsi="Times New Roman" w:eastAsia="Times New Roman" w:cs="Times New Roman"/>
          <w:color w:val="000000"/>
          <w:sz w:val="24"/>
          <w:szCs w:val="24"/>
          <w:lang w:val="ru-RU"/>
        </w:rPr>
        <w:t xml:space="preserve"> – Годовые результаты 2025 года и ориентиры опубликованной редакции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3614"/>
        <w:gridCol w:w="1325"/>
        <w:gridCol w:w="1506"/>
        <w:gridCol w:w="3193"/>
      </w:tblGrid>
      <w:tr>
        <w:trPr>
          <w:cantSplit/>
          <w:tblHeader/>
        </w:trPr>
        <w:tc>
          <w:tcPr>
            <w:tcW w:type="dxa" w:w="361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Показатель</w:t>
            </w:r>
          </w:p>
        </w:tc>
        <w:tc>
          <w:tcPr>
            <w:tcW w:type="dxa" w:w="132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Ориентир 2025</w:t>
            </w:r>
          </w:p>
        </w:tc>
        <w:tc>
          <w:tcPr>
            <w:tcW w:type="dxa" w:w="1506"/>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Результат 2025</w:t>
            </w:r>
          </w:p>
        </w:tc>
        <w:tc>
          <w:tcPr>
            <w:tcW w:type="dxa" w:w="3193"/>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Содержательная интерпретация</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Обработка ТКО,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53,9</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56,6</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+2,7 п.п. по охвату обработкой</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Захоронение ТКО,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86,6</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81,1</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−5,5 п.п. Более низкая доля благоприятна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Выбросы, 12 городов: остаточный индекс,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80,3</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79,2059</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Среднее индексов с базой 2017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Выбросы, 29 территорий: остаточный индекс,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99,5</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93,5968</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Среднее индексов с базой 2020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Отношение площадей лесовосстановления к выбытию,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149,64</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Работы 2025 года / выбытие 2023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Отнесение восстановленных площадей к лесным землям, тыс. га</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1078,0</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1334,9768</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Накоплено с 1 января 2025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Посетители федеральных особо охраняемых природных территорий (ООПТ), млн человек</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17,6</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22,6</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Учёт посещений. Состояние экосистем не измеряется</w:t>
            </w:r>
          </w:p>
        </w:tc>
      </w:tr>
      <w:tr>
        <w:trPr>
          <w:cantSplit/>
        </w:trPr>
        <w:tc>
          <w:tcPr>
            <w:tcW w:type="dxa" w:w="361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Охват редких видов мероприятиями, %</w:t>
            </w:r>
          </w:p>
        </w:tc>
        <w:tc>
          <w:tcPr>
            <w:tcW w:type="dxa" w:w="1325"/>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27,0</w:t>
            </w:r>
          </w:p>
        </w:tc>
        <w:tc>
          <w:tcPr>
            <w:tcW w:type="dxa" w:w="1506"/>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27,0</w:t>
            </w:r>
          </w:p>
        </w:tc>
        <w:tc>
          <w:tcPr>
            <w:tcW w:type="dxa" w:w="3193"/>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Охват мероприятиями. Прирост численности видов не измеряется</w:t>
            </w:r>
          </w:p>
        </w:tc>
      </w:tr>
    </w:tbl>
    <w:p>
      <w:pPr>
        <w:pStyle w:val="SourceNote"/>
        <w:keepLines/>
        <w:spacing w:after="140"/>
      </w:pPr>
      <w:r>
        <w:rPr>
          <w:rFonts w:ascii="Times New Roman" w:hAnsi="Times New Roman" w:eastAsia="Times New Roman" w:cs="Times New Roman"/>
          <w:color w:val="000000"/>
          <w:sz w:val="22"/>
          <w:szCs w:val="22"/>
          <w:lang w:val="ru-RU"/>
        </w:rPr>
        <w:t>Приведены самостоятельные годовые значения ЕМИСС. Для остаточных индексов воздуха меньшее значение соответствует большему учтённому сокращению относительно своей базы. Ориентиры – по открытым паспортным сведениям от 16.10.2026. Их статус отличается от первичной официальной статистики.</w:t>
      </w:r>
      <w:r>
        <w:rPr>
          <w:rStyle w:val="FootnoteReference"/>
          <w:rFonts w:ascii="Times New Roman" w:hAnsi="Times New Roman" w:eastAsia="Times New Roman" w:cs="Times New Roman"/>
          <w:color w:val="000000"/>
          <w:sz w:val="20"/>
          <w:szCs w:val="20"/>
          <w:lang w:val="ru-RU"/>
        </w:rPr>
        <w:footnoteReference w:id="37"/>
      </w:r>
    </w:p>
    <w:p>
      <w:r>
        <w:rPr>
          <w:rFonts w:ascii="Times New Roman" w:hAnsi="Times New Roman" w:eastAsia="Times New Roman" w:cs="Times New Roman"/>
          <w:color w:val="000000"/>
          <w:lang w:val="ru-RU"/>
        </w:rPr>
        <w:t>По перечисленным направлениям годовые значения не хуже ориентиров данной редакции. Однако единый процент выполнения национального проекта из них не следует: сопоставляются разные физические процессы, территориальные совокупности и основания счёта. Доля отходов, прошедших обработку, не равна доле возвращённого в производство материала. Охват вида мероприятиями не равен восстановлению популяции. Посещаемость территории не равна сохранности её экосистем. Содержательная экспертиза должна сохранять эти различия и проверять переход от административно учтённого результата к экологическому состоянию.</w:t>
      </w:r>
    </w:p>
    <w:p>
      <w:r>
        <w:rPr>
          <w:rFonts w:ascii="Times New Roman" w:hAnsi="Times New Roman" w:eastAsia="Times New Roman" w:cs="Times New Roman"/>
          <w:color w:val="000000"/>
          <w:lang w:val="ru-RU"/>
        </w:rPr>
        <w:t>Короткий период наблюдения ограничивает статистическую идентификацию. Двенадцать ежемесячных накопленных значений не образуют двенадцати независимых годовых результатов. Многие показатели сохраняют прошлое значение до поступления нового подтверждения. Поэтому здесь применяются сопоставление однородных периодов, распределения, картограммы и описательная ранговая связь. Экстраполяция до 2030 года и оценка причинного эффекта национального проекта на таких рядах не имеют достаточного основания.</w:t>
      </w:r>
    </w:p>
    <w:p>
      <w:pPr>
        <w:pStyle w:val="Heading2"/>
      </w:pPr>
      <w:bookmarkStart w:id="16" w:name="sec_012"/>
      <w:r>
        <w:rPr>
          <w:rFonts w:ascii="Times New Roman" w:hAnsi="Times New Roman" w:eastAsia="Times New Roman" w:cs="Times New Roman"/>
          <w:b/>
          <w:color w:val="000000"/>
          <w:sz w:val="28"/>
          <w:szCs w:val="28"/>
          <w:lang w:val="ru-RU"/>
        </w:rPr>
        <w:t>3.2 Обработка и захоронение отходов</w:t>
      </w:r>
      <w:bookmarkEnd w:id="16"/>
    </w:p>
    <w:p>
      <w:r>
        <w:rPr>
          <w:rFonts w:ascii="Times New Roman" w:hAnsi="Times New Roman" w:eastAsia="Times New Roman" w:cs="Times New Roman"/>
          <w:color w:val="000000"/>
          <w:lang w:val="ru-RU"/>
        </w:rPr>
        <w:t>В 2025 году общероссийская доля обработки ТКО составила 56,6%, доля захоронения – 81,1%. Их сумма, равная 137,7%, не является арифметическим противоречием. Методика захоронения включает как ТКО, так и отходы после их обработки: прохождение сортировки не исключает последующего размещения остатка на полигоне. В результате увеличение обработки описывает необходимое звено инфраструктуры, но само по себе не доказывает соразмерного уменьшения конечного захоронения.</w:t>
      </w:r>
      <w:r>
        <w:rPr>
          <w:rStyle w:val="FootnoteReference"/>
          <w:rFonts w:ascii="Times New Roman" w:hAnsi="Times New Roman" w:eastAsia="Times New Roman" w:cs="Times New Roman"/>
          <w:color w:val="000000"/>
          <w:sz w:val="20"/>
          <w:szCs w:val="20"/>
          <w:lang w:val="ru-RU"/>
        </w:rPr>
        <w:footnoteReference w:id="38"/>
      </w:r>
    </w:p>
    <w:p>
      <w:r>
        <w:rPr>
          <w:rFonts w:ascii="Times New Roman" w:hAnsi="Times New Roman" w:eastAsia="Times New Roman" w:cs="Times New Roman"/>
          <w:color w:val="000000"/>
          <w:lang w:val="ru-RU"/>
        </w:rPr>
        <w:t xml:space="preserve">Региональное распределение обработки существенно неоднородно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fig_eq_map_processing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Медиана составляет 46,4%, нижний квартиль – 13,4%, верхний – 77,6%. В 29 из 85 субъектов показатель ниже 25%. В 11 опубликовано нулевое значение. Четыре субъекта имеют значение 100%. Общероссийский результат 56,6% выше медианы, однако его нельзя объяснять простым усреднением региональных процентов: федеральная доля рассчитывается по совокупным массам, и крупные потоки имеют больший вес.</w:t>
      </w:r>
      <w:r>
        <w:rPr>
          <w:rStyle w:val="FootnoteReference"/>
          <w:rFonts w:ascii="Times New Roman" w:hAnsi="Times New Roman" w:eastAsia="Times New Roman" w:cs="Times New Roman"/>
          <w:color w:val="000000"/>
          <w:sz w:val="20"/>
          <w:szCs w:val="20"/>
          <w:lang w:val="ru-RU"/>
        </w:rPr>
        <w:footnoteReference w:id="39"/>
      </w:r>
    </w:p>
    <w:p>
      <w:pPr>
        <w:keepNext/>
        <w:spacing w:line="240" w:lineRule="auto" w:after="20" w:before="140"/>
        <w:ind w:firstLine="0"/>
        <w:jc w:val="center"/>
      </w:pPr>
      <w:r>
        <w:drawing>
          <wp:inline xmlns:a="http://schemas.openxmlformats.org/drawingml/2006/main" xmlns:pic="http://schemas.openxmlformats.org/drawingml/2006/picture">
            <wp:extent cx="6120000" cy="4118131"/>
            <wp:docPr id="1" name="Picture 1" descr="Доля обрабатываемых ТКО в общей массе образованных ТКО по субъектам, 2025 год" title="Доля обрабатываемых ТКО в общей массе образованных ТКО по субъектам, 2025 год"/>
            <wp:cNvGraphicFramePr>
              <a:graphicFrameLocks noChangeAspect="1"/>
            </wp:cNvGraphicFramePr>
            <a:graphic>
              <a:graphicData uri="http://schemas.openxmlformats.org/drawingml/2006/picture">
                <pic:pic>
                  <pic:nvPicPr>
                    <pic:cNvPr id="0" name="eq_map_processing.png"/>
                    <pic:cNvPicPr/>
                  </pic:nvPicPr>
                  <pic:blipFill>
                    <a:blip r:embed="rId10"/>
                    <a:stretch>
                      <a:fillRect/>
                    </a:stretch>
                  </pic:blipFill>
                  <pic:spPr>
                    <a:xfrm>
                      <a:off x="0" y="0"/>
                      <a:ext cx="6120000" cy="411813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7" w:name="fig_eq_map_processing"/>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17"/>
      <w:r>
        <w:rPr>
          <w:rFonts w:ascii="Times New Roman" w:hAnsi="Times New Roman" w:eastAsia="Times New Roman" w:cs="Times New Roman"/>
          <w:color w:val="000000"/>
          <w:sz w:val="24"/>
          <w:szCs w:val="24"/>
          <w:lang w:val="ru-RU"/>
        </w:rPr>
        <w:t xml:space="preserve"> – Доля обрабатываемых ТКО в общей массе образованных ТКО по субъектам, 2025 год</w:t>
      </w:r>
    </w:p>
    <w:p>
      <w:pPr>
        <w:pStyle w:val="SourceNote"/>
        <w:keepLines/>
        <w:spacing w:after="140"/>
      </w:pPr>
      <w:r>
        <w:rPr>
          <w:rFonts w:ascii="Times New Roman" w:hAnsi="Times New Roman" w:eastAsia="Times New Roman" w:cs="Times New Roman"/>
          <w:color w:val="000000"/>
          <w:sz w:val="22"/>
          <w:szCs w:val="22"/>
          <w:lang w:val="ru-RU"/>
        </w:rPr>
        <w:t>Годовые значения по 85 субъектам. Серым обозначено отсутствие сопоставимого наблюдения. Картографическая основа – исследовательский контурный слой. Территориальное соответствие установлено по кодам статистического учёта. Границы служат для локализации показателей.</w:t>
      </w:r>
      <w:r>
        <w:rPr>
          <w:rStyle w:val="FootnoteReference"/>
          <w:rFonts w:ascii="Times New Roman" w:hAnsi="Times New Roman" w:eastAsia="Times New Roman" w:cs="Times New Roman"/>
          <w:color w:val="000000"/>
          <w:sz w:val="20"/>
          <w:szCs w:val="20"/>
          <w:lang w:val="ru-RU"/>
        </w:rPr>
        <w:footnoteReference w:id="40"/>
      </w:r>
    </w:p>
    <w:p>
      <w:r>
        <w:rPr>
          <w:rFonts w:ascii="Times New Roman" w:hAnsi="Times New Roman" w:eastAsia="Times New Roman" w:cs="Times New Roman"/>
          <w:color w:val="000000"/>
          <w:lang w:val="ru-RU"/>
        </w:rPr>
        <w:t xml:space="preserve">По захоронению наблюдается более сильная концентрация в верхней части шкалы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fig_eq_map_landfill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Медиана равна 93,8%, межквартильный интервал – от 86,3 до 98,3%. В 54 субъектах доля не ниже 90%, в восьми достигает 100%. Региональное распределение характеризует распространённость захоронения, однако долю соответствующих территорий в общероссийской массе можно определить только с учётом объёмов образования отходов. Следовательно, продвижение нескольких крупных систем не является достаточным свидетельством распространения полного цикла обращения с отходами на большинство регионов.</w:t>
      </w:r>
      <w:r>
        <w:rPr>
          <w:rStyle w:val="FootnoteReference"/>
          <w:rFonts w:ascii="Times New Roman" w:hAnsi="Times New Roman" w:eastAsia="Times New Roman" w:cs="Times New Roman"/>
          <w:color w:val="000000"/>
          <w:sz w:val="20"/>
          <w:szCs w:val="20"/>
          <w:lang w:val="ru-RU"/>
        </w:rPr>
        <w:footnoteReference w:id="41"/>
      </w:r>
    </w:p>
    <w:p>
      <w:pPr>
        <w:keepNext/>
        <w:spacing w:line="240" w:lineRule="auto" w:after="20" w:before="140"/>
        <w:ind w:firstLine="0"/>
        <w:jc w:val="center"/>
      </w:pPr>
      <w:r>
        <w:drawing>
          <wp:inline xmlns:a="http://schemas.openxmlformats.org/drawingml/2006/main" xmlns:pic="http://schemas.openxmlformats.org/drawingml/2006/picture">
            <wp:extent cx="6120000" cy="4118131"/>
            <wp:docPr id="2" name="Picture 2" descr="Доля захораниваемых ТКО в общей массе образованных ТКО по субъектам, 2025 год" title="Доля захораниваемых ТКО в общей массе образованных ТКО по субъектам, 2025 год"/>
            <wp:cNvGraphicFramePr>
              <a:graphicFrameLocks noChangeAspect="1"/>
            </wp:cNvGraphicFramePr>
            <a:graphic>
              <a:graphicData uri="http://schemas.openxmlformats.org/drawingml/2006/picture">
                <pic:pic>
                  <pic:nvPicPr>
                    <pic:cNvPr id="0" name="eq_map_landfill.png"/>
                    <pic:cNvPicPr/>
                  </pic:nvPicPr>
                  <pic:blipFill>
                    <a:blip r:embed="rId11"/>
                    <a:stretch>
                      <a:fillRect/>
                    </a:stretch>
                  </pic:blipFill>
                  <pic:spPr>
                    <a:xfrm>
                      <a:off x="0" y="0"/>
                      <a:ext cx="6120000" cy="411813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8" w:name="fig_eq_map_landfill"/>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18"/>
      <w:r>
        <w:rPr>
          <w:rFonts w:ascii="Times New Roman" w:hAnsi="Times New Roman" w:eastAsia="Times New Roman" w:cs="Times New Roman"/>
          <w:color w:val="000000"/>
          <w:sz w:val="24"/>
          <w:szCs w:val="24"/>
          <w:lang w:val="ru-RU"/>
        </w:rPr>
        <w:t xml:space="preserve"> – Доля захораниваемых ТКО в общей массе образованных ТКО по субъектам, 2025 год</w:t>
      </w:r>
    </w:p>
    <w:p>
      <w:pPr>
        <w:pStyle w:val="SourceNote"/>
        <w:keepLines/>
        <w:spacing w:after="140"/>
      </w:pPr>
      <w:r>
        <w:rPr>
          <w:rFonts w:ascii="Times New Roman" w:hAnsi="Times New Roman" w:eastAsia="Times New Roman" w:cs="Times New Roman"/>
          <w:color w:val="000000"/>
          <w:sz w:val="22"/>
          <w:szCs w:val="22"/>
          <w:lang w:val="ru-RU"/>
        </w:rPr>
        <w:t>Годовые значения по 85 субъектам. Серым обозначено отсутствие сопоставимого наблюдения. Картографическая основа – исследовательский контурный слой. Территориальное соответствие установлено по кодам статистического учёта. Границы служат для локализации показателей.</w:t>
      </w:r>
      <w:r>
        <w:rPr>
          <w:rStyle w:val="FootnoteReference"/>
          <w:rFonts w:ascii="Times New Roman" w:hAnsi="Times New Roman" w:eastAsia="Times New Roman" w:cs="Times New Roman"/>
          <w:color w:val="000000"/>
          <w:sz w:val="20"/>
          <w:szCs w:val="20"/>
          <w:lang w:val="ru-RU"/>
        </w:rPr>
        <w:footnoteReference w:id="42"/>
      </w:r>
    </w:p>
    <w:p>
      <w:r>
        <w:rPr>
          <w:rFonts w:ascii="Times New Roman" w:hAnsi="Times New Roman" w:eastAsia="Times New Roman" w:cs="Times New Roman"/>
          <w:color w:val="000000"/>
          <w:lang w:val="ru-RU"/>
        </w:rPr>
        <w:t xml:space="preserve">Совместное распределение двух долей представлено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fig_eq_waste_relationship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3</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В десяти субъектах обработка и захоронение одновременно составляют не менее 80%. К группе относятся, в частности, Калужская область – 99,5 и 86,9%, Тамбовская – 92,2 и 97,7%, Волгоградская – 82,9 и 95,3%. Высокая доля обработки совместима с преобладанием захоронения. При подобном сочетании необходимо проверять выход вторичного сырья и дальнейшее использование сортировочного остатка. Вывод о неэффективности конкретного предприятия по агрегированным долям необоснован: они не раскрывают состав отходов, межрегиональные перевозки и технологическое устройство отдельных объектов.</w:t>
      </w:r>
      <w:r>
        <w:rPr>
          <w:rStyle w:val="FootnoteReference"/>
          <w:rFonts w:ascii="Times New Roman" w:hAnsi="Times New Roman" w:eastAsia="Times New Roman" w:cs="Times New Roman"/>
          <w:color w:val="000000"/>
          <w:sz w:val="20"/>
          <w:szCs w:val="20"/>
          <w:lang w:val="ru-RU"/>
        </w:rPr>
        <w:footnoteReference w:id="43"/>
      </w:r>
    </w:p>
    <w:p>
      <w:pPr>
        <w:keepNext/>
        <w:spacing w:line="240" w:lineRule="auto" w:after="20" w:before="140"/>
        <w:ind w:firstLine="0"/>
        <w:jc w:val="center"/>
      </w:pPr>
      <w:r>
        <w:drawing>
          <wp:inline xmlns:a="http://schemas.openxmlformats.org/drawingml/2006/main" xmlns:pic="http://schemas.openxmlformats.org/drawingml/2006/picture">
            <wp:extent cx="6120000" cy="4758729"/>
            <wp:docPr id="3" name="Picture 3" descr="Связь региональных долей обработки и захоронения ТКО, 2025 год" title="Связь региональных долей обработки и захоронения ТКО, 2025 год"/>
            <wp:cNvGraphicFramePr>
              <a:graphicFrameLocks noChangeAspect="1"/>
            </wp:cNvGraphicFramePr>
            <a:graphic>
              <a:graphicData uri="http://schemas.openxmlformats.org/drawingml/2006/picture">
                <pic:pic>
                  <pic:nvPicPr>
                    <pic:cNvPr id="0" name="eq_waste_relationship.png"/>
                    <pic:cNvPicPr/>
                  </pic:nvPicPr>
                  <pic:blipFill>
                    <a:blip r:embed="rId12"/>
                    <a:stretch>
                      <a:fillRect/>
                    </a:stretch>
                  </pic:blipFill>
                  <pic:spPr>
                    <a:xfrm>
                      <a:off x="0" y="0"/>
                      <a:ext cx="6120000" cy="475872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9" w:name="fig_eq_waste_relationship"/>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19"/>
      <w:r>
        <w:rPr>
          <w:rFonts w:ascii="Times New Roman" w:hAnsi="Times New Roman" w:eastAsia="Times New Roman" w:cs="Times New Roman"/>
          <w:color w:val="000000"/>
          <w:sz w:val="24"/>
          <w:szCs w:val="24"/>
          <w:lang w:val="ru-RU"/>
        </w:rPr>
        <w:t xml:space="preserve"> – Связь региональных долей обработки и захоронения ТКО, 2025 год</w:t>
      </w:r>
    </w:p>
    <w:p>
      <w:pPr>
        <w:pStyle w:val="SourceNote"/>
        <w:keepLines/>
        <w:spacing w:after="140"/>
      </w:pPr>
      <w:r>
        <w:rPr>
          <w:rFonts w:ascii="Times New Roman" w:hAnsi="Times New Roman" w:eastAsia="Times New Roman" w:cs="Times New Roman"/>
          <w:color w:val="000000"/>
          <w:sz w:val="22"/>
          <w:szCs w:val="22"/>
          <w:lang w:val="ru-RU"/>
        </w:rPr>
        <w:t>85 субъектов. Веса по массе отходов не применяются. Пунктирные границы 80% выделяют описательную группу и не являются нормативом. ЕАО – Еврейская автономная область. Пара нулевых значений сохранена и отмечена как требующая проверки. Коэффициенты Спирмена не имеют причинной интерпретации.</w:t>
      </w:r>
      <w:r>
        <w:rPr>
          <w:rStyle w:val="FootnoteReference"/>
          <w:rFonts w:ascii="Times New Roman" w:hAnsi="Times New Roman" w:eastAsia="Times New Roman" w:cs="Times New Roman"/>
          <w:color w:val="000000"/>
          <w:sz w:val="20"/>
          <w:szCs w:val="20"/>
          <w:lang w:val="ru-RU"/>
        </w:rPr>
        <w:footnoteReference w:id="44"/>
      </w:r>
    </w:p>
    <w:p>
      <w:r>
        <w:rPr>
          <w:rFonts w:ascii="Times New Roman" w:hAnsi="Times New Roman" w:eastAsia="Times New Roman" w:cs="Times New Roman"/>
          <w:color w:val="000000"/>
          <w:lang w:val="ru-RU"/>
        </w:rPr>
        <w:t>Коэффициент ранговой корреляции Спирмена равен −0,557: более высокая обработка в среднем связана с меньшим захоронением, но связь далека от взаимно однозначной. В Еврейской автономной области опубликована пара 0% / 0%, требующая проверки исходного баланса и статуса нулевых значений. При исключении только этой территории коэффициент составляет −0,606 для 84 субъектов. Направление описательной связи сохраняется. При этом нулевые записи нельзя автоматически интерпретировать как отсутствие отходов или приписывать им недостающие объёмы. Первоочередная задача – выяснить основание отчётной записи.</w:t>
      </w:r>
      <w:r>
        <w:rPr>
          <w:rStyle w:val="FootnoteReference"/>
          <w:rFonts w:ascii="Times New Roman" w:hAnsi="Times New Roman" w:eastAsia="Times New Roman" w:cs="Times New Roman"/>
          <w:color w:val="000000"/>
          <w:sz w:val="20"/>
          <w:szCs w:val="20"/>
          <w:lang w:val="ru-RU"/>
        </w:rPr>
        <w:footnoteReference w:id="45"/>
      </w:r>
    </w:p>
    <w:p>
      <w:r>
        <w:rPr>
          <w:rFonts w:ascii="Times New Roman" w:hAnsi="Times New Roman" w:eastAsia="Times New Roman" w:cs="Times New Roman"/>
          <w:color w:val="000000"/>
          <w:lang w:val="ru-RU"/>
        </w:rPr>
        <w:t>Для оценки реального замыкания материальных потоков необходимы согласованные балансы: масса образования, поступление на обработку, извлечение полезных фракций, подтверждённая передача вторичного сырья потребителю, обезвреживание, захоронение и изменение запасов. Межрегиональная передача должна учитываться с обеих сторон, иначе одна территория может выглядеть благополучной вследствие вывоза остатка, а другая – неблагополучной вследствие его приёма. Показатель обработки следует сопровождать выходом пригодного вторичного материала на тонну поступившего потока, с раздельным учётом материалов и иных способов использования.</w:t>
      </w:r>
    </w:p>
    <w:p>
      <w:r>
        <w:rPr>
          <w:rFonts w:ascii="Times New Roman" w:hAnsi="Times New Roman" w:eastAsia="Times New Roman" w:cs="Times New Roman"/>
          <w:color w:val="000000"/>
          <w:lang w:val="ru-RU"/>
        </w:rPr>
        <w:t>Оперативные значения на сентябрь 2026 года составляют 57,9% обработки и 80,4% захоронения. Они относятся к отношению накопленных с начала года масс и не являются долями изолированного сентября. Уточнённые годовые результаты 2025 года также отличаются от декабрьских оперативных записей: 56,6 против 56,2% по обработке и 81,1 против 80,6% по захоронению. Прямое продолжение графика декабрьскими и годовыми значениями как равноправными точками смешало бы пересмотр данных с изменением процесса.</w:t>
      </w:r>
      <w:r>
        <w:rPr>
          <w:rStyle w:val="FootnoteReference"/>
          <w:rFonts w:ascii="Times New Roman" w:hAnsi="Times New Roman" w:eastAsia="Times New Roman" w:cs="Times New Roman"/>
          <w:color w:val="000000"/>
          <w:sz w:val="20"/>
          <w:szCs w:val="20"/>
          <w:lang w:val="ru-RU"/>
        </w:rPr>
        <w:footnoteReference w:id="46"/>
      </w:r>
    </w:p>
    <w:p>
      <w:r>
        <w:rPr>
          <w:rFonts w:ascii="Times New Roman" w:hAnsi="Times New Roman" w:eastAsia="Times New Roman" w:cs="Times New Roman"/>
          <w:color w:val="000000"/>
          <w:lang w:val="ru-RU"/>
        </w:rPr>
        <w:t>Два других индикатора отходов требуют самостоятельной интерпретации. Индекс использования вторичных ресурсов и сырья на сентябрь 2026 года равен 14,2%. Доля утилизации отходов I и II классов опасности – 18,3%, при годовом результате 2025 года 37,2%. Они относятся к иным совокупностям отходов, поэтому их нельзя складывать с долями ТКО или использовать как взаимозаменяемые оценки. Для первого показателя утверждена методика от 30 декабря 2025 года № 761, для второго – от 5 августа 2026 года № 432. Без раскрытия сопоставимого пересчёта прежних наблюдений различие между годовым и неполным результатом не устанавливает ни величины ухудшения, ни вклада новой методики.</w:t>
      </w:r>
      <w:r>
        <w:rPr>
          <w:rStyle w:val="FootnoteReference"/>
          <w:rFonts w:ascii="Times New Roman" w:hAnsi="Times New Roman" w:eastAsia="Times New Roman" w:cs="Times New Roman"/>
          <w:color w:val="000000"/>
          <w:sz w:val="20"/>
          <w:szCs w:val="20"/>
          <w:lang w:val="ru-RU"/>
        </w:rPr>
        <w:footnoteReference w:id="47"/>
      </w:r>
    </w:p>
    <w:p>
      <w:pPr>
        <w:pStyle w:val="Heading2"/>
      </w:pPr>
      <w:bookmarkStart w:id="20" w:name="sec_013"/>
      <w:r>
        <w:rPr>
          <w:rFonts w:ascii="Times New Roman" w:hAnsi="Times New Roman" w:eastAsia="Times New Roman" w:cs="Times New Roman"/>
          <w:b/>
          <w:color w:val="000000"/>
          <w:sz w:val="28"/>
          <w:szCs w:val="28"/>
          <w:lang w:val="ru-RU"/>
        </w:rPr>
        <w:t>3.3 Изменение выбросов и неоднородность городов</w:t>
      </w:r>
      <w:bookmarkEnd w:id="20"/>
    </w:p>
    <w:p>
      <w:r>
        <w:rPr>
          <w:rFonts w:ascii="Times New Roman" w:hAnsi="Times New Roman" w:eastAsia="Times New Roman" w:cs="Times New Roman"/>
          <w:color w:val="000000"/>
          <w:lang w:val="ru-RU"/>
        </w:rPr>
        <w:t>При анализе выбросов необходимо различать две группы территорий. Показатель 12 городов использует базу 2017 года, показатель 29 территорий – базу 2020 года. Несмотря на слово «снижение» в официальных наименованиях, опубликованные проценты имеют смысл остаточного индекса: 100 минус доля учтённого сокращения выбросов относительно базовой массы. Поэтому 79,2059% не означает сокращения на 79,2059%. Более низкий индекс соответствует большему учтённому сокращению. Методики утверждены соответственно приказами Минприроды России от 20 ноября 2025 года № 630 и № 629.</w:t>
      </w:r>
      <w:r>
        <w:rPr>
          <w:rStyle w:val="FootnoteReference"/>
          <w:rFonts w:ascii="Times New Roman" w:hAnsi="Times New Roman" w:eastAsia="Times New Roman" w:cs="Times New Roman"/>
          <w:color w:val="000000"/>
          <w:sz w:val="20"/>
          <w:szCs w:val="20"/>
          <w:lang w:val="ru-RU"/>
        </w:rPr>
        <w:footnoteReference w:id="48"/>
      </w:r>
    </w:p>
    <w:p>
      <w:r>
        <w:rPr>
          <w:rFonts w:ascii="Times New Roman" w:hAnsi="Times New Roman" w:eastAsia="Times New Roman" w:cs="Times New Roman"/>
          <w:color w:val="000000"/>
          <w:lang w:val="ru-RU"/>
        </w:rPr>
        <w:t>За 2025 год итоговый индекс 12 городов равен 79,2059%, а 29 территорий – 93,5968%. Проверка агрегирования показывает, что эти значения с точностью округления воспроизводят простое среднее городских индексов. Каждый город получает одинаковый вес независимо от исходной массы выбросов и численности населения. Среднее учтённое сокращение составляет 20,7941 и 6,4032% относительно баз соответствующих городов. Полученные средние не равны проценту сокращения суммарной массы выбросов всех городов или доле снижения воздействия на население.</w:t>
      </w:r>
      <w:r>
        <w:rPr>
          <w:rStyle w:val="FootnoteReference"/>
          <w:rFonts w:ascii="Times New Roman" w:hAnsi="Times New Roman" w:eastAsia="Times New Roman" w:cs="Times New Roman"/>
          <w:color w:val="000000"/>
          <w:sz w:val="20"/>
          <w:szCs w:val="20"/>
          <w:lang w:val="ru-RU"/>
        </w:rPr>
        <w:footnoteReference w:id="49"/>
      </w:r>
    </w:p>
    <w:p>
      <w:r>
        <w:rPr>
          <w:rFonts w:ascii="Times New Roman" w:hAnsi="Times New Roman" w:eastAsia="Times New Roman" w:cs="Times New Roman"/>
          <w:color w:val="000000"/>
          <w:lang w:val="ru-RU"/>
        </w:rPr>
        <w:t xml:space="preserve">В группе 12 городов остаточные индексы варьируются от 65,8251% в Новокузнецке до 89,1195% в Чите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fig_eq_air12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4</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Между этими значениями располагаются, в частности, Челябинск – 68,4960%, Норильск – 68,5435%, Череповец – 71,2401%, Красноярск – 86,8271%. Различия индексов отражают объём зачтённых изменений относительно собственной базы каждого города. Текущая безопасность воздуха по ним не ранжируется. Город с более низким индексом может сохранять существенную абсолютную нагрузку. Город с меньшим относительным сокращением может иметь иную исходную структуру выбросов и экспозицию жителей.</w:t>
      </w:r>
      <w:r>
        <w:rPr>
          <w:rStyle w:val="FootnoteReference"/>
          <w:rFonts w:ascii="Times New Roman" w:hAnsi="Times New Roman" w:eastAsia="Times New Roman" w:cs="Times New Roman"/>
          <w:color w:val="000000"/>
          <w:sz w:val="20"/>
          <w:szCs w:val="20"/>
          <w:lang w:val="ru-RU"/>
        </w:rPr>
        <w:footnoteReference w:id="50"/>
      </w:r>
    </w:p>
    <w:p>
      <w:pPr>
        <w:keepNext/>
        <w:spacing w:line="240" w:lineRule="auto" w:after="20" w:before="140"/>
        <w:ind w:firstLine="0"/>
        <w:jc w:val="center"/>
      </w:pPr>
      <w:r>
        <w:drawing>
          <wp:inline xmlns:a="http://schemas.openxmlformats.org/drawingml/2006/main" xmlns:pic="http://schemas.openxmlformats.org/drawingml/2006/picture">
            <wp:extent cx="6120000" cy="4896000"/>
            <wp:docPr id="4" name="Picture 4" descr="Остаточные индексы выбросов в 12 городах — участниках проекта «Чистый воздух», 2025 год" title="Остаточные индексы выбросов в 12 городах — участниках проекта «Чистый воздух», 2025 год"/>
            <wp:cNvGraphicFramePr>
              <a:graphicFrameLocks noChangeAspect="1"/>
            </wp:cNvGraphicFramePr>
            <a:graphic>
              <a:graphicData uri="http://schemas.openxmlformats.org/drawingml/2006/picture">
                <pic:pic>
                  <pic:nvPicPr>
                    <pic:cNvPr id="0" name="eq_air12.png"/>
                    <pic:cNvPicPr/>
                  </pic:nvPicPr>
                  <pic:blipFill>
                    <a:blip r:embed="rId13"/>
                    <a:stretch>
                      <a:fillRect/>
                    </a:stretch>
                  </pic:blipFill>
                  <pic:spPr>
                    <a:xfrm>
                      <a:off x="0" y="0"/>
                      <a:ext cx="6120000" cy="489600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1" w:name="fig_eq_air12"/>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21"/>
      <w:r>
        <w:rPr>
          <w:rFonts w:ascii="Times New Roman" w:hAnsi="Times New Roman" w:eastAsia="Times New Roman" w:cs="Times New Roman"/>
          <w:color w:val="000000"/>
          <w:sz w:val="24"/>
          <w:szCs w:val="24"/>
          <w:lang w:val="ru-RU"/>
        </w:rPr>
        <w:t xml:space="preserve"> – Остаточные индексы выбросов в 12 городах – участниках проекта «Чистый воздух», 2025 год</w:t>
      </w:r>
    </w:p>
    <w:p>
      <w:pPr>
        <w:pStyle w:val="SourceNote"/>
        <w:keepLines/>
        <w:spacing w:after="140"/>
      </w:pPr>
      <w:r>
        <w:rPr>
          <w:rFonts w:ascii="Times New Roman" w:hAnsi="Times New Roman" w:eastAsia="Times New Roman" w:cs="Times New Roman"/>
          <w:color w:val="000000"/>
          <w:sz w:val="22"/>
          <w:szCs w:val="22"/>
          <w:lang w:val="ru-RU"/>
        </w:rPr>
        <w:t>100% соответствует базе 2017 года. Тонкая вертикальная линия – простое среднее городских индексов, 79,2059%. Горизонтальная шкала начинается с 60%. Показаны положения индексов. Объёмы выбросов в тоннах не представлены. Меньший индекс не тождествен меньшей концентрации загрязняющих веществ.</w:t>
      </w:r>
      <w:r>
        <w:rPr>
          <w:rStyle w:val="FootnoteReference"/>
          <w:rFonts w:ascii="Times New Roman" w:hAnsi="Times New Roman" w:eastAsia="Times New Roman" w:cs="Times New Roman"/>
          <w:color w:val="000000"/>
          <w:sz w:val="20"/>
          <w:szCs w:val="20"/>
          <w:lang w:val="ru-RU"/>
        </w:rPr>
        <w:footnoteReference w:id="51"/>
      </w:r>
    </w:p>
    <w:p>
      <w:r>
        <w:rPr>
          <w:rFonts w:ascii="Times New Roman" w:hAnsi="Times New Roman" w:eastAsia="Times New Roman" w:cs="Times New Roman"/>
          <w:color w:val="000000"/>
          <w:lang w:val="ru-RU"/>
        </w:rPr>
        <w:t>Во второй группе в девяти из 29 территорий индекс 2025 года равен 100%. Наибольшее учтённое сокращение отражено для Южно-Сахалинска – индекс 50%, затем Кургана – 68,2670%. При интерпретации крайних значений необходимо учитывать ограничение методики: принимаемое в расчёт сокращение для территории ограничивается половиной базовой массы. Значение 50% может соответствовать достижению порога зачёта и не обязательно означает физическое сокращение ровно наполовину. Значение 100%, в свою очередь, не исключает подготовительных работ, которые ещё не получили статуса завершённого подтверждённого мероприятия.</w:t>
      </w:r>
      <w:r>
        <w:rPr>
          <w:rStyle w:val="FootnoteReference"/>
          <w:rFonts w:ascii="Times New Roman" w:hAnsi="Times New Roman" w:eastAsia="Times New Roman" w:cs="Times New Roman"/>
          <w:color w:val="000000"/>
          <w:sz w:val="20"/>
          <w:szCs w:val="20"/>
          <w:lang w:val="ru-RU"/>
        </w:rPr>
        <w:footnoteReference w:id="52"/>
      </w:r>
    </w:p>
    <w:p>
      <w:r>
        <w:rPr>
          <w:rFonts w:ascii="Times New Roman" w:hAnsi="Times New Roman" w:eastAsia="Times New Roman" w:cs="Times New Roman"/>
          <w:color w:val="000000"/>
          <w:lang w:val="ru-RU"/>
        </w:rPr>
        <w:t>По состоянию на сентябрь 2026 года агрегированные индексы составляют 78,4352% для первой группы и 93,4855% для второй. Их изменение относительно годового результата 2025 года равно соответственно −0,7707 и −0,1113 процентного пункта. Изменения отражают административно подтверждённый результат и не измеряют сезонное качество атмосферного воздуха. Кроме того, оперативная территориальная детализация в имеющемся ряду представлена субъектами Федерации, тогда как годовая – городами и отдельными муниципальными территориями. Подмена одной совокупности другой создала бы искусственную динамику пространственных различий.</w:t>
      </w:r>
      <w:r>
        <w:rPr>
          <w:rStyle w:val="FootnoteReference"/>
          <w:rFonts w:ascii="Times New Roman" w:hAnsi="Times New Roman" w:eastAsia="Times New Roman" w:cs="Times New Roman"/>
          <w:color w:val="000000"/>
          <w:sz w:val="20"/>
          <w:szCs w:val="20"/>
          <w:lang w:val="ru-RU"/>
        </w:rPr>
        <w:footnoteReference w:id="53"/>
      </w:r>
    </w:p>
    <w:p>
      <w:r>
        <w:rPr>
          <w:rFonts w:ascii="Times New Roman" w:hAnsi="Times New Roman" w:eastAsia="Times New Roman" w:cs="Times New Roman"/>
          <w:color w:val="000000"/>
          <w:lang w:val="ru-RU"/>
        </w:rPr>
        <w:t>Вывод об улучшении условий проживания требует параллельного ряда измерений концентраций приоритетных веществ в местах проживания и пребывания людей. Масса выбросов, их химический состав, высота и расположение источников, метеорологические условия и размещение населения определяют разные стороны воздействия. Практически следует сопоставлять зачтённые мероприятия с временными рядами постов наблюдения, учитывая их перенос, изменение приборов и полноту измерений. Для оценки связи с мероприятиями нужны несколько сопоставимых лет до и после вмешательства и контроль погодных условий. Простой график двух проектных лет такого анализа не заменяет.</w:t>
      </w:r>
    </w:p>
    <w:p>
      <w:r>
        <w:rPr>
          <w:rFonts w:ascii="Times New Roman" w:hAnsi="Times New Roman" w:eastAsia="Times New Roman" w:cs="Times New Roman"/>
          <w:color w:val="000000"/>
          <w:lang w:val="ru-RU"/>
        </w:rPr>
        <w:t>Показатель населения, качество жизни которого улучшится вследствие сокращения выбросов в 29 территориях, на сентябрь 2026 года равен 516,569 тыс. человек. Его нельзя складывать с численностью благополучателей других экологических направлений без устранения повторного учёта. Для проверки содержательного результата необходимо установить территорию воздействия каждого завершённого мероприятия и изменение экспозиции жителей, а также отделить расчётный охват от наблюдаемого улучшения. Тогда административный индекс и оценка условий жизни смогут взаимно дополнять друг друга.</w:t>
      </w:r>
      <w:r>
        <w:rPr>
          <w:rStyle w:val="FootnoteReference"/>
          <w:rFonts w:ascii="Times New Roman" w:hAnsi="Times New Roman" w:eastAsia="Times New Roman" w:cs="Times New Roman"/>
          <w:color w:val="000000"/>
          <w:sz w:val="20"/>
          <w:szCs w:val="20"/>
          <w:lang w:val="ru-RU"/>
        </w:rPr>
        <w:footnoteReference w:id="54"/>
      </w:r>
    </w:p>
    <w:p>
      <w:pPr>
        <w:pStyle w:val="Heading2"/>
      </w:pPr>
      <w:bookmarkStart w:id="22" w:name="sec_014"/>
      <w:r>
        <w:rPr>
          <w:rFonts w:ascii="Times New Roman" w:hAnsi="Times New Roman" w:eastAsia="Times New Roman" w:cs="Times New Roman"/>
          <w:b/>
          <w:color w:val="000000"/>
          <w:sz w:val="28"/>
          <w:szCs w:val="28"/>
          <w:lang w:val="ru-RU"/>
        </w:rPr>
        <w:t>3.4 Вода, Байкальская территория и накопленный вред</w:t>
      </w:r>
      <w:bookmarkEnd w:id="22"/>
    </w:p>
    <w:p>
      <w:r>
        <w:rPr>
          <w:rFonts w:ascii="Times New Roman" w:hAnsi="Times New Roman" w:eastAsia="Times New Roman" w:cs="Times New Roman"/>
          <w:color w:val="000000"/>
          <w:lang w:val="ru-RU"/>
        </w:rPr>
        <w:t>Водное направление имеет наиболее существенное ограничение актуальности статистического среза. Последнее доступное наблюдение по объёму неочищенных сточных вод относится к февралю 2026 года и составляет 9055,31 млн м³. Самостоятельного годового значения 2025 года в данной серии нет: 9196,75 млн м³ опубликовано как декабрьское оперативное наблюдение. Поэтому оно не включено в таблицу законченных годовых результатов. Показатель измеряется в миллионах кубических метров и не выражает процент сокращения объёма.</w:t>
      </w:r>
      <w:r>
        <w:rPr>
          <w:rStyle w:val="FootnoteReference"/>
          <w:rFonts w:ascii="Times New Roman" w:hAnsi="Times New Roman" w:eastAsia="Times New Roman" w:cs="Times New Roman"/>
          <w:color w:val="000000"/>
          <w:sz w:val="20"/>
          <w:szCs w:val="20"/>
          <w:lang w:val="ru-RU"/>
        </w:rPr>
        <w:footnoteReference w:id="55"/>
      </w:r>
    </w:p>
    <w:p>
      <w:r>
        <w:rPr>
          <w:rFonts w:ascii="Times New Roman" w:hAnsi="Times New Roman" w:eastAsia="Times New Roman" w:cs="Times New Roman"/>
          <w:color w:val="000000"/>
          <w:lang w:val="ru-RU"/>
        </w:rPr>
        <w:t>Методика от 10 апреля 2026 года № 206 определяет результат через базовый объём загрязнённых стоков и подтверждённый объём, доведённый до нормативного качества после строительства либо реконструкции очистных сооружений. Для зачёта требуется лабораторное подтверждение в рамках контрольных мероприятий. Учитываются мероприятия как внутри, так и вне федерального проекта. Поэтому показатель отражает нормативно определённый расчётный остаток базового объёма. Его изменение не может без дополнительного разложения быть целиком приписано финансированию национального проекта.</w:t>
      </w:r>
      <w:r>
        <w:rPr>
          <w:rStyle w:val="FootnoteReference"/>
          <w:rFonts w:ascii="Times New Roman" w:hAnsi="Times New Roman" w:eastAsia="Times New Roman" w:cs="Times New Roman"/>
          <w:color w:val="000000"/>
          <w:sz w:val="20"/>
          <w:szCs w:val="20"/>
          <w:lang w:val="ru-RU"/>
        </w:rPr>
        <w:footnoteReference w:id="56"/>
      </w:r>
    </w:p>
    <w:p>
      <w:r>
        <w:rPr>
          <w:rFonts w:ascii="Times New Roman" w:hAnsi="Times New Roman" w:eastAsia="Times New Roman" w:cs="Times New Roman"/>
          <w:color w:val="000000"/>
          <w:lang w:val="ru-RU"/>
        </w:rPr>
        <w:t>Временная последовательность требует согласования оснований счёта. В январе–июне 2025 года опубликовано 10841,34 млн м³, в июле–ноябре – 9318,23 млн м³, в декабре – 9196,75 млн м³. При этом в текущей открытой паспортной карточке базовым значением с датой 1 января 2024 года указано 9318,23 млн м³. Первые наблюдения, указанная база и новая методика не образуют автоматически однородного ряда. Без таблицы пересчёта, состава учитываемых сооружений и раскрытия компонентов нельзя считать весь переход между указанными уровнями фактически достигнутым сокращением загрязнения.</w:t>
      </w:r>
      <w:r>
        <w:rPr>
          <w:rStyle w:val="FootnoteReference"/>
          <w:rFonts w:ascii="Times New Roman" w:hAnsi="Times New Roman" w:eastAsia="Times New Roman" w:cs="Times New Roman"/>
          <w:color w:val="000000"/>
          <w:sz w:val="20"/>
          <w:szCs w:val="20"/>
          <w:lang w:val="ru-RU"/>
        </w:rPr>
        <w:footnoteReference w:id="57"/>
      </w:r>
    </w:p>
    <w:p>
      <w:r>
        <w:rPr>
          <w:rFonts w:ascii="Times New Roman" w:hAnsi="Times New Roman" w:eastAsia="Times New Roman" w:cs="Times New Roman"/>
          <w:color w:val="000000"/>
          <w:lang w:val="ru-RU"/>
        </w:rPr>
        <w:t>Дополнительный показатель комфортных условий проживания вблизи водных объектов достигает 0,9654 млн человек по итогам 2025 года и сохраняет это значение в последнем доступном наблюдении сентября 2026 года. Накопленный социальный охват и объём очищенных стоков отвечают на разные вопросы. Благоустройство или расчистка водного объекта могут улучшать доступность и условия использования берегов, но численность благополучателей не заменяет данные о химическом и биологическом состоянии воды. Сохранение показателя на одном уровне также не свидетельствует о прекращении работ: оно фиксирует отсутствие нового зачтённого прироста в рассматриваемой статистике.</w:t>
      </w:r>
      <w:r>
        <w:rPr>
          <w:rStyle w:val="FootnoteReference"/>
          <w:rFonts w:ascii="Times New Roman" w:hAnsi="Times New Roman" w:eastAsia="Times New Roman" w:cs="Times New Roman"/>
          <w:color w:val="000000"/>
          <w:sz w:val="20"/>
          <w:szCs w:val="20"/>
          <w:lang w:val="ru-RU"/>
        </w:rPr>
        <w:footnoteReference w:id="58"/>
      </w:r>
    </w:p>
    <w:p>
      <w:r>
        <w:rPr>
          <w:rFonts w:ascii="Times New Roman" w:hAnsi="Times New Roman" w:eastAsia="Times New Roman" w:cs="Times New Roman"/>
          <w:color w:val="000000"/>
          <w:lang w:val="ru-RU"/>
        </w:rPr>
        <w:t>По Байкальской природной территории годовой индекс 2025 года равен 91,2%. Последнее оперативное наблюдение февраля 2026 года имеет то же значение. Его нельзя переводить в утверждение о сокращении загрязнения озера на 91,2%. Действующая методика от 10 апреля 2026 года № 205 сочетает пять компонентов: площади несанкционированного размещения отходов и накопленного вреда, загрязнённые стоки, ТКО, не обеспеченные мощностями обработки, выбросы в определённых городах и лесовосстановление. Первые три компонента имеют веса по 0,25, воздушный – 0,05, лесной – 0,20. Однако приведённые наблюдения предшествуют утверждению методики. Её применимость к ним требует подтверждения пересчёта либо преемственности расчёта. Без исходных компонентов нельзя задним числом разложить значение 91,2% на вклад отдельных направлений.</w:t>
      </w:r>
      <w:r>
        <w:rPr>
          <w:rStyle w:val="FootnoteReference"/>
          <w:rFonts w:ascii="Times New Roman" w:hAnsi="Times New Roman" w:eastAsia="Times New Roman" w:cs="Times New Roman"/>
          <w:color w:val="000000"/>
          <w:sz w:val="20"/>
          <w:szCs w:val="20"/>
          <w:lang w:val="ru-RU"/>
        </w:rPr>
        <w:footnoteReference w:id="59"/>
      </w:r>
    </w:p>
    <w:p>
      <w:r>
        <w:rPr>
          <w:rFonts w:ascii="Times New Roman" w:hAnsi="Times New Roman" w:eastAsia="Times New Roman" w:cs="Times New Roman"/>
          <w:color w:val="000000"/>
          <w:lang w:val="ru-RU"/>
        </w:rPr>
        <w:t>Для экологической экспертизы Байкала нужен раздельный анализ пяти компонентов и независимых наблюдений состояния экосистемы. Сокращение площади объекта накопленного вреда, снижение годового объёма стоков и ввод сортировочной мощности не являются физически взаимозаменяемыми результатами. Компенсация неблагоприятного движения одного компонента благоприятным движением другого может улучшить агрегат при сохранении локально критической проблемы. Практическое решение – публиковать вместе со сводным индексом все составляющие, их исходные уровни, территориальную привязку и подтверждающие измерения.</w:t>
      </w:r>
    </w:p>
    <w:p>
      <w:r>
        <w:rPr>
          <w:rFonts w:ascii="Times New Roman" w:hAnsi="Times New Roman" w:eastAsia="Times New Roman" w:cs="Times New Roman"/>
          <w:color w:val="000000"/>
          <w:lang w:val="ru-RU"/>
        </w:rPr>
        <w:t>По ликвидации опасных объектов накопленного вреда годовой результат 2025 года составляет один объект. Накопленное значение сохраняется на сентябрь 2026 года. По удалению затонувшего имущества зафиксировано 14 объектов по итогам 2025 года и 21 на сентябрь 2026 года. Счёт завершённых объектов необходим для контроля обязательств, но не измеряет однородный объём устранённого риска. Различаются загрязняющие вещества, масса опасных материалов, площадь воздействия и число людей в зоне риска. Для содержательного сравнения затраты и результат следует соотносить с характеристиками каждого объекта и последующим контролем территории. Одного количества завершённых мероприятий для сравнения недостаточно.</w:t>
      </w:r>
      <w:r>
        <w:rPr>
          <w:rStyle w:val="FootnoteReference"/>
          <w:rFonts w:ascii="Times New Roman" w:hAnsi="Times New Roman" w:eastAsia="Times New Roman" w:cs="Times New Roman"/>
          <w:color w:val="000000"/>
          <w:sz w:val="20"/>
          <w:szCs w:val="20"/>
          <w:lang w:val="ru-RU"/>
        </w:rPr>
        <w:footnoteReference w:id="60"/>
      </w:r>
    </w:p>
    <w:p>
      <w:pPr>
        <w:pStyle w:val="Heading2"/>
      </w:pPr>
      <w:bookmarkStart w:id="23" w:name="sec_015"/>
      <w:r>
        <w:rPr>
          <w:rFonts w:ascii="Times New Roman" w:hAnsi="Times New Roman" w:eastAsia="Times New Roman" w:cs="Times New Roman"/>
          <w:b/>
          <w:color w:val="000000"/>
          <w:sz w:val="28"/>
          <w:szCs w:val="28"/>
          <w:lang w:val="ru-RU"/>
        </w:rPr>
        <w:t>3.5 Восстановление лесов и временная база показателей</w:t>
      </w:r>
      <w:bookmarkEnd w:id="23"/>
    </w:p>
    <w:p>
      <w:r>
        <w:rPr>
          <w:rFonts w:ascii="Times New Roman" w:hAnsi="Times New Roman" w:eastAsia="Times New Roman" w:cs="Times New Roman"/>
          <w:color w:val="000000"/>
          <w:lang w:val="ru-RU"/>
        </w:rPr>
        <w:t>Общероссийское отношение площади лесовосстановления и лесоразведения к площади вырубленных и погибших насаждений по итогам 2025 года составляет 149,64%. Оно существенно превышает 100%, но его смысл определяется временной конструкцией знаменателя. Методика 2025 года, утверждённая приказом Рослесхоза № 602, использует площадь работ текущего года и площадь вырубленных и погибших насаждений двумя годами ранее. Порядок расчёта сохранён в приказе № 238 от 17 апреля 2026 года. Следовательно, результат 2025 года сопоставляет работы 2025 года с выбытием 2023 года. Из него не следует ни компенсация всех потерь 2025 года, ни восстановление экологических функций конкретных утраченных лесов.</w:t>
      </w:r>
      <w:r>
        <w:rPr>
          <w:rStyle w:val="FootnoteReference"/>
          <w:rFonts w:ascii="Times New Roman" w:hAnsi="Times New Roman" w:eastAsia="Times New Roman" w:cs="Times New Roman"/>
          <w:color w:val="000000"/>
          <w:sz w:val="20"/>
          <w:szCs w:val="20"/>
          <w:lang w:val="ru-RU"/>
        </w:rPr>
        <w:footnoteReference w:id="61"/>
      </w:r>
    </w:p>
    <w:p>
      <w:r>
        <w:rPr>
          <w:rFonts w:ascii="Times New Roman" w:hAnsi="Times New Roman" w:eastAsia="Times New Roman" w:cs="Times New Roman"/>
          <w:color w:val="000000"/>
          <w:lang w:val="ru-RU"/>
        </w:rPr>
        <w:t xml:space="preserve">Распределение по 81 субъекту имеет выраженный правый хвост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fig_eq_forest_distribution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5</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Медиана равна 127,16%, нижний квартиль – 104,19%, верхний – 280,02%. В 80 субъектах значение превышает 100%. Минимум составляет 77,98% в Республике Алтай, максимум – 4356,6% в Самарской области. Невзвешенное среднее региональных отношений, равное 334,43%, существенно выше общероссийского показателя 149,64%. Расхождение обусловлено разными способами агрегирования: отношение суммарных площадей не равно простому среднему региональных отношений, особенно при малых знаменателях.</w:t>
      </w:r>
      <w:r>
        <w:rPr>
          <w:rStyle w:val="FootnoteReference"/>
          <w:rFonts w:ascii="Times New Roman" w:hAnsi="Times New Roman" w:eastAsia="Times New Roman" w:cs="Times New Roman"/>
          <w:color w:val="000000"/>
          <w:sz w:val="20"/>
          <w:szCs w:val="20"/>
          <w:lang w:val="ru-RU"/>
        </w:rPr>
        <w:footnoteReference w:id="62"/>
      </w:r>
    </w:p>
    <w:p>
      <w:pPr>
        <w:keepNext/>
        <w:spacing w:line="240" w:lineRule="auto" w:after="20" w:before="140"/>
        <w:ind w:firstLine="0"/>
        <w:jc w:val="center"/>
      </w:pPr>
      <w:r>
        <w:drawing>
          <wp:inline xmlns:a="http://schemas.openxmlformats.org/drawingml/2006/main" xmlns:pic="http://schemas.openxmlformats.org/drawingml/2006/picture">
            <wp:extent cx="6120000" cy="4484187"/>
            <wp:docPr id="5" name="Picture 5" descr="Распределение отношения площадей лесовосстановления и выбытия по субъектам, 2025 год" title="Распределение отношения площадей лесовосстановления и выбытия по субъектам, 2025 год"/>
            <wp:cNvGraphicFramePr>
              <a:graphicFrameLocks noChangeAspect="1"/>
            </wp:cNvGraphicFramePr>
            <a:graphic>
              <a:graphicData uri="http://schemas.openxmlformats.org/drawingml/2006/picture">
                <pic:pic>
                  <pic:nvPicPr>
                    <pic:cNvPr id="0" name="eq_forest_distribution.png"/>
                    <pic:cNvPicPr/>
                  </pic:nvPicPr>
                  <pic:blipFill>
                    <a:blip r:embed="rId14"/>
                    <a:stretch>
                      <a:fillRect/>
                    </a:stretch>
                  </pic:blipFill>
                  <pic:spPr>
                    <a:xfrm>
                      <a:off x="0" y="0"/>
                      <a:ext cx="6120000" cy="4484187"/>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4" w:name="fig_eq_forest_distributio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4"/>
      <w:r>
        <w:rPr>
          <w:rFonts w:ascii="Times New Roman" w:hAnsi="Times New Roman" w:eastAsia="Times New Roman" w:cs="Times New Roman"/>
          <w:color w:val="000000"/>
          <w:sz w:val="24"/>
          <w:szCs w:val="24"/>
          <w:lang w:val="ru-RU"/>
        </w:rPr>
        <w:t xml:space="preserve"> – Распределение отношения площадей лесовосстановления и выбытия по субъектам, 2025 год</w:t>
      </w:r>
    </w:p>
    <w:p>
      <w:pPr>
        <w:pStyle w:val="SourceNote"/>
        <w:keepLines/>
        <w:spacing w:after="140"/>
      </w:pPr>
      <w:r>
        <w:rPr>
          <w:rFonts w:ascii="Times New Roman" w:hAnsi="Times New Roman" w:eastAsia="Times New Roman" w:cs="Times New Roman"/>
          <w:color w:val="000000"/>
          <w:sz w:val="22"/>
          <w:szCs w:val="22"/>
          <w:lang w:val="ru-RU"/>
        </w:rPr>
        <w:t>81 субъект. Ось X логарифмическая. Кривая показывает долю субъектов со значением не выше указанного по оси X. Пять значений 125% выделены как требующие проверки основания: методика допускает условное 125% при нулевом знаменателе, но исходные компоненты для индивидуального подтверждения отсутствуют. Распределение не характеризует рейтинг экологического качества лесов.</w:t>
      </w:r>
      <w:r>
        <w:rPr>
          <w:rStyle w:val="FootnoteReference"/>
          <w:rFonts w:ascii="Times New Roman" w:hAnsi="Times New Roman" w:eastAsia="Times New Roman" w:cs="Times New Roman"/>
          <w:color w:val="000000"/>
          <w:sz w:val="20"/>
          <w:szCs w:val="20"/>
          <w:lang w:val="ru-RU"/>
        </w:rPr>
        <w:footnoteReference w:id="63"/>
      </w:r>
    </w:p>
    <w:p>
      <w:r>
        <w:rPr>
          <w:rFonts w:ascii="Times New Roman" w:hAnsi="Times New Roman" w:eastAsia="Times New Roman" w:cs="Times New Roman"/>
          <w:color w:val="000000"/>
          <w:lang w:val="ru-RU"/>
        </w:rPr>
        <w:t>Отдельного рассмотрения требуют пять региональных значений ровно 125%. Методика предусматривает специальное правило: при нулевой площади вырубленных и погибших насаждений показатель равен нулю, если восстановление также отсутствует, и 125% – если работы проводились. Без исходных площадей невозможно установить, какие из пяти наблюдений возникли по этому правилу, а какие получены обычным делением. Поэтому они сохранены в описательном распределении, но не интерпретируются как доказанное превышение физического баланса на четверть. Для интерпретации экстремально высоких отношений необходимо раскрыть знаменатель. Самих значений недостаточно для признания практики лучшей.</w:t>
      </w:r>
      <w:r>
        <w:rPr>
          <w:rStyle w:val="FootnoteReference"/>
          <w:rFonts w:ascii="Times New Roman" w:hAnsi="Times New Roman" w:eastAsia="Times New Roman" w:cs="Times New Roman"/>
          <w:color w:val="000000"/>
          <w:sz w:val="20"/>
          <w:szCs w:val="20"/>
          <w:lang w:val="ru-RU"/>
        </w:rPr>
        <w:footnoteReference w:id="64"/>
      </w:r>
    </w:p>
    <w:p>
      <w:r>
        <w:rPr>
          <w:rFonts w:ascii="Times New Roman" w:hAnsi="Times New Roman" w:eastAsia="Times New Roman" w:cs="Times New Roman"/>
          <w:color w:val="000000"/>
          <w:lang w:val="ru-RU"/>
        </w:rPr>
        <w:t>Показатель отнесения восстановленных площадей к землям, на которых расположены леса, дополняет объём выполненных работ характеристикой последующей стадии восстановления. Его годовое значение 2025 года равно 1334,9768 тыс. га. К сентябрю 2026 года накопленное значение достигает 1897,7704 тыс. га. Методика устанавливает накопление с 1 января 2025 года. Поэтому прибавка относительно уточнённого результата 2025 года составляет 562,7936 тыс. га. Приписывание всего накопленного объёма 2026 году завысило бы его результат более чем втрое.</w:t>
      </w:r>
      <w:r>
        <w:rPr>
          <w:rStyle w:val="FootnoteReference"/>
          <w:rFonts w:ascii="Times New Roman" w:hAnsi="Times New Roman" w:eastAsia="Times New Roman" w:cs="Times New Roman"/>
          <w:color w:val="000000"/>
          <w:sz w:val="20"/>
          <w:szCs w:val="20"/>
          <w:lang w:val="ru-RU"/>
        </w:rPr>
        <w:footnoteReference w:id="65"/>
      </w:r>
    </w:p>
    <w:p>
      <w:r>
        <w:rPr>
          <w:rFonts w:ascii="Times New Roman" w:hAnsi="Times New Roman" w:eastAsia="Times New Roman" w:cs="Times New Roman"/>
          <w:color w:val="000000"/>
          <w:lang w:val="ru-RU"/>
        </w:rPr>
        <w:t>Накопление по двум лесным показателям устроено по-разному. Отношение лесовосстановления в оперативной отчётности считается с начала текущего года, тогда как отнесение площадей к лесным землям продолжается между годами. Дополнительное различие создаёт уточнение годовой отчётности: отношение площадей за 2025 год пересмотрено с декабрьских 147,39 до годовых 149,64%, а отнесённая площадь – с 1240,1037 до 1334,9768 тыс. га. При анализе прироста 2026 года необходимо опираться на уточнённый годовой уровень. Иначе часть статистического пересмотра будет ошибочно принята за новые работы.</w:t>
      </w:r>
      <w:r>
        <w:rPr>
          <w:rStyle w:val="FootnoteReference"/>
          <w:rFonts w:ascii="Times New Roman" w:hAnsi="Times New Roman" w:eastAsia="Times New Roman" w:cs="Times New Roman"/>
          <w:color w:val="000000"/>
          <w:sz w:val="20"/>
          <w:szCs w:val="20"/>
          <w:lang w:val="ru-RU"/>
        </w:rPr>
        <w:footnoteReference w:id="66"/>
      </w:r>
    </w:p>
    <w:p>
      <w:r>
        <w:rPr>
          <w:rFonts w:ascii="Times New Roman" w:hAnsi="Times New Roman" w:eastAsia="Times New Roman" w:cs="Times New Roman"/>
          <w:color w:val="000000"/>
          <w:lang w:val="ru-RU"/>
        </w:rPr>
        <w:t>Для оценки устойчивости восстановленного леса требуются когортные наблюдения: участки определённого года работ должны прослеживаться до приёмки, перевода в лесные земли и последующего состояния. Существенны приживаемость, породный состав, соответствие условиям местообитания, повреждения пожарами и вредителями, сохранность через несколько лет. Простое сопоставление площадей разных лет не устанавливает эту связь. Пространственная привязка утраты и восстановления позволяет отдельно оценить восполнение лесной площади и сохранение функций леса в тех местах, где они были нарушены.</w:t>
      </w:r>
    </w:p>
    <w:p>
      <w:r>
        <w:rPr>
          <w:rFonts w:ascii="Times New Roman" w:hAnsi="Times New Roman" w:eastAsia="Times New Roman" w:cs="Times New Roman"/>
          <w:color w:val="000000"/>
          <w:lang w:val="ru-RU"/>
        </w:rPr>
        <w:t>При анализе ряда сокращения площади лесных пожаров следует учитывать изменение статуса показателя. В открытой паспортной републикации выполнение прежнего показателя прекращено с 21 мая 2026 года. Приказом Рослесхоза от 31 августа 2026 года № 604 отменены приказы, устанавливавшие прежнюю методику. При этом статистическая последовательность в ЕМИСС продолжается до сентября 2026 года. Сохранение ряда в информационной системе не подтверждает сохранения статуса действующего целевого показателя. Поэтому его значения не используются здесь для вывода о выполнении текущего проекта. Оценка пожарной безопасности должна сохраняться через сопоставимые площади и тяжесть последствий пожаров, условия обнаружения и тушения, с явным учётом изменения методики и погодной обстановки.</w:t>
      </w:r>
      <w:r>
        <w:rPr>
          <w:rStyle w:val="FootnoteReference"/>
          <w:rFonts w:ascii="Times New Roman" w:hAnsi="Times New Roman" w:eastAsia="Times New Roman" w:cs="Times New Roman"/>
          <w:color w:val="000000"/>
          <w:sz w:val="20"/>
          <w:szCs w:val="20"/>
          <w:lang w:val="ru-RU"/>
        </w:rPr>
        <w:footnoteReference w:id="67"/>
      </w:r>
    </w:p>
    <w:p>
      <w:pPr>
        <w:pStyle w:val="Heading2"/>
      </w:pPr>
      <w:bookmarkStart w:id="25" w:name="sec_016"/>
      <w:r>
        <w:rPr>
          <w:rFonts w:ascii="Times New Roman" w:hAnsi="Times New Roman" w:eastAsia="Times New Roman" w:cs="Times New Roman"/>
          <w:b/>
          <w:color w:val="000000"/>
          <w:sz w:val="28"/>
          <w:szCs w:val="28"/>
          <w:lang w:val="ru-RU"/>
        </w:rPr>
        <w:t>3.6 Биоразнообразие и посещение охраняемых территорий</w:t>
      </w:r>
      <w:bookmarkEnd w:id="25"/>
    </w:p>
    <w:p>
      <w:r>
        <w:rPr>
          <w:rFonts w:ascii="Times New Roman" w:hAnsi="Times New Roman" w:eastAsia="Times New Roman" w:cs="Times New Roman"/>
          <w:color w:val="000000"/>
          <w:lang w:val="ru-RU"/>
        </w:rPr>
        <w:t>Доля редких и находящихся под угрозой исчезновения птиц и млекопитающих, охваченных мероприятиями по восстановлению численности, составляет 27% за 2025 год и остаётся на этом уровне в доступном наблюдении августа 2026 года. Показатель характеризует охват природоохранной деятельностью установленной совокупности объектов животного мира. Он необходим для оценки полноты управленческого внимания, но не измеряет величину прироста популяций, изменение ареала или вероятность исчезновения. Равенство целевого и фактического охвата поэтому подтверждает выполнение задания по охвату, не заменяя оценки биологического результата.</w:t>
      </w:r>
      <w:r>
        <w:rPr>
          <w:rStyle w:val="FootnoteReference"/>
          <w:rFonts w:ascii="Times New Roman" w:hAnsi="Times New Roman" w:eastAsia="Times New Roman" w:cs="Times New Roman"/>
          <w:color w:val="000000"/>
          <w:sz w:val="20"/>
          <w:szCs w:val="20"/>
          <w:lang w:val="ru-RU"/>
        </w:rPr>
        <w:footnoteReference w:id="68"/>
      </w:r>
    </w:p>
    <w:p>
      <w:r>
        <w:rPr>
          <w:rFonts w:ascii="Times New Roman" w:hAnsi="Times New Roman" w:eastAsia="Times New Roman" w:cs="Times New Roman"/>
          <w:color w:val="000000"/>
          <w:lang w:val="ru-RU"/>
        </w:rPr>
        <w:t>Проверка природоохранной результативности должна проводиться на уровне вида и популяции. Для каждого объекта нужны сопоставимые обследования численности и воспроизводства, описание применённых мер, пространственный охват наблюдений и оценка неопределённости. Изменение численности нельзя уверенно связывать с проектом без учёта миграции, доступности местообитаний, смертности и изменения метода учёта. Увеличение числа видов, включённых в мероприятия, может одновременно сопровождаться разной динамикой их состояния, что делает простое усреднение успеха по факту охвата недостаточным.</w:t>
      </w:r>
    </w:p>
    <w:p>
      <w:r>
        <w:rPr>
          <w:rFonts w:ascii="Times New Roman" w:hAnsi="Times New Roman" w:eastAsia="Times New Roman" w:cs="Times New Roman"/>
          <w:color w:val="000000"/>
          <w:lang w:val="ru-RU"/>
        </w:rPr>
        <w:t xml:space="preserve">Посещение федеральных ООПТ по итогам 2025 года составляет 22,6 млн человек, что на 28,4% выше ориентира 17,6 млн в опубликованной редакции. Однако сопоставление одних и тех же восьми месяцев даёт иную характеристику текущей динамики: 16,2 млн в январе–августе 2025 года и 14,7296 млн в январе–августе 2026 года, то есть снижение на 9,08%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fig_eq_visitors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Превышение годовой цели и сокращение к сопоставимому периоду могут существовать одновременно, поскольку относятся к разным основаниям оценки.</w:t>
      </w:r>
      <w:r>
        <w:rPr>
          <w:rStyle w:val="FootnoteReference"/>
          <w:rFonts w:ascii="Times New Roman" w:hAnsi="Times New Roman" w:eastAsia="Times New Roman" w:cs="Times New Roman"/>
          <w:color w:val="000000"/>
          <w:sz w:val="20"/>
          <w:szCs w:val="20"/>
          <w:lang w:val="ru-RU"/>
        </w:rPr>
        <w:footnoteReference w:id="69"/>
      </w:r>
    </w:p>
    <w:p>
      <w:pPr>
        <w:keepNext/>
        <w:spacing w:line="240" w:lineRule="auto" w:after="20" w:before="140"/>
        <w:ind w:firstLine="0"/>
        <w:jc w:val="center"/>
      </w:pPr>
      <w:r>
        <w:drawing>
          <wp:inline xmlns:a="http://schemas.openxmlformats.org/drawingml/2006/main" xmlns:pic="http://schemas.openxmlformats.org/drawingml/2006/picture">
            <wp:extent cx="6120000" cy="4301159"/>
            <wp:docPr id="6" name="Picture 6" descr="Посещение федеральных особо охраняемых природных территорий в 2025–2026 годах" title="Посещение федеральных особо охраняемых природных территорий в 2025–2026 годах"/>
            <wp:cNvGraphicFramePr>
              <a:graphicFrameLocks noChangeAspect="1"/>
            </wp:cNvGraphicFramePr>
            <a:graphic>
              <a:graphicData uri="http://schemas.openxmlformats.org/drawingml/2006/picture">
                <pic:pic>
                  <pic:nvPicPr>
                    <pic:cNvPr id="0" name="eq_visitors.png"/>
                    <pic:cNvPicPr/>
                  </pic:nvPicPr>
                  <pic:blipFill>
                    <a:blip r:embed="rId15"/>
                    <a:stretch>
                      <a:fillRect/>
                    </a:stretch>
                  </pic:blipFill>
                  <pic:spPr>
                    <a:xfrm>
                      <a:off x="0" y="0"/>
                      <a:ext cx="6120000" cy="430115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6" w:name="fig_eq_visitor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26"/>
      <w:r>
        <w:rPr>
          <w:rFonts w:ascii="Times New Roman" w:hAnsi="Times New Roman" w:eastAsia="Times New Roman" w:cs="Times New Roman"/>
          <w:color w:val="000000"/>
          <w:sz w:val="24"/>
          <w:szCs w:val="24"/>
          <w:lang w:val="ru-RU"/>
        </w:rPr>
        <w:t xml:space="preserve"> – Посещение федеральных особо охраняемых природных территорий в 2025–2026 годах</w:t>
      </w:r>
    </w:p>
    <w:p>
      <w:pPr>
        <w:pStyle w:val="SourceNote"/>
        <w:keepLines/>
        <w:spacing w:after="140"/>
      </w:pPr>
      <w:r>
        <w:rPr>
          <w:rFonts w:ascii="Times New Roman" w:hAnsi="Times New Roman" w:eastAsia="Times New Roman" w:cs="Times New Roman"/>
          <w:color w:val="000000"/>
          <w:sz w:val="22"/>
          <w:szCs w:val="22"/>
          <w:lang w:val="ru-RU"/>
        </w:rPr>
        <w:t>Накопленные значения с начала каждого календарного года. Для 2026 года доступны январь–август. Последующие месяцы не прогнозируются. Годовой итог 2025 года – 22,6 млн человек. Изменение −9,08% рассчитано только для сопоставимых восьмимесячных периодов.</w:t>
      </w:r>
      <w:r>
        <w:rPr>
          <w:rStyle w:val="FootnoteReference"/>
          <w:rFonts w:ascii="Times New Roman" w:hAnsi="Times New Roman" w:eastAsia="Times New Roman" w:cs="Times New Roman"/>
          <w:color w:val="000000"/>
          <w:sz w:val="20"/>
          <w:szCs w:val="20"/>
          <w:lang w:val="ru-RU"/>
        </w:rPr>
        <w:footnoteReference w:id="70"/>
      </w:r>
    </w:p>
    <w:p>
      <w:r>
        <w:rPr>
          <w:rFonts w:ascii="Times New Roman" w:hAnsi="Times New Roman" w:eastAsia="Times New Roman" w:cs="Times New Roman"/>
          <w:color w:val="000000"/>
          <w:lang w:val="ru-RU"/>
        </w:rPr>
        <w:t>Методика суммирует посетителей отдельных ООПТ за отчётные месяцы. Учёт включает посещение объектов инфраструктуры учреждений и несколько категорий посетителей. Полученная сумма не равна числу уникальных граждан, посетивших хотя бы одну охраняемую территорию за год. Посещаемость характеризует использование территории людьми и не измеряет состояние природных комплексов. Для объяснения сокращения потока нужны сведения об ограничениях доступа, погоде и структуре посещений. Без них снижение не доказывает ухудшения работы проекта. Увеличение потока также требует оценки допустимой нагрузки, прежде чем его можно признать экологическим успехом.</w:t>
      </w:r>
      <w:r>
        <w:rPr>
          <w:rStyle w:val="FootnoteReference"/>
          <w:rFonts w:ascii="Times New Roman" w:hAnsi="Times New Roman" w:eastAsia="Times New Roman" w:cs="Times New Roman"/>
          <w:color w:val="000000"/>
          <w:sz w:val="20"/>
          <w:szCs w:val="20"/>
          <w:lang w:val="ru-RU"/>
        </w:rPr>
        <w:footnoteReference w:id="71"/>
      </w:r>
    </w:p>
    <w:p>
      <w:r>
        <w:rPr>
          <w:rFonts w:ascii="Times New Roman" w:hAnsi="Times New Roman" w:eastAsia="Times New Roman" w:cs="Times New Roman"/>
          <w:color w:val="000000"/>
          <w:lang w:val="ru-RU"/>
        </w:rPr>
        <w:t>Управленчески полезно различать доступность экологического туризма и устойчивость рекреационной нагрузки. Доступность определяется возможностями посещения, транспортным сообщением и качеством маршрутов. Устойчивость нагрузки зависит от её распределения по участкам и сезонам, нарушений режима охраны, состояния почв и растительности, образования отходов и беспокойства животных. Территориально и сезонно распределённые данные позволяют определить, где расширение инфраструктуры повышает доступность без ухудшения природного состояния, а где требуется регулирование потока.</w:t>
      </w:r>
    </w:p>
    <w:p>
      <w:r>
        <w:rPr>
          <w:rFonts w:ascii="Times New Roman" w:hAnsi="Times New Roman" w:eastAsia="Times New Roman" w:cs="Times New Roman"/>
          <w:color w:val="000000"/>
          <w:lang w:val="ru-RU"/>
        </w:rPr>
        <w:t>Доля доступной населению информации по основным направлениям экологического мониторинга выросла с годового значения 26,9% в 2025 году до 76,92% на сентябрь 2026 года. Согласно определению показателя, речь идёт об отношении размещённых в открытом доступе групп наборов данных к их установленному перечню. Показатель отражает наполнение информационной системы. Из него не следует, что соответствующая доля жителей получает понятную информацию о рисках в месте проживания. Для проверки общественной полезности нужны полнота территориального покрытия, своевременность обновления, понятность представления и возможность сопоставить данные наблюдений с местными источниками воздействия.</w:t>
      </w:r>
      <w:r>
        <w:rPr>
          <w:rStyle w:val="FootnoteReference"/>
          <w:rFonts w:ascii="Times New Roman" w:hAnsi="Times New Roman" w:eastAsia="Times New Roman" w:cs="Times New Roman"/>
          <w:color w:val="000000"/>
          <w:sz w:val="20"/>
          <w:szCs w:val="20"/>
          <w:lang w:val="ru-RU"/>
        </w:rPr>
        <w:footnoteReference w:id="72"/>
      </w:r>
    </w:p>
    <w:p>
      <w:r>
        <w:rPr>
          <w:rFonts w:ascii="Times New Roman" w:hAnsi="Times New Roman" w:eastAsia="Times New Roman" w:cs="Times New Roman"/>
          <w:color w:val="000000"/>
          <w:lang w:val="ru-RU"/>
        </w:rPr>
        <w:t>Практическая задача – сопоставлять мероприятия и экологические наблюдения на одной территории за согласованные периоды. Сопоставление позволит проверить переход от административно учтённого действия к изменению состояния среды.</w:t>
      </w:r>
    </w:p>
    <w:p>
      <w:pPr>
        <w:pStyle w:val="Heading1"/>
      </w:pPr>
      <w:bookmarkStart w:id="27" w:name="sec_017"/>
      <w:r>
        <w:rPr>
          <w:rFonts w:ascii="Times New Roman" w:hAnsi="Times New Roman" w:eastAsia="Times New Roman" w:cs="Times New Roman"/>
          <w:b/>
          <w:color w:val="000000"/>
          <w:sz w:val="28"/>
          <w:szCs w:val="28"/>
          <w:lang w:val="ru-RU"/>
        </w:rPr>
        <w:t>4 Финансовое обеспечение и бюджетные риски</w:t>
      </w:r>
      <w:bookmarkEnd w:id="27"/>
    </w:p>
    <w:p>
      <w:r>
        <w:rPr>
          <w:rFonts w:ascii="Times New Roman" w:hAnsi="Times New Roman" w:eastAsia="Times New Roman" w:cs="Times New Roman"/>
          <w:color w:val="000000"/>
          <w:lang w:val="ru-RU"/>
        </w:rPr>
        <w:t>Финансовую основу проекта необходимо оценивать на нескольких уровнях. План на весь срок реализации показывает ожидаемый объём ресурсов и их распределение между источниками. Федеральный бюджет и сводная роспись определяют бюджетные назначения соответствующего периода. Кассовое исполнение отражает произведённые выплаты. Финансовый инструмент, заключённый контракт, введённый объект и подтверждённое экологическое улучшение представляют последовательные, но различные результаты. Поэтому из суммы планового финансирования нельзя непосредственно вывести ни степень освоения, ни экологическую эффективность.</w:t>
      </w:r>
    </w:p>
    <w:p>
      <w:r>
        <w:rPr>
          <w:rFonts w:ascii="Times New Roman" w:hAnsi="Times New Roman" w:eastAsia="Times New Roman" w:cs="Times New Roman"/>
          <w:color w:val="000000"/>
          <w:lang w:val="ru-RU"/>
        </w:rPr>
        <w:t xml:space="preserve">В открытой републикации от 16 октября 2026 г. общий план на 2025–2030 гг. составляет 1 519,365 млрд руб. Федеральный бюджет обеспечивает 787,268 млрд руб., или 51,82%. Консолидированные бюджеты регионов обеспечивают 399,142 млрд руб., или 26,27%, внебюджетные источники – 332,955 млрд руб., или 21,91%. Почти половина совокупного плана приходится на источники за пределами федерального бюджета. Их доля не свидетельствует о недостаточности средств, однако результат зависит от согласования регионального участия и подтверждения внебюджетных обязательств. Указанные суммы характеризуют открытую публикацию. Независимого подтверждения их соответствия утверждённым расходам нет. Распределение по годам представлено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tab_ep_financing_table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5</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fig_ep_funding_sources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r>
        <w:rPr>
          <w:rStyle w:val="FootnoteReference"/>
          <w:rFonts w:ascii="Times New Roman" w:hAnsi="Times New Roman" w:eastAsia="Times New Roman" w:cs="Times New Roman"/>
          <w:color w:val="000000"/>
          <w:sz w:val="20"/>
          <w:szCs w:val="20"/>
          <w:lang w:val="ru-RU"/>
        </w:rPr>
        <w:footnoteReference w:id="73"/>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28" w:name="tab_ep_financing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8"/>
      <w:r>
        <w:rPr>
          <w:rFonts w:ascii="Times New Roman" w:hAnsi="Times New Roman" w:eastAsia="Times New Roman" w:cs="Times New Roman"/>
          <w:color w:val="000000"/>
          <w:sz w:val="24"/>
          <w:szCs w:val="24"/>
          <w:lang w:val="ru-RU"/>
        </w:rPr>
        <w:t xml:space="preserve"> – План финансирования по источникам в открытой републикации на 2025–2030 годы,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907"/>
        <w:gridCol w:w="2211"/>
        <w:gridCol w:w="2211"/>
        <w:gridCol w:w="2211"/>
        <w:gridCol w:w="2098"/>
      </w:tblGrid>
      <w:tr>
        <w:trPr>
          <w:cantSplit/>
          <w:tblHeader/>
        </w:trPr>
        <w:tc>
          <w:tcPr>
            <w:tcW w:type="dxa" w:w="907"/>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Год</w:t>
            </w:r>
          </w:p>
        </w:tc>
        <w:tc>
          <w:tcPr>
            <w:tcW w:type="dxa" w:w="2211"/>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Федеральный бюджет</w:t>
            </w:r>
          </w:p>
        </w:tc>
        <w:tc>
          <w:tcPr>
            <w:tcW w:type="dxa" w:w="2211"/>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Бюджеты регионов</w:t>
            </w:r>
          </w:p>
        </w:tc>
        <w:tc>
          <w:tcPr>
            <w:tcW w:type="dxa" w:w="2211"/>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Внебюджетные источники</w:t>
            </w:r>
          </w:p>
        </w:tc>
        <w:tc>
          <w:tcPr>
            <w:tcW w:type="dxa" w:w="2098"/>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Всего</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2025</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56,2</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22,4</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28,8</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107,4</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2026</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72,4</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36,7</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97,3</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206,4</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2027</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124,9</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71,7</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120,7</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317,3</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2028</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203,2</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128,9</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81,3</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413,5</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2029</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165,2</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71,1</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2,4</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238,7</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2030</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165,4</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68,3</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2,4</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236,1</w:t>
            </w:r>
          </w:p>
        </w:tc>
      </w:tr>
      <w:tr>
        <w:trPr>
          <w:cantSplit/>
        </w:trPr>
        <w:tc>
          <w:tcPr>
            <w:tcW w:type="dxa" w:w="907"/>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Всего</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787,3</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399,1</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333,0</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1 519,4</w:t>
            </w:r>
          </w:p>
        </w:tc>
      </w:tr>
    </w:tbl>
    <w:p>
      <w:pPr>
        <w:pStyle w:val="SourceNote"/>
        <w:keepLines/>
        <w:spacing w:after="140"/>
      </w:pPr>
      <w:r>
        <w:rPr>
          <w:rFonts w:ascii="Times New Roman" w:hAnsi="Times New Roman" w:eastAsia="Times New Roman" w:cs="Times New Roman"/>
          <w:color w:val="000000"/>
          <w:sz w:val="22"/>
          <w:szCs w:val="22"/>
          <w:lang w:val="ru-RU"/>
        </w:rPr>
        <w:t>Млрд руб., текущие цены. Округление до 0,1 млрд руб. может создавать различия при сложении отображённых величин. План не является кассовым исполнением.</w:t>
      </w:r>
      <w:r>
        <w:rPr>
          <w:rStyle w:val="FootnoteReference"/>
          <w:rFonts w:ascii="Times New Roman" w:hAnsi="Times New Roman" w:eastAsia="Times New Roman" w:cs="Times New Roman"/>
          <w:color w:val="000000"/>
          <w:sz w:val="20"/>
          <w:szCs w:val="20"/>
          <w:lang w:val="ru-RU"/>
        </w:rPr>
        <w:footnoteReference w:id="74"/>
      </w:r>
    </w:p>
    <w:p>
      <w:pPr>
        <w:keepNext/>
        <w:spacing w:line="240" w:lineRule="auto" w:after="20" w:before="140"/>
        <w:ind w:firstLine="0"/>
        <w:jc w:val="center"/>
      </w:pPr>
      <w:r>
        <w:drawing>
          <wp:inline xmlns:a="http://schemas.openxmlformats.org/drawingml/2006/main" xmlns:pic="http://schemas.openxmlformats.org/drawingml/2006/picture">
            <wp:extent cx="6120000" cy="3721656"/>
            <wp:docPr id="7" name="Picture 7" descr="Распределение заявленного финансирования по годам и источникам" title="Распределение заявленного финансирования по годам и источникам"/>
            <wp:cNvGraphicFramePr>
              <a:graphicFrameLocks noChangeAspect="1"/>
            </wp:cNvGraphicFramePr>
            <a:graphic>
              <a:graphicData uri="http://schemas.openxmlformats.org/drawingml/2006/picture">
                <pic:pic>
                  <pic:nvPicPr>
                    <pic:cNvPr id="0" name="ep_funding_sources.png"/>
                    <pic:cNvPicPr/>
                  </pic:nvPicPr>
                  <pic:blipFill>
                    <a:blip r:embed="rId16"/>
                    <a:stretch>
                      <a:fillRect/>
                    </a:stretch>
                  </pic:blipFill>
                  <pic:spPr>
                    <a:xfrm>
                      <a:off x="0" y="0"/>
                      <a:ext cx="6120000" cy="3721656"/>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9" w:name="fig_ep_funding_source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29"/>
      <w:r>
        <w:rPr>
          <w:rFonts w:ascii="Times New Roman" w:hAnsi="Times New Roman" w:eastAsia="Times New Roman" w:cs="Times New Roman"/>
          <w:color w:val="000000"/>
          <w:sz w:val="24"/>
          <w:szCs w:val="24"/>
          <w:lang w:val="ru-RU"/>
        </w:rPr>
        <w:t xml:space="preserve"> – Распределение заявленного финансирования по годам и источникам</w:t>
      </w:r>
    </w:p>
    <w:p>
      <w:pPr>
        <w:pStyle w:val="SourceNote"/>
        <w:keepLines/>
        <w:spacing w:after="140"/>
      </w:pPr>
      <w:r>
        <w:rPr>
          <w:rFonts w:ascii="Times New Roman" w:hAnsi="Times New Roman" w:eastAsia="Times New Roman" w:cs="Times New Roman"/>
          <w:color w:val="000000"/>
          <w:sz w:val="22"/>
          <w:szCs w:val="22"/>
          <w:lang w:val="ru-RU"/>
        </w:rPr>
        <w:t>Плановые номинальные суммы открытой републикации от 16.10.2026. Млрд руб.</w:t>
      </w:r>
      <w:r>
        <w:rPr>
          <w:rStyle w:val="FootnoteReference"/>
          <w:rFonts w:ascii="Times New Roman" w:hAnsi="Times New Roman" w:eastAsia="Times New Roman" w:cs="Times New Roman"/>
          <w:color w:val="000000"/>
          <w:sz w:val="20"/>
          <w:szCs w:val="20"/>
          <w:lang w:val="ru-RU"/>
        </w:rPr>
        <w:footnoteReference w:id="75"/>
      </w:r>
    </w:p>
    <w:p>
      <w:r>
        <w:rPr>
          <w:rFonts w:ascii="Times New Roman" w:hAnsi="Times New Roman" w:eastAsia="Times New Roman" w:cs="Times New Roman"/>
          <w:color w:val="000000"/>
          <w:lang w:val="ru-RU"/>
        </w:rPr>
        <w:t>Профиль финансирования имеет выраженный максимум в 2028 г. – 413,469 млрд руб. Привлечение внебюджетных средств особенно сосредоточено в 2026–2028 гг.: после 81,309 млрд руб. в 2028 г. в публикации указано лишь по 2,407 млрд руб. в 2029 и 2030 гг. Распределение сумм по годам может отражать последовательность инвестиционных стадий, границы раскрытых обязательств или особенности планирования. Без дополнительных документов распределение не доказывает ухода инвесторов. Для оценки устойчивости необходимо установить, с какими объектами и договорами связано распределение средств, а также сроки ввода объектов и источники финансирования их последующей эксплуатации.</w:t>
      </w:r>
      <w:r>
        <w:rPr>
          <w:rStyle w:val="FootnoteReference"/>
          <w:rFonts w:ascii="Times New Roman" w:hAnsi="Times New Roman" w:eastAsia="Times New Roman" w:cs="Times New Roman"/>
          <w:color w:val="000000"/>
          <w:sz w:val="20"/>
          <w:szCs w:val="20"/>
          <w:lang w:val="ru-RU"/>
        </w:rPr>
        <w:footnoteReference w:id="76"/>
      </w:r>
    </w:p>
    <w:p>
      <w:r>
        <w:rPr>
          <w:rFonts w:ascii="Times New Roman" w:hAnsi="Times New Roman" w:eastAsia="Times New Roman" w:cs="Times New Roman"/>
          <w:color w:val="000000"/>
          <w:lang w:val="ru-RU"/>
        </w:rPr>
        <w:t>Арифметическая сверка национального и шести федеральных представлений обнаруживает небольшое различие. Их сумма за общий период 2025–2030 гг. ниже национального итога на 0,247812 млрд руб., или 0,0163%. Всё расхождение относится к 2025 г. Его величина не меняет общую финансовую картину, но требует объяснения состава и редакций данных. Несогласованность открытых таблиц не доказывает недофинансирования, нецелевого расходования или финансового нарушения. Для оценки исполнения потребовались бы бюджетные и контрактные документы.</w:t>
      </w:r>
      <w:r>
        <w:rPr>
          <w:rStyle w:val="FootnoteReference"/>
          <w:rFonts w:ascii="Times New Roman" w:hAnsi="Times New Roman" w:eastAsia="Times New Roman" w:cs="Times New Roman"/>
          <w:color w:val="000000"/>
          <w:sz w:val="20"/>
          <w:szCs w:val="20"/>
          <w:lang w:val="ru-RU"/>
        </w:rPr>
        <w:footnoteReference w:id="77"/>
      </w:r>
    </w:p>
    <w:p>
      <w:r>
        <w:rPr>
          <w:rFonts w:ascii="Times New Roman" w:hAnsi="Times New Roman" w:eastAsia="Times New Roman" w:cs="Times New Roman"/>
          <w:color w:val="000000"/>
          <w:lang w:val="ru-RU"/>
        </w:rPr>
        <w:t xml:space="preserve">Отдельный источник – проект федерального бюджета на 2027–2029 гг. В пояснительной записке к законопроекту № 615-9 на национальный проект предложены 84,8015 млрд руб. в 2027 г., 147,0226 млрд руб. в 2028 г. и 126,4460 млрд руб. в 2029 г. Сопоставительная графа 2026 г. – 75,0131 млрд руб. – относится к сводной бюджетной росписи на 1 сентября 2026 г. По состоянию на 28 октября 2026 г. рассматриваемые величины используются как предложения законопроекта. Они не являются сведениями о фактических выплатах. В номинальном выражении предложение 2028 г. выше 2027 г. на 73,37%, а предложение 2029 г. ниже 2028 г. на 14,00%. Состав предложения приведён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tab_ep_budget_table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fig_ep_budget_profile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8</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r>
        <w:rPr>
          <w:rStyle w:val="FootnoteReference"/>
          <w:rFonts w:ascii="Times New Roman" w:hAnsi="Times New Roman" w:eastAsia="Times New Roman" w:cs="Times New Roman"/>
          <w:color w:val="000000"/>
          <w:sz w:val="20"/>
          <w:szCs w:val="20"/>
          <w:lang w:val="ru-RU"/>
        </w:rPr>
        <w:footnoteReference w:id="78"/>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0" w:name="tab_ep_budget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30"/>
      <w:r>
        <w:rPr>
          <w:rFonts w:ascii="Times New Roman" w:hAnsi="Times New Roman" w:eastAsia="Times New Roman" w:cs="Times New Roman"/>
          <w:color w:val="000000"/>
          <w:sz w:val="24"/>
          <w:szCs w:val="24"/>
          <w:lang w:val="ru-RU"/>
        </w:rPr>
        <w:t xml:space="preserve"> – Федеральные назначения 2026 года и предложения на 2027–2029 годы,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365"/>
        <w:gridCol w:w="1318"/>
        <w:gridCol w:w="1318"/>
        <w:gridCol w:w="1318"/>
        <w:gridCol w:w="1318"/>
      </w:tblGrid>
      <w:tr>
        <w:trPr>
          <w:cantSplit/>
          <w:tblHeader/>
        </w:trPr>
        <w:tc>
          <w:tcPr>
            <w:tcW w:type="dxa" w:w="436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131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2026 роспись</w:t>
            </w:r>
          </w:p>
        </w:tc>
        <w:tc>
          <w:tcPr>
            <w:tcW w:type="dxa" w:w="131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2027 проект</w:t>
            </w:r>
          </w:p>
        </w:tc>
        <w:tc>
          <w:tcPr>
            <w:tcW w:type="dxa" w:w="131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2028 проект</w:t>
            </w:r>
          </w:p>
        </w:tc>
        <w:tc>
          <w:tcPr>
            <w:tcW w:type="dxa" w:w="131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2029 проект</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Генеральная уборка</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16,267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15,938</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28,931</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21,438</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Экономика замкнутого цикла</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22,737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25,849</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51,117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43,483</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Биологическое разнообразие и экологический туризм</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4,236</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5,892</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9,480</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9,665</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Чистый воздух</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8,085</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6,670</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8,758</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10,886</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Вода России</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11,977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19,576</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31,619</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28,880</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Сохранение лесов</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11,710</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10,876</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17,117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12,094</w:t>
            </w:r>
          </w:p>
        </w:tc>
      </w:tr>
      <w:tr>
        <w:trPr>
          <w:cantSplit/>
        </w:trPr>
        <w:tc>
          <w:tcPr>
            <w:tcW w:type="dxa" w:w="436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Всего</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75,013</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84,802</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147,023</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126,446</w:t>
            </w:r>
          </w:p>
        </w:tc>
      </w:tr>
    </w:tbl>
    <w:p>
      <w:pPr>
        <w:pStyle w:val="SourceNote"/>
        <w:keepLines/>
        <w:spacing w:after="140"/>
      </w:pPr>
      <w:r>
        <w:rPr>
          <w:rFonts w:ascii="Times New Roman" w:hAnsi="Times New Roman" w:eastAsia="Times New Roman" w:cs="Times New Roman"/>
          <w:color w:val="000000"/>
          <w:sz w:val="22"/>
          <w:szCs w:val="22"/>
          <w:lang w:val="ru-RU"/>
        </w:rPr>
        <w:t>Млрд руб. Значения 2026 г. относятся к росписи на 01.09.2026. Значения для остальных лет представлены в законопроекте № 615-9. Суммы отдельных строк могут отличаться от опубликованного итога из-за округления. Название направления биологического разнообразия сокращено.</w:t>
      </w:r>
      <w:r>
        <w:rPr>
          <w:rStyle w:val="FootnoteReference"/>
          <w:rFonts w:ascii="Times New Roman" w:hAnsi="Times New Roman" w:eastAsia="Times New Roman" w:cs="Times New Roman"/>
          <w:color w:val="000000"/>
          <w:sz w:val="20"/>
          <w:szCs w:val="20"/>
          <w:lang w:val="ru-RU"/>
        </w:rPr>
        <w:footnoteReference w:id="79"/>
      </w:r>
    </w:p>
    <w:p>
      <w:pPr>
        <w:keepNext/>
        <w:spacing w:line="240" w:lineRule="auto" w:after="20" w:before="140"/>
        <w:ind w:firstLine="0"/>
        <w:jc w:val="center"/>
      </w:pPr>
      <w:r>
        <w:drawing>
          <wp:inline xmlns:a="http://schemas.openxmlformats.org/drawingml/2006/main" xmlns:pic="http://schemas.openxmlformats.org/drawingml/2006/picture">
            <wp:extent cx="5585871" cy="4319999"/>
            <wp:docPr id="8" name="Picture 8" descr="Предложения федерального бюджета по направлениям на 2027–2029 годы" title="Предложения федерального бюджета по направлениям на 2027–2029 годы"/>
            <wp:cNvGraphicFramePr>
              <a:graphicFrameLocks noChangeAspect="1"/>
            </wp:cNvGraphicFramePr>
            <a:graphic>
              <a:graphicData uri="http://schemas.openxmlformats.org/drawingml/2006/picture">
                <pic:pic>
                  <pic:nvPicPr>
                    <pic:cNvPr id="0" name="ep_budget_profile.png"/>
                    <pic:cNvPicPr/>
                  </pic:nvPicPr>
                  <pic:blipFill>
                    <a:blip r:embed="rId17"/>
                    <a:stretch>
                      <a:fillRect/>
                    </a:stretch>
                  </pic:blipFill>
                  <pic:spPr>
                    <a:xfrm>
                      <a:off x="0" y="0"/>
                      <a:ext cx="5585871" cy="431999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1" w:name="fig_ep_budget_profi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31"/>
      <w:r>
        <w:rPr>
          <w:rFonts w:ascii="Times New Roman" w:hAnsi="Times New Roman" w:eastAsia="Times New Roman" w:cs="Times New Roman"/>
          <w:color w:val="000000"/>
          <w:sz w:val="24"/>
          <w:szCs w:val="24"/>
          <w:lang w:val="ru-RU"/>
        </w:rPr>
        <w:t xml:space="preserve"> – Предложения федерального бюджета по направлениям на 2027–2029 годы</w:t>
      </w:r>
    </w:p>
    <w:p>
      <w:pPr>
        <w:pStyle w:val="SourceNote"/>
        <w:keepLines/>
        <w:spacing w:after="140"/>
      </w:pPr>
      <w:r>
        <w:rPr>
          <w:rFonts w:ascii="Times New Roman" w:hAnsi="Times New Roman" w:eastAsia="Times New Roman" w:cs="Times New Roman"/>
          <w:color w:val="000000"/>
          <w:sz w:val="22"/>
          <w:szCs w:val="22"/>
          <w:lang w:val="ru-RU"/>
        </w:rPr>
        <w:t>Млрд руб. Показаны суммы законопроекта. Утверждённые обязательства и исполнение не представлены.</w:t>
      </w:r>
      <w:r>
        <w:rPr>
          <w:rStyle w:val="FootnoteReference"/>
          <w:rFonts w:ascii="Times New Roman" w:hAnsi="Times New Roman" w:eastAsia="Times New Roman" w:cs="Times New Roman"/>
          <w:color w:val="000000"/>
          <w:sz w:val="20"/>
          <w:szCs w:val="20"/>
          <w:lang w:val="ru-RU"/>
        </w:rPr>
        <w:footnoteReference w:id="80"/>
      </w:r>
    </w:p>
    <w:p>
      <w:r>
        <w:rPr>
          <w:rFonts w:ascii="Times New Roman" w:hAnsi="Times New Roman" w:eastAsia="Times New Roman" w:cs="Times New Roman"/>
          <w:color w:val="000000"/>
          <w:lang w:val="ru-RU"/>
        </w:rPr>
        <w:t>Федеральные суммы в бюджетном предложении существенно отличаются от соответствующих граф открытой паспортной републикации. Например, для 2027 г. в ней указано 124,891 млрд руб., тогда как законопроект содержит 84,802 млрд руб. Расхождение требует согласования планов. Вычислить по нему размер необеспеченных обязательств нельзя: источники имеют разный правовой статус, бюджетный цикл и историю подготовки. При принятии управленческих решений должны быть раскрыты действующая версия потребности, принятые бюджетные назначения и последствия их расхождения для конкретного календаря работ.</w:t>
      </w:r>
      <w:r>
        <w:rPr>
          <w:rStyle w:val="FootnoteReference"/>
          <w:rFonts w:ascii="Times New Roman" w:hAnsi="Times New Roman" w:eastAsia="Times New Roman" w:cs="Times New Roman"/>
          <w:color w:val="000000"/>
          <w:sz w:val="20"/>
          <w:szCs w:val="20"/>
          <w:lang w:val="ru-RU"/>
        </w:rPr>
        <w:footnoteReference w:id="81"/>
      </w:r>
    </w:p>
    <w:p>
      <w:r>
        <w:rPr>
          <w:rFonts w:ascii="Times New Roman" w:hAnsi="Times New Roman" w:eastAsia="Times New Roman" w:cs="Times New Roman"/>
          <w:color w:val="000000"/>
          <w:lang w:val="ru-RU"/>
        </w:rPr>
        <w:t>Наиболее крупным федеральным направлением в проекте бюджета является экономика замкнутого цикла. Внутри неё особое значение имеет имущественный взнос Российскому экологическому оператору на организацию выпуска облигаций для финансирования инвестиционных проектов и выплату процентного, или купонного, дохода. На эту строку предложено 18,018 млрд руб. в 2027 г., 42,064 млрд руб. в 2028 г. и 37,376 млрд руб. в 2029 г. Указанные суммы составляют соответственно 69,70%, 82,29% и 85,95% федеральных средств направления. Высокая доля имущественного взноса требует прослеживать связь бюджетного инструмента с привлечёнными средствами, отбором объектов, сроками ввода и фактической работой мощностей. По структуре финансирования нельзя заключить, что вся сумма непосредственно оплачивает строительство либо полностью относится к процентным расходам.</w:t>
      </w:r>
      <w:r>
        <w:rPr>
          <w:rStyle w:val="FootnoteReference"/>
          <w:rFonts w:ascii="Times New Roman" w:hAnsi="Times New Roman" w:eastAsia="Times New Roman" w:cs="Times New Roman"/>
          <w:color w:val="000000"/>
          <w:sz w:val="20"/>
          <w:szCs w:val="20"/>
          <w:lang w:val="ru-RU"/>
        </w:rPr>
        <w:footnoteReference w:id="82"/>
      </w:r>
    </w:p>
    <w:p>
      <w:r>
        <w:rPr>
          <w:rFonts w:ascii="Times New Roman" w:hAnsi="Times New Roman" w:eastAsia="Times New Roman" w:cs="Times New Roman"/>
          <w:color w:val="000000"/>
          <w:lang w:val="ru-RU"/>
        </w:rPr>
        <w:t>При использовании облигационного финансирования и имущественных взносов необходимо исключить двойной счёт. Публичный вклад, привлечённое финансирование и стоимость одного инвестиционного объекта нельзя складывать, если они отражают движение одних и тех же ресурсов. Сопоставление эффективности должно учитывать стоимость инструмента для бюджета и обеспечиваемый им результат, а также риск задержки ввода и недостаточной загрузки. Для оценки необходима связь финансовой операции с определёнными объектами и подтверждёнными материальными потоками. Сведений об общей мощности планируемой совокупности объектов недостаточно.</w:t>
      </w:r>
    </w:p>
    <w:p>
      <w:r>
        <w:rPr>
          <w:rFonts w:ascii="Times New Roman" w:hAnsi="Times New Roman" w:eastAsia="Times New Roman" w:cs="Times New Roman"/>
          <w:color w:val="000000"/>
          <w:lang w:val="ru-RU"/>
        </w:rPr>
        <w:t>В «Генеральной уборке» в составе предложения на 2028 г. зарезервировано 14,286 млрд руб., на 2029 г. – 19,185 млрд руб. Зарезервированные суммы составляют 49,38% и 89,49% федеральных ассигнований направления соответственно. Резервирование представляет предусмотренный бюджетный механизм и не является само по себе признаком неисполнения. Большая доля резервирования и концентрация завершений объектов в конце периода требуют проверки условий распределения средств: готовности обследований, проектных решений, экспертизы, земельных вопросов и безопасного обращения с извлекаемыми отходами. В мониторинге требуется отдельно показывать зарезервированную сумму, распределение по объектам и заключённые обязательства.</w:t>
      </w:r>
      <w:r>
        <w:rPr>
          <w:rStyle w:val="FootnoteReference"/>
          <w:rFonts w:ascii="Times New Roman" w:hAnsi="Times New Roman" w:eastAsia="Times New Roman" w:cs="Times New Roman"/>
          <w:color w:val="000000"/>
          <w:sz w:val="20"/>
          <w:szCs w:val="20"/>
          <w:lang w:val="ru-RU"/>
        </w:rPr>
        <w:footnoteReference w:id="83"/>
      </w:r>
    </w:p>
    <w:p>
      <w:r>
        <w:rPr>
          <w:rFonts w:ascii="Times New Roman" w:hAnsi="Times New Roman" w:eastAsia="Times New Roman" w:cs="Times New Roman"/>
          <w:color w:val="000000"/>
          <w:lang w:val="ru-RU"/>
        </w:rPr>
        <w:t>В направлении биологического разнообразия на создание и развитие инфраструктуры экологического туризма предложены 3,134 млрд руб. в 2027 г., 6,071 млрд руб. в 2028 г. и 6,195 млрд руб. в 2029 г. Доля этой строки составляет 53,18%, 64,04% и 64,10% федеральных сумм направления. При указанной доле туристических инвестиций необходимо проверять соблюдение природоохранных условий. Строка сохранения и восстановления популяций редких животных – 315,0, 376,2 и 315,0 млн руб. – не исчерпывает все расходы на охрану природы: в проекте отдельно предусмотрены охрана, противопожарные и другие мероприятия. Поэтому соотношение двух строк нельзя представлять как полное соотношение финансирования туризма и сохранения биоразнообразия.</w:t>
      </w:r>
      <w:r>
        <w:rPr>
          <w:rStyle w:val="FootnoteReference"/>
          <w:rFonts w:ascii="Times New Roman" w:hAnsi="Times New Roman" w:eastAsia="Times New Roman" w:cs="Times New Roman"/>
          <w:color w:val="000000"/>
          <w:sz w:val="20"/>
          <w:szCs w:val="20"/>
          <w:lang w:val="ru-RU"/>
        </w:rPr>
        <w:footnoteReference w:id="84"/>
      </w:r>
    </w:p>
    <w:p>
      <w:r>
        <w:rPr>
          <w:rFonts w:ascii="Times New Roman" w:hAnsi="Times New Roman" w:eastAsia="Times New Roman" w:cs="Times New Roman"/>
          <w:color w:val="000000"/>
          <w:lang w:val="ru-RU"/>
        </w:rPr>
        <w:t>В финансовой экспертизе следует также учитывать расходы после завершения капитальных работ. Очистным сооружениям требуются реагенты, энергия, персонал и обслуживание. Объектам обращения с отходами необходимы устойчивое поступление отходов и сбыт продукции. Восстановленные площадки требуют мониторинга, охраняемые территории – постоянной охраны. Источник первоначального вложения не удостоверяет обеспеченность этих расходов. При отборе предлагается подтверждать эксплуатационную модель и стоимость сохранения требуемого экологического результата, сопоставляя варианты за одинаковый период и при одинаковом качестве услуги.</w:t>
      </w:r>
    </w:p>
    <w:p>
      <w:pPr>
        <w:pStyle w:val="Heading1"/>
      </w:pPr>
      <w:bookmarkStart w:id="32" w:name="sec_018"/>
      <w:r>
        <w:rPr>
          <w:rFonts w:ascii="Times New Roman" w:hAnsi="Times New Roman" w:eastAsia="Times New Roman" w:cs="Times New Roman"/>
          <w:b/>
          <w:color w:val="000000"/>
          <w:sz w:val="28"/>
          <w:szCs w:val="28"/>
          <w:lang w:val="ru-RU"/>
        </w:rPr>
        <w:t>5 Связи мероприятий с показателями и анализ текстов</w:t>
      </w:r>
      <w:bookmarkEnd w:id="32"/>
    </w:p>
    <w:p>
      <w:pPr>
        <w:pStyle w:val="Heading2"/>
      </w:pPr>
      <w:bookmarkStart w:id="33" w:name="sec_019"/>
      <w:r>
        <w:rPr>
          <w:rFonts w:ascii="Times New Roman" w:hAnsi="Times New Roman" w:eastAsia="Times New Roman" w:cs="Times New Roman"/>
          <w:b/>
          <w:color w:val="000000"/>
          <w:sz w:val="28"/>
          <w:szCs w:val="28"/>
          <w:lang w:val="ru-RU"/>
        </w:rPr>
        <w:t>5.1 Методика анализа проектной логики и текстов</w:t>
      </w:r>
      <w:bookmarkEnd w:id="33"/>
    </w:p>
    <w:p>
      <w:r>
        <w:rPr>
          <w:rFonts w:ascii="Times New Roman" w:hAnsi="Times New Roman" w:eastAsia="Times New Roman" w:cs="Times New Roman"/>
          <w:color w:val="000000"/>
          <w:lang w:val="ru-RU"/>
        </w:rPr>
        <w:t>Текстовая экспертиза проверяет, насколько описание национального проекта позволяет проследить переход от предусмотренного мероприятия к экологическому результату. Для этого необходимо различать формально обозначенную принадлежность к задаче, сходство используемых слов и содержательно обоснованный механизм изменения среды. Первые два признака помогают находить сопоставимые элементы документации. Анализ механизма позволяет установить условия получения общественного результата. Его фактическое достижение требует самостоятельных наблюдений. Автоматический анализ используется совместно с чтением содержания, поскольку совпадение терминов не заменяет проверки смысла.</w:t>
      </w:r>
      <w:r>
        <w:rPr>
          <w:rStyle w:val="FootnoteReference"/>
          <w:rFonts w:ascii="Times New Roman" w:hAnsi="Times New Roman" w:eastAsia="Times New Roman" w:cs="Times New Roman"/>
          <w:color w:val="000000"/>
          <w:sz w:val="20"/>
          <w:szCs w:val="20"/>
          <w:lang w:val="ru-RU"/>
        </w:rPr>
        <w:footnoteReference w:id="85"/>
      </w:r>
    </w:p>
    <w:p>
      <w:r>
        <w:rPr>
          <w:rFonts w:ascii="Times New Roman" w:hAnsi="Times New Roman" w:eastAsia="Times New Roman" w:cs="Times New Roman"/>
          <w:color w:val="000000"/>
          <w:lang w:val="ru-RU"/>
        </w:rPr>
        <w:t>Сопоставимый корпус включает 98 электронных представлений паспортных сведений: 12 национальных и 86 федеральных документов, относящихся к 12 национальным проектам. Объём корпуса составляет 75 539 токенов, то есть лексических единиц, выделенных по единому правилу. Для экологического проекта исследованы семь документов общим объёмом 6 110 токенов. В их составе национальный уровень представлен 256 токенами, федеральные направления – 5 854. Открытая публикация всех семи документов датирована 16 октября 2026 г. Срез доступных материалов относится к 28 октября 2026 г. Для сравнительного исследования сформирована целевая совокупность. Сплошное обследование всех национальных проектов не проводилось.</w:t>
      </w:r>
      <w:r>
        <w:rPr>
          <w:rStyle w:val="FootnoteReference"/>
          <w:rFonts w:ascii="Times New Roman" w:hAnsi="Times New Roman" w:eastAsia="Times New Roman" w:cs="Times New Roman"/>
          <w:color w:val="000000"/>
          <w:sz w:val="20"/>
          <w:szCs w:val="20"/>
          <w:lang w:val="ru-RU"/>
        </w:rPr>
        <w:footnoteReference w:id="86"/>
      </w:r>
    </w:p>
    <w:p>
      <w:r>
        <w:rPr>
          <w:rFonts w:ascii="Times New Roman" w:hAnsi="Times New Roman" w:eastAsia="Times New Roman" w:cs="Times New Roman"/>
          <w:color w:val="000000"/>
          <w:lang w:val="ru-RU"/>
        </w:rPr>
        <w:t>Во всех документах отбираются одинаковые содержательные поля: цель, задачи, названия и характеристики результатов, названия показателей. Повторённый внутри документа фрагмент учитывается один раз. Служебные реквизиты, персональный состав участников, финансовые таблицы и календарные записи исключаются, поскольку они отвечают на иные вопросы и могли бы создавать искусственное сходство. При этом карточки результатов и показателей сохраняются как самостоятельные единицы структурного анализа: устранение повторов текста не означает отождествления показателей разных уровней.</w:t>
      </w:r>
    </w:p>
    <w:p>
      <w:r>
        <w:rPr>
          <w:rFonts w:ascii="Times New Roman" w:hAnsi="Times New Roman" w:eastAsia="Times New Roman" w:cs="Times New Roman"/>
          <w:color w:val="000000"/>
          <w:lang w:val="ru-RU"/>
        </w:rPr>
        <w:t>Отдельное значение имеет временной смысл формулировок. Названия паспортных результатов часто строятся как описание завершённого действия: проведены работы, создана система, приобретено оборудование. В плановом документе грамматическая форма завершённого действия обозначает ожидаемое конечное состояние и сама по себе не подтверждает исполнение. Поэтому текстовые упоминания не пересчитываются в число фактически достигнутых результатов. Для установления факта исполнения необходимы отчётный период, статус реализации и подтверждающее наблюдение. Лексическая модель также не различает строительство, начатое до проекта, и новое мероприятие, если их описания одинаковы. Временная принадлежность устанавливается отдельно по проектным и отчётным сведениям.</w:t>
      </w:r>
    </w:p>
    <w:p>
      <w:r>
        <w:rPr>
          <w:rFonts w:ascii="Times New Roman" w:hAnsi="Times New Roman" w:eastAsia="Times New Roman" w:cs="Times New Roman"/>
          <w:color w:val="000000"/>
          <w:lang w:val="ru-RU"/>
        </w:rPr>
        <w:t>Для лексической модели буквы приведены к нижнему регистру, «ё» заменена на «е», числа исключены. Удалены 120 служебных и общеупотребительных слов. Признаками выступают отдельные слова и пары соседних оставшихся слов. Пары не пересекают границы содержательных фрагментов. В базовой спецификации словоформы не объединяются. Вес признака определяется частотой в документе и обратной документной частотой по всему корпусу с логарифмическим сглаживанием:</w:t>
      </w:r>
      <w:r>
        <w:rPr>
          <w:rStyle w:val="FootnoteReference"/>
          <w:rFonts w:ascii="Times New Roman" w:hAnsi="Times New Roman" w:eastAsia="Times New Roman" w:cs="Times New Roman"/>
          <w:color w:val="000000"/>
          <w:sz w:val="20"/>
          <w:szCs w:val="20"/>
          <w:lang w:val="ru-RU"/>
        </w:rPr>
        <w:footnoteReference w:id="87"/>
      </w:r>
    </w:p>
    <w:p>
      <w:pPr>
        <w:pStyle w:val="EquationText"/>
        <w:spacing w:before="120" w:after="120"/>
      </w:pPr>
      <m:oMath>
        <m:sSub>
          <m:e>
            <m:r>
              <m:rPr>
                <m:sty m:val="p"/>
              </m:rPr>
              <m:t>w</m:t>
            </m:r>
          </m:e>
          <m:sub>
            <m:r>
              <m:rPr>
                <m:sty m:val="p"/>
              </m:rPr>
              <m:t>td</m:t>
            </m:r>
          </m:sub>
        </m:sSub>
        <m:r>
          <m:rPr>
            <m:sty m:val="p"/>
          </m:rPr>
          <m:t> = </m:t>
        </m:r>
        <m:d>
          <m:dPr>
            <m:begChr m:val="{"/>
            <m:endChr m:val=""/>
          </m:dPr>
          <m:e>
            <m:eqArr>
              <m:e>
                <m:r>
                  <m:rPr>
                    <m:sty m:val="p"/>
                  </m:rPr>
                  <m:t>(1 + ln </m:t>
                </m:r>
                <m:sSub>
                  <m:e>
                    <m:r>
                      <m:rPr>
                        <m:sty m:val="p"/>
                      </m:rPr>
                      <m:t>f</m:t>
                    </m:r>
                  </m:e>
                  <m:sub>
                    <m:r>
                      <m:rPr>
                        <m:sty m:val="p"/>
                      </m:rPr>
                      <m:t>td</m:t>
                    </m:r>
                  </m:sub>
                </m:sSub>
                <m:r>
                  <m:rPr>
                    <m:sty m:val="p"/>
                  </m:rPr>
                  <m:t>) · [ln </m:t>
                </m:r>
                <m:f>
                  <m:num>
                    <m:r>
                      <m:rPr>
                        <m:sty m:val="p"/>
                      </m:rPr>
                      <m:t>N + 1</m:t>
                    </m:r>
                  </m:num>
                  <m:den>
                    <m:sSub>
                      <m:e>
                        <m:r>
                          <m:rPr>
                            <m:sty m:val="p"/>
                          </m:rPr>
                          <m:t>df</m:t>
                        </m:r>
                      </m:e>
                      <m:sub>
                        <m:r>
                          <m:rPr>
                            <m:sty m:val="p"/>
                          </m:rPr>
                          <m:t>t</m:t>
                        </m:r>
                      </m:sub>
                    </m:sSub>
                    <m:r>
                      <m:rPr>
                        <m:sty m:val="p"/>
                      </m:rPr>
                      <m:t> + 1</m:t>
                    </m:r>
                  </m:den>
                </m:f>
                <m:r>
                  <m:rPr>
                    <m:sty m:val="p"/>
                  </m:rPr>
                  <m:t> + 1],   </m:t>
                </m:r>
                <m:sSub>
                  <m:e>
                    <m:r>
                      <m:rPr>
                        <m:sty m:val="p"/>
                      </m:rPr>
                      <m:t>f</m:t>
                    </m:r>
                  </m:e>
                  <m:sub>
                    <m:r>
                      <m:rPr>
                        <m:sty m:val="p"/>
                      </m:rPr>
                      <m:t>td</m:t>
                    </m:r>
                  </m:sub>
                </m:sSub>
                <m:r>
                  <m:rPr>
                    <m:sty m:val="p"/>
                  </m:rPr>
                  <m:t> &gt; 0;</m:t>
                </m:r>
              </m:e>
              <m:e>
                <m:r>
                  <m:rPr>
                    <m:sty m:val="p"/>
                  </m:rPr>
                  <m:t>0,   </m:t>
                </m:r>
                <m:sSub>
                  <m:e>
                    <m:r>
                      <m:rPr>
                        <m:sty m:val="p"/>
                      </m:rPr>
                      <m:t>f</m:t>
                    </m:r>
                  </m:e>
                  <m:sub>
                    <m:r>
                      <m:rPr>
                        <m:sty m:val="p"/>
                      </m:rPr>
                      <m:t>td</m:t>
                    </m:r>
                  </m:sub>
                </m:sSub>
                <m:r>
                  <m:rPr>
                    <m:sty m:val="p"/>
                  </m:rPr>
                  <m:t> = 0.</m:t>
                </m:r>
              </m:e>
            </m:eqArr>
          </m:e>
        </m:d>
      </m:oMath>
      <w:r>
        <w:rPr>
          <w:rFonts w:ascii="Times New Roman" w:hAnsi="Times New Roman" w:eastAsia="Times New Roman" w:cs="Times New Roman"/>
          <w:color w:val="000000"/>
          <w:sz w:val="24"/>
          <w:szCs w:val="24"/>
          <w:lang w:val="ru-RU"/>
        </w:rPr>
        <w:t xml:space="preserve">   (</w:t>
      </w:r>
      <w:bookmarkStart w:id="34" w:name="eq_el_tfidf"/>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34"/>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 xml:space="preserve">Здесь </w:t>
      </w:r>
      <w:r>
        <w:rPr>
          <w:rFonts w:ascii="Times New Roman" w:hAnsi="Times New Roman" w:eastAsia="Times New Roman" w:cs="Times New Roman"/>
          <w:color w:val="000000"/>
          <w:lang w:val="ru-RU"/>
        </w:rPr>
        <w:t>f</w:t>
      </w:r>
      <w:r>
        <w:rPr>
          <w:rFonts w:ascii="Times New Roman" w:hAnsi="Times New Roman" w:eastAsia="Times New Roman" w:cs="Times New Roman"/>
          <w:color w:val="000000"/>
          <w:vertAlign w:val="subscript"/>
          <w:lang w:val="ru-RU"/>
        </w:rPr>
        <w:t>td</w:t>
      </w:r>
      <w:r>
        <w:rPr>
          <w:rFonts w:ascii="Times New Roman" w:hAnsi="Times New Roman" w:eastAsia="Times New Roman" w:cs="Times New Roman"/>
          <w:color w:val="000000"/>
          <w:lang w:val="ru-RU"/>
        </w:rPr>
        <w:t xml:space="preserve"> – частота признака t в документе d, dfₜ – число документов с данным признаком, N = 98. Исключены признаки, встречающиеся более чем в 98% документов. Редкие признаки сохранены, ограничение размера словаря не применяется. В базовой модели получено 46 519 признаков. Каждый документный вектор нормируется по евклидовой длине. Профиль национального проекта представляет собой среднее его нормированных документных векторов с последующей повторной нормировкой. Нормирование ограничивает влияние объёма отдельных паспортов, однако зависимость от состава входящих документов сохраняется.</w:t>
      </w:r>
    </w:p>
    <w:p>
      <w:pPr>
        <w:pStyle w:val="EquationText"/>
        <w:spacing w:before="120" w:after="120"/>
      </w:pPr>
      <m:oMath>
        <m:r>
          <m:rPr>
            <m:sty m:val="p"/>
          </m:rPr>
          <m:t>cos(a, b) = </m:t>
        </m:r>
        <m:f>
          <m:num>
            <m:nary>
              <m:naryPr>
                <m:chr m:val="∑"/>
                <m:limLoc m:val="undOvr"/>
                <m:supHide m:val="1"/>
              </m:naryPr>
              <m:sub>
                <m:r>
                  <m:rPr>
                    <m:sty m:val="p"/>
                  </m:rPr>
                  <m:t>t</m:t>
                </m:r>
              </m:sub>
              <m:sup>
                <m:r>
                  <m:rPr>
                    <m:sty m:val="p"/>
                  </m:rPr>
                  <m:t/>
                </m:r>
              </m:sup>
              <m:e>
                <m:sSub>
                  <m:e>
                    <m:r>
                      <m:rPr>
                        <m:sty m:val="p"/>
                      </m:rPr>
                      <m:t>a</m:t>
                    </m:r>
                  </m:e>
                  <m:sub>
                    <m:r>
                      <m:rPr>
                        <m:sty m:val="p"/>
                      </m:rPr>
                      <m:t>t</m:t>
                    </m:r>
                  </m:sub>
                </m:sSub>
                <m:sSub>
                  <m:e>
                    <m:r>
                      <m:rPr>
                        <m:sty m:val="p"/>
                      </m:rPr>
                      <m:t>b</m:t>
                    </m:r>
                  </m:e>
                  <m:sub>
                    <m:r>
                      <m:rPr>
                        <m:sty m:val="p"/>
                      </m:rPr>
                      <m:t>t</m:t>
                    </m:r>
                  </m:sub>
                </m:sSub>
              </m:e>
            </m:nary>
          </m:num>
          <m:den>
            <m:rad>
              <m:radPr>
                <m:degHide m:val="1"/>
              </m:radPr>
              <m:deg/>
              <m:e>
                <m:nary>
                  <m:naryPr>
                    <m:chr m:val="∑"/>
                    <m:limLoc m:val="undOvr"/>
                    <m:supHide m:val="1"/>
                  </m:naryPr>
                  <m:sub>
                    <m:r>
                      <m:rPr>
                        <m:sty m:val="p"/>
                      </m:rPr>
                      <m:t>t</m:t>
                    </m:r>
                  </m:sub>
                  <m:sup>
                    <m:r>
                      <m:rPr>
                        <m:sty m:val="p"/>
                      </m:rPr>
                      <m:t/>
                    </m:r>
                  </m:sup>
                  <m:e>
                    <m:sSup>
                      <m:e>
                        <m:sSub>
                          <m:e>
                            <m:r>
                              <m:rPr>
                                <m:sty m:val="p"/>
                              </m:rPr>
                              <m:t>a</m:t>
                            </m:r>
                          </m:e>
                          <m:sub>
                            <m:r>
                              <m:rPr>
                                <m:sty m:val="p"/>
                              </m:rPr>
                              <m:t>t</m:t>
                            </m:r>
                          </m:sub>
                        </m:sSub>
                      </m:e>
                      <m:sup>
                        <m:r>
                          <m:rPr>
                            <m:sty m:val="p"/>
                          </m:rPr>
                          <m:t>2</m:t>
                        </m:r>
                      </m:sup>
                    </m:sSup>
                  </m:e>
                </m:nary>
              </m:e>
            </m:rad>
            <m:r>
              <m:rPr>
                <m:sty m:val="p"/>
              </m:rPr>
              <m:t> · </m:t>
            </m:r>
            <m:rad>
              <m:radPr>
                <m:degHide m:val="1"/>
              </m:radPr>
              <m:deg/>
              <m:e>
                <m:nary>
                  <m:naryPr>
                    <m:chr m:val="∑"/>
                    <m:limLoc m:val="undOvr"/>
                    <m:supHide m:val="1"/>
                  </m:naryPr>
                  <m:sub>
                    <m:r>
                      <m:rPr>
                        <m:sty m:val="p"/>
                      </m:rPr>
                      <m:t>t</m:t>
                    </m:r>
                  </m:sub>
                  <m:sup>
                    <m:r>
                      <m:rPr>
                        <m:sty m:val="p"/>
                      </m:rPr>
                      <m:t/>
                    </m:r>
                  </m:sup>
                  <m:e>
                    <m:sSup>
                      <m:e>
                        <m:sSub>
                          <m:e>
                            <m:r>
                              <m:rPr>
                                <m:sty m:val="p"/>
                              </m:rPr>
                              <m:t>b</m:t>
                            </m:r>
                          </m:e>
                          <m:sub>
                            <m:r>
                              <m:rPr>
                                <m:sty m:val="p"/>
                              </m:rPr>
                              <m:t>t</m:t>
                            </m:r>
                          </m:sub>
                        </m:sSub>
                      </m:e>
                      <m:sup>
                        <m:r>
                          <m:rPr>
                            <m:sty m:val="p"/>
                          </m:rPr>
                          <m:t>2</m:t>
                        </m:r>
                      </m:sup>
                    </m:sSup>
                  </m:e>
                </m:nary>
              </m:e>
            </m:rad>
          </m:den>
        </m:f>
      </m:oMath>
      <w:r>
        <w:rPr>
          <w:rFonts w:ascii="Times New Roman" w:hAnsi="Times New Roman" w:eastAsia="Times New Roman" w:cs="Times New Roman"/>
          <w:color w:val="000000"/>
          <w:sz w:val="24"/>
          <w:szCs w:val="24"/>
          <w:lang w:val="ru-RU"/>
        </w:rPr>
        <w:t xml:space="preserve">   (</w:t>
      </w:r>
      <w:bookmarkStart w:id="35" w:name="eq_el_cosin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35"/>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Косинусная близость принимает большие значения при совпадении взвешенных текстовых признаков. Коэффициент описывает тексты и не измеряет экологический эффект. Дополнительно применены тематические словари и шесть спецификаций проверки устойчивости. Поскольку корпус сформирован целевым отбором документов, коэффициенты описывают исследованную совокупность. Статистические интервалы для случайной выборки национальных проектов не рассчитываются.</w:t>
      </w:r>
    </w:p>
    <w:p>
      <w:pPr>
        <w:pStyle w:val="Heading2"/>
      </w:pPr>
      <w:bookmarkStart w:id="36" w:name="sec_020"/>
      <w:r>
        <w:rPr>
          <w:rFonts w:ascii="Times New Roman" w:hAnsi="Times New Roman" w:eastAsia="Times New Roman" w:cs="Times New Roman"/>
          <w:b/>
          <w:color w:val="000000"/>
          <w:sz w:val="28"/>
          <w:szCs w:val="28"/>
          <w:lang w:val="ru-RU"/>
        </w:rPr>
        <w:t>5.2 Прослеживаемость связей мероприятий и результатов</w:t>
      </w:r>
      <w:bookmarkEnd w:id="36"/>
    </w:p>
    <w:p>
      <w:r>
        <w:rPr>
          <w:rFonts w:ascii="Times New Roman" w:hAnsi="Times New Roman" w:eastAsia="Times New Roman" w:cs="Times New Roman"/>
          <w:color w:val="000000"/>
          <w:lang w:val="ru-RU"/>
        </w:rPr>
        <w:t xml:space="preserve">В экологическом блоке выделены 89 карточек результатов и 25 карточек показателей: семь национального и 18 федерального уровня. Все шесть федеральных направлений представлены результатами и показателями, но их число существенно различается. На «Экономику замкнутого цикла» приходится 28 карточек результатов, на «Чистый воздух» – 15, на остальные направления – от 11 до 12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tab_el_inventory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Количество карточек характеризует детализацию опубликованного описания. Оно не сопоставимо напрямую ни с затратами, ни с общественной значимостью направления.</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7" w:name="tab_el_inventor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37"/>
      <w:r>
        <w:rPr>
          <w:rFonts w:ascii="Times New Roman" w:hAnsi="Times New Roman" w:eastAsia="Times New Roman" w:cs="Times New Roman"/>
          <w:color w:val="000000"/>
          <w:sz w:val="24"/>
          <w:szCs w:val="24"/>
          <w:lang w:val="ru-RU"/>
        </w:rPr>
        <w:t xml:space="preserve"> – Состав материалов для анализа экологического национального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794"/>
        <w:gridCol w:w="4535"/>
        <w:gridCol w:w="1417"/>
        <w:gridCol w:w="1417"/>
        <w:gridCol w:w="1474"/>
      </w:tblGrid>
      <w:tr>
        <w:trPr>
          <w:cantSplit/>
          <w:tblHeader/>
        </w:trPr>
        <w:tc>
          <w:tcPr>
            <w:tcW w:type="dxa" w:w="794"/>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Код</w:t>
            </w:r>
          </w:p>
        </w:tc>
        <w:tc>
          <w:tcPr>
            <w:tcW w:type="dxa" w:w="4535"/>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Национальный или федеральный проект</w:t>
            </w:r>
          </w:p>
        </w:tc>
        <w:tc>
          <w:tcPr>
            <w:tcW w:type="dxa" w:w="1417"/>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Резуль­таты</w:t>
            </w:r>
          </w:p>
        </w:tc>
        <w:tc>
          <w:tcPr>
            <w:tcW w:type="dxa" w:w="1417"/>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Показа­тели</w:t>
            </w:r>
          </w:p>
        </w:tc>
        <w:tc>
          <w:tcPr>
            <w:tcW w:type="dxa" w:w="1474"/>
            <w:shd w:val="clear" w:fill="FFFFFF"/>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Записи влияния</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Национальный проект</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0</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0</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Ч1</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Генеральная уборка</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Ч2</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Экономика замкнутого цикла</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28</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60</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Ч3</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Сохранение биологического разнообразия и развитие экологического туризма</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11</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21</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Ч4</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Чистый воздух</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15</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35</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Ч5</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Вода России</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Ч6</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Сохранение лесов</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11</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11</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Всего</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7 электронных представлений</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89</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25</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151</w:t>
            </w:r>
          </w:p>
        </w:tc>
      </w:tr>
    </w:tbl>
    <w:p>
      <w:pPr>
        <w:pStyle w:val="SourceNote"/>
        <w:keepLines/>
        <w:spacing w:after="140"/>
      </w:pPr>
      <w:r>
        <w:rPr>
          <w:rFonts w:ascii="Times New Roman" w:hAnsi="Times New Roman" w:eastAsia="Times New Roman" w:cs="Times New Roman"/>
          <w:color w:val="000000"/>
          <w:sz w:val="22"/>
          <w:szCs w:val="22"/>
          <w:lang w:val="ru-RU"/>
        </w:rPr>
        <w:t>Подсчитаны карточки в доступных электронных представлениях. Одноимённые показатели национального и федерального уровней учитываются отдельно. Ноль в национальной строке обозначает отсутствие отдельных карточек результатов. Содержание проекта отражено в других полях.</w:t>
      </w:r>
      <w:r>
        <w:rPr>
          <w:rStyle w:val="FootnoteReference"/>
          <w:rFonts w:ascii="Times New Roman" w:hAnsi="Times New Roman" w:eastAsia="Times New Roman" w:cs="Times New Roman"/>
          <w:color w:val="000000"/>
          <w:sz w:val="20"/>
          <w:szCs w:val="20"/>
          <w:lang w:val="ru-RU"/>
        </w:rPr>
        <w:footnoteReference w:id="88"/>
      </w:r>
    </w:p>
    <w:p>
      <w:r>
        <w:rPr>
          <w:rFonts w:ascii="Times New Roman" w:hAnsi="Times New Roman" w:eastAsia="Times New Roman" w:cs="Times New Roman"/>
          <w:color w:val="000000"/>
          <w:lang w:val="ru-RU"/>
        </w:rPr>
        <w:t>В разделах о влиянии результатов обнаружена 151 запись. Во всех случаях отображаемая подпись повторяет название самого результата. Точных совпадений этой подписи с названием показателя назначения не обнаружено. По опубликованным сведениям невозможно восстановить матрицу, в которой каждому значению влияния соответствуют определённые результат и показатель. Суммировать эти значения как вклад мероприятий в показатели ненадёжно. Вывод относится к доступной публикации и не устанавливает отсутствие связей во внутренних системах. Практическое улучшение открытого представления состоит в указании конкретного показателя назначения вместе с результатом, единицей наблюдения и основанием связи.</w:t>
      </w:r>
    </w:p>
    <w:p>
      <w:r>
        <w:rPr>
          <w:rFonts w:ascii="Times New Roman" w:hAnsi="Times New Roman" w:eastAsia="Times New Roman" w:cs="Times New Roman"/>
          <w:color w:val="000000"/>
          <w:lang w:val="ru-RU"/>
        </w:rPr>
        <w:t>Связь через общую задачу даёт другой, более широкий набор соответствий. Внутри шести федеральных направлений возможны 287 пар «результат – показатель». Совпадение задачи сохраняет 157 пар. Для «Генеральной уборки», биоразнообразия и лесов все результаты и показатели соответствующего федерального направления объединены одной задачей. Поэтому принадлежность к задаче здесь вообще не отбирает связи. В замкнутом цикле остаются 44 пары из 112, в чистом воздухе – 18 из 60, в водном направлении – 16 из 36. Группировка по задачам облегчает поиск элементов документа. Однако формулировка широкой задачи не объясняет, какие мероприятия необходимы для изменения конкретного показателя и при каких условиях оно возможно.</w:t>
      </w:r>
    </w:p>
    <w:p>
      <w:r>
        <w:rPr>
          <w:rFonts w:ascii="Times New Roman" w:hAnsi="Times New Roman" w:eastAsia="Times New Roman" w:cs="Times New Roman"/>
          <w:color w:val="000000"/>
          <w:lang w:val="ru-RU"/>
        </w:rPr>
        <w:t xml:space="preserve">Предлагаемая реконструкция механизмов показана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fig_el_mechanisms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9</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Между выполненной работой и общественным результатом помещено наблюдаемое промежуточное состояние: остаточное загрязнение, фактическое использование вторичного сырья, концентрации веществ, нагрузка на водоём, устойчивость насаждений или состояние популяций. Изменения локализованы на разных территориях и различаются по продолжительности. Одно мероприятие может влиять на несколько результатов, а один результат – зависеть от нескольких мероприятий. Поэтому универсальное распределение эффекта пропорционально стоимости работ было бы необоснованным.</w:t>
      </w:r>
    </w:p>
    <w:p>
      <w:pPr>
        <w:keepNext/>
        <w:spacing w:line="240" w:lineRule="auto" w:after="20" w:before="140"/>
        <w:ind w:firstLine="0"/>
        <w:jc w:val="center"/>
      </w:pPr>
      <w:r>
        <w:drawing>
          <wp:inline xmlns:a="http://schemas.openxmlformats.org/drawingml/2006/main" xmlns:pic="http://schemas.openxmlformats.org/drawingml/2006/picture">
            <wp:extent cx="6120000" cy="5796771"/>
            <wp:docPr id="9" name="Picture 9" descr="Переходы от мероприятий национального проекта к экологическим и общественным результатам" title="Переходы от мероприятий национального проекта к экологическим и общественным результатам"/>
            <wp:cNvGraphicFramePr>
              <a:graphicFrameLocks noChangeAspect="1"/>
            </wp:cNvGraphicFramePr>
            <a:graphic>
              <a:graphicData uri="http://schemas.openxmlformats.org/drawingml/2006/picture">
                <pic:pic>
                  <pic:nvPicPr>
                    <pic:cNvPr id="0" name="el_mechanisms.png"/>
                    <pic:cNvPicPr/>
                  </pic:nvPicPr>
                  <pic:blipFill>
                    <a:blip r:embed="rId18"/>
                    <a:stretch>
                      <a:fillRect/>
                    </a:stretch>
                  </pic:blipFill>
                  <pic:spPr>
                    <a:xfrm>
                      <a:off x="0" y="0"/>
                      <a:ext cx="6120000" cy="579677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8" w:name="fig_el_mechanism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38"/>
      <w:r>
        <w:rPr>
          <w:rFonts w:ascii="Times New Roman" w:hAnsi="Times New Roman" w:eastAsia="Times New Roman" w:cs="Times New Roman"/>
          <w:color w:val="000000"/>
          <w:sz w:val="24"/>
          <w:szCs w:val="24"/>
          <w:lang w:val="ru-RU"/>
        </w:rPr>
        <w:t xml:space="preserve"> – Переходы от мероприятий национального проекта к экологическим и общественным результатам</w:t>
      </w:r>
    </w:p>
    <w:p>
      <w:pPr>
        <w:pStyle w:val="SourceNote"/>
        <w:keepLines/>
        <w:spacing w:after="140"/>
      </w:pPr>
      <w:r>
        <w:rPr>
          <w:rFonts w:ascii="Times New Roman" w:hAnsi="Times New Roman" w:eastAsia="Times New Roman" w:cs="Times New Roman"/>
          <w:color w:val="000000"/>
          <w:sz w:val="22"/>
          <w:szCs w:val="22"/>
          <w:lang w:val="ru-RU"/>
        </w:rPr>
        <w:t>Экспертная реконструкция механизмов. Стрелки обозначают проверяемые предположения. Их наличие и толщина не выражают измеренную силу причинного воздействия.</w:t>
      </w:r>
      <w:r>
        <w:rPr>
          <w:rStyle w:val="FootnoteReference"/>
          <w:rFonts w:ascii="Times New Roman" w:hAnsi="Times New Roman" w:eastAsia="Times New Roman" w:cs="Times New Roman"/>
          <w:color w:val="000000"/>
          <w:sz w:val="20"/>
          <w:szCs w:val="20"/>
          <w:lang w:val="ru-RU"/>
        </w:rPr>
        <w:footnoteReference w:id="89"/>
      </w:r>
    </w:p>
    <w:p>
      <w:r>
        <w:rPr>
          <w:rFonts w:ascii="Times New Roman" w:hAnsi="Times New Roman" w:eastAsia="Times New Roman" w:cs="Times New Roman"/>
          <w:color w:val="000000"/>
          <w:lang w:val="ru-RU"/>
        </w:rPr>
        <w:t>В проекте предусмотрены мероприятия, позволяющие проверять механизм получения экологического результата. В «Генеральной уборке» имеются обследование объектов накопленного вреда и оценка воздействия на жизнь и здоровье граждан для приоритизации ликвидации. В «Чистом воздухе» предусмотрены оценка влияния снижения выбросов на здоровье населения, модернизация наблюдательной сети, надзорных лабораторий и информационных систем. Наряду со строительством проект охватывает обследование и оценку воздействия. Экспертиза проверяет возможность связать результаты обследований с конкретным вмешательством и последующим изменением риска.</w:t>
      </w:r>
      <w:r>
        <w:rPr>
          <w:rStyle w:val="FootnoteReference"/>
          <w:rFonts w:ascii="Times New Roman" w:hAnsi="Times New Roman" w:eastAsia="Times New Roman" w:cs="Times New Roman"/>
          <w:color w:val="000000"/>
          <w:sz w:val="20"/>
          <w:szCs w:val="20"/>
          <w:lang w:val="ru-RU"/>
        </w:rPr>
        <w:footnoteReference w:id="90"/>
      </w:r>
    </w:p>
    <w:p>
      <w:r>
        <w:rPr>
          <w:rFonts w:ascii="Times New Roman" w:hAnsi="Times New Roman" w:eastAsia="Times New Roman" w:cs="Times New Roman"/>
          <w:color w:val="000000"/>
          <w:lang w:val="ru-RU"/>
        </w:rPr>
        <w:t>В «Воде России» выделены контроль нормативной очистки, инструментальное обследование выполненных водохозяйственных работ и завершение пусконаладочных работ под нагрузкой на очистных сооружениях. Предусмотрена проверка работы объекта после ввода. При последующей оценке необходимо установить, какие периоды эксплуатации охвачены, в каких режимах достигнут норматив и каким образом это отразилось на принимающем водном объекте. Иначе успешный краткий запуск и устойчивое качество очистки могут оказаться неразличимыми в итоговой оценке.</w:t>
      </w:r>
      <w:r>
        <w:rPr>
          <w:rStyle w:val="FootnoteReference"/>
          <w:rFonts w:ascii="Times New Roman" w:hAnsi="Times New Roman" w:eastAsia="Times New Roman" w:cs="Times New Roman"/>
          <w:color w:val="000000"/>
          <w:sz w:val="20"/>
          <w:szCs w:val="20"/>
          <w:lang w:val="ru-RU"/>
        </w:rPr>
        <w:footnoteReference w:id="91"/>
      </w:r>
    </w:p>
    <w:p>
      <w:r>
        <w:rPr>
          <w:rFonts w:ascii="Times New Roman" w:hAnsi="Times New Roman" w:eastAsia="Times New Roman" w:cs="Times New Roman"/>
          <w:color w:val="000000"/>
          <w:lang w:val="ru-RU"/>
        </w:rPr>
        <w:t>Лесное направление также не исчерпывается площадью посадок: предусмотрены уход за лесными культурами, семеноводство, лесопатологический мониторинг и показатель отнесения восстановленных площадей к землям, на которых расположены леса. Совершенствование заключается в согласовании этих наблюдений по участку и возрасту насаждений. В направлении сохранения биоразнообразия предусмотрены поддержка популяций, питомников и реабилитации, охрана природных комплексов и туристическая инфраструктура. Их совместная результативность требует проверки того, не сопровождается ли рост посещаемости ухудшением состояния сохраняемых объектов.</w:t>
      </w:r>
      <w:r>
        <w:rPr>
          <w:rStyle w:val="FootnoteReference"/>
          <w:rFonts w:ascii="Times New Roman" w:hAnsi="Times New Roman" w:eastAsia="Times New Roman" w:cs="Times New Roman"/>
          <w:color w:val="000000"/>
          <w:sz w:val="20"/>
          <w:szCs w:val="20"/>
          <w:lang w:val="ru-RU"/>
        </w:rPr>
        <w:footnoteReference w:id="92"/>
      </w:r>
    </w:p>
    <w:p>
      <w:r>
        <w:rPr>
          <w:rFonts w:ascii="Times New Roman" w:hAnsi="Times New Roman" w:eastAsia="Times New Roman" w:cs="Times New Roman"/>
          <w:color w:val="000000"/>
          <w:lang w:val="ru-RU"/>
        </w:rPr>
        <w:t>В направлении сохранения биоразнообразия необходимо согласовать показатели национального и федерального уровней. На национальном уровне в рассматриваемом представлении выделено число посетителей особо охраняемых природных территорий. На федеральном дополнительно учитывается охват редких объектов животного мира мероприятиями по восстановлению численности. Рост посещаемости, расширение охвата мерами и фактическое восстановление популяции являются разными событиями. Первые два могут быть зарегистрированы раньше третьего и не гарантируют его наступления. Экспертиза предлагает рассматривать их как взаимосвязанные, но не взаимозаменяемые основания: выполненная мера, состояние сохраняемого объекта и условия допустимого посещения. Раздельная оценка позволяет проверять совместимость туристической и природоохранной целей без заранее заданного вывода об их конфликте.</w:t>
      </w:r>
      <w:r>
        <w:rPr>
          <w:rStyle w:val="FootnoteReference"/>
          <w:rFonts w:ascii="Times New Roman" w:hAnsi="Times New Roman" w:eastAsia="Times New Roman" w:cs="Times New Roman"/>
          <w:color w:val="000000"/>
          <w:sz w:val="20"/>
          <w:szCs w:val="20"/>
          <w:lang w:val="ru-RU"/>
        </w:rPr>
        <w:footnoteReference w:id="93"/>
      </w:r>
    </w:p>
    <w:p>
      <w:r>
        <w:rPr>
          <w:rFonts w:ascii="Times New Roman" w:hAnsi="Times New Roman" w:eastAsia="Times New Roman" w:cs="Times New Roman"/>
          <w:color w:val="000000"/>
          <w:lang w:val="ru-RU"/>
        </w:rPr>
        <w:t>Для каждого существенного перехода рекомендуется кратко фиксировать ожидаемый механизм, территорию воздействия, получателей эффекта, время его появления и внешние условия. Сокращение выбросов следует сопоставлять с фоновыми источниками и погодой, результат водоочистки – с составом и режимом поступления стоков. Вовлечение сырья требует проверки его фактического использования, восстановление леса – последующего состояния участка. Запись о механизме должна дополнять существующие проектные и ведомственные сведения. Отдельная отчётность без связи с ними не требуется.</w:t>
      </w:r>
    </w:p>
    <w:p>
      <w:pPr>
        <w:pStyle w:val="Heading2"/>
      </w:pPr>
      <w:bookmarkStart w:id="39" w:name="sec_021"/>
      <w:r>
        <w:rPr>
          <w:rFonts w:ascii="Times New Roman" w:hAnsi="Times New Roman" w:eastAsia="Times New Roman" w:cs="Times New Roman"/>
          <w:b/>
          <w:color w:val="000000"/>
          <w:sz w:val="28"/>
          <w:szCs w:val="28"/>
          <w:lang w:val="ru-RU"/>
        </w:rPr>
        <w:t>5.3 Тематическая специализация и пределы автоматического сопоставления</w:t>
      </w:r>
      <w:bookmarkEnd w:id="39"/>
    </w:p>
    <w:p>
      <w:r>
        <w:rPr>
          <w:rFonts w:ascii="Times New Roman" w:hAnsi="Times New Roman" w:eastAsia="Times New Roman" w:cs="Times New Roman"/>
          <w:color w:val="000000"/>
          <w:lang w:val="ru-RU"/>
        </w:rPr>
        <w:t>Словарный анализ выделяет восемь тематических направлений: отходы и вторичные ресурсы, накопленный вред, воздух и выбросы, вода и стоки, леса и пожары, биоразнообразие и охраняемые территории, наблюдения и контроль, население и здоровье. Сопоставляются частоты на 1 000 токенов. В словари включены характерные основы слов и устойчивые сочетания. Совпадение внутри каждого словаря подсчитывается однократно. Между словарями пересечения допустимы: одно описание может относиться одновременно к водному объекту, контролю и населению. Поэтому значения не образуют распределение долей, сумма которого должна равняться 100%.</w:t>
      </w:r>
    </w:p>
    <w:p>
      <w:r>
        <w:rPr>
          <w:rFonts w:ascii="Times New Roman" w:hAnsi="Times New Roman" w:eastAsia="Times New Roman" w:cs="Times New Roman"/>
          <w:color w:val="000000"/>
          <w:lang w:val="ru-RU"/>
        </w:rPr>
        <w:t>Отраслевая специализация выражена отчётливо. Для «Экономики замкнутого цикла» частота словаря отходов достигает 88,1 совпадения на 1 000 токенов. В «Генеральной уборке» частота словаря накопленного вреда составляет 70,7, в «Чистом воздухе» частота словаря воздуха – 69,3. В водном и лесном направлениях соответствующие частоты составляют 136,6 и 146,0. В биоразнообразии частота профильного словаря равна 63,5. Различия частот показывают предметную специализацию текстов, но не устанавливают достаточность мероприятий по каждому направлению.</w:t>
      </w:r>
    </w:p>
    <w:p>
      <w:r>
        <w:rPr>
          <w:rFonts w:ascii="Times New Roman" w:hAnsi="Times New Roman" w:eastAsia="Times New Roman" w:cs="Times New Roman"/>
          <w:color w:val="000000"/>
          <w:lang w:val="ru-RU"/>
        </w:rPr>
        <w:t>Национальное представление соединяет несколько тематик, тогда как федеральные документы раскрывают отдельные механизмы. Различия тематического состава закономерны для проекта с шестью отраслевыми направлениями. Внутри федерального блока наибольшая попарная близость TF-IDF наблюдается между «Генеральной уборкой» и «Водой России» – 0,129. В обоих текстах используется лексика накопленного вреда, территорий и водных объектов. Содержательное основание совместной проверки также имеется: ликвидация загрязнённого объекта может влиять на состояние водоёма, если прослеживаются пути переноса загрязнения. Сам коэффициент не подтверждает, что эти пути действительно перекрыты.</w:t>
      </w:r>
    </w:p>
    <w:p>
      <w:pPr>
        <w:keepNext/>
        <w:spacing w:line="240" w:lineRule="auto" w:after="20" w:before="140"/>
        <w:ind w:firstLine="0"/>
        <w:jc w:val="center"/>
      </w:pPr>
      <w:r>
        <w:drawing>
          <wp:inline xmlns:a="http://schemas.openxmlformats.org/drawingml/2006/main" xmlns:pic="http://schemas.openxmlformats.org/drawingml/2006/picture">
            <wp:extent cx="6120000" cy="4031210"/>
            <wp:docPr id="10" name="Picture 10" descr="Тематическая специализация электронных представлений национального и федеральных проектов" title="Тематическая специализация электронных представлений национального и федеральных проектов"/>
            <wp:cNvGraphicFramePr>
              <a:graphicFrameLocks noChangeAspect="1"/>
            </wp:cNvGraphicFramePr>
            <a:graphic>
              <a:graphicData uri="http://schemas.openxmlformats.org/drawingml/2006/picture">
                <pic:pic>
                  <pic:nvPicPr>
                    <pic:cNvPr id="0" name="el_thematic_profile.png"/>
                    <pic:cNvPicPr/>
                  </pic:nvPicPr>
                  <pic:blipFill>
                    <a:blip r:embed="rId19"/>
                    <a:stretch>
                      <a:fillRect/>
                    </a:stretch>
                  </pic:blipFill>
                  <pic:spPr>
                    <a:xfrm>
                      <a:off x="0" y="0"/>
                      <a:ext cx="6120000" cy="403121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0" w:name="fig_el_thematic_profi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40"/>
      <w:r>
        <w:rPr>
          <w:rFonts w:ascii="Times New Roman" w:hAnsi="Times New Roman" w:eastAsia="Times New Roman" w:cs="Times New Roman"/>
          <w:color w:val="000000"/>
          <w:sz w:val="24"/>
          <w:szCs w:val="24"/>
          <w:lang w:val="ru-RU"/>
        </w:rPr>
        <w:t xml:space="preserve"> – Тематическая специализация электронных представлений национального и федеральных проектов</w:t>
      </w:r>
    </w:p>
    <w:p>
      <w:pPr>
        <w:pStyle w:val="SourceNote"/>
        <w:keepLines/>
        <w:spacing w:after="140"/>
      </w:pPr>
      <w:r>
        <w:rPr>
          <w:rFonts w:ascii="Times New Roman" w:hAnsi="Times New Roman" w:eastAsia="Times New Roman" w:cs="Times New Roman"/>
          <w:color w:val="000000"/>
          <w:sz w:val="22"/>
          <w:szCs w:val="22"/>
          <w:lang w:val="ru-RU"/>
        </w:rPr>
        <w:t>Частоты восьми словарей на 1 000 токенов. Длина текстов нормирована. Словари не являются взаимоисключающими. Нуль означает отсутствие совпадения с выбранными формами слов. Наличие соответствующей деятельности по нему не определяется.</w:t>
      </w:r>
      <w:r>
        <w:rPr>
          <w:rStyle w:val="FootnoteReference"/>
          <w:rFonts w:ascii="Times New Roman" w:hAnsi="Times New Roman" w:eastAsia="Times New Roman" w:cs="Times New Roman"/>
          <w:color w:val="000000"/>
          <w:sz w:val="20"/>
          <w:szCs w:val="20"/>
          <w:lang w:val="ru-RU"/>
        </w:rPr>
        <w:footnoteReference w:id="94"/>
      </w:r>
    </w:p>
    <w:p>
      <w:r>
        <w:rPr>
          <w:rFonts w:ascii="Times New Roman" w:hAnsi="Times New Roman" w:eastAsia="Times New Roman" w:cs="Times New Roman"/>
          <w:color w:val="000000"/>
          <w:lang w:val="ru-RU"/>
        </w:rPr>
        <w:t>Наблюдения и контроль наиболее заметны в «Чистом воздухе» – 28,4 совпадения на 1 000 токенов, лесном направлении – 20,2 и водном – 15,8. В первом случае это согласуется с предусмотренными наблюдательной сетью, лабораториями и ФГИС состояния окружающей среды. Однако частота слова «контроль» не характеризует качество измерений, пространственную представительность постов или полноту передачи данных. Аналогично небольшое число слов о населении в техническом описании лесовосстановления не доказывает отсутствия пользы для жителей. Лексический профиль указывает, какие вопросы следует дополнительно раскрыть содержательно.</w:t>
      </w:r>
    </w:p>
    <w:p>
      <w:r>
        <w:rPr>
          <w:rFonts w:ascii="Times New Roman" w:hAnsi="Times New Roman" w:eastAsia="Times New Roman" w:cs="Times New Roman"/>
          <w:color w:val="000000"/>
          <w:lang w:val="ru-RU"/>
        </w:rPr>
        <w:t>Границы федеральных проектов не полностью совпадают с границами природных компонентов. Например, в «Чистый воздух» включены общесистемный экологический мониторинг и наблюдения на Байкальской природной территории, охватывающие атмосферу и другие компоненты среды. Поэтому название федерального проекта не всегда позволяет определить конечного пользователя создаваемой системы или весь круг экологических результатов. При интерпретации расходов также следует учитывать, что финансирование общих наблюдений внутри одного направления может обеспечивать несколько задач. Для предметной оценки полезно отдельно показывать собственно природоохранное вмешательство и общую обеспечивающую функцию, сохраняя связь между ними.</w:t>
      </w:r>
      <w:r>
        <w:rPr>
          <w:rStyle w:val="FootnoteReference"/>
          <w:rFonts w:ascii="Times New Roman" w:hAnsi="Times New Roman" w:eastAsia="Times New Roman" w:cs="Times New Roman"/>
          <w:color w:val="000000"/>
          <w:sz w:val="20"/>
          <w:szCs w:val="20"/>
          <w:lang w:val="ru-RU"/>
        </w:rPr>
        <w:footnoteReference w:id="95"/>
      </w:r>
    </w:p>
    <w:p>
      <w:r>
        <w:rPr>
          <w:rFonts w:ascii="Times New Roman" w:hAnsi="Times New Roman" w:eastAsia="Times New Roman" w:cs="Times New Roman"/>
          <w:color w:val="000000"/>
          <w:lang w:val="ru-RU"/>
        </w:rPr>
        <w:t xml:space="preserve">Для детальной проверки выбран федеральный проект «Чистый воздух»: 15 результатов и четыре показателя дают компактную матрицу из 60 пар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fig_el_air_matrix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11</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Результаты включают мероприятия предприятий, теплоснабжение, перевод индивидуального отопления, мониторинг, методическую работу и оценку влияния на здоровье. В матрице цвет показывает косинусную близость текста результата и названия показателя, а точка – принадлежность одной паспортной задаче. Лексическая близость и принадлежность к одной задаче представлены раздельно, поскольку они характеризуют разные виды соответствия.</w:t>
      </w:r>
      <w:r>
        <w:rPr>
          <w:rStyle w:val="FootnoteReference"/>
          <w:rFonts w:ascii="Times New Roman" w:hAnsi="Times New Roman" w:eastAsia="Times New Roman" w:cs="Times New Roman"/>
          <w:color w:val="000000"/>
          <w:sz w:val="20"/>
          <w:szCs w:val="20"/>
          <w:lang w:val="ru-RU"/>
        </w:rPr>
        <w:footnoteReference w:id="96"/>
      </w:r>
    </w:p>
    <w:p>
      <w:pPr>
        <w:keepNext/>
        <w:spacing w:line="240" w:lineRule="auto" w:after="20" w:before="140"/>
        <w:ind w:firstLine="0"/>
        <w:jc w:val="center"/>
      </w:pPr>
      <w:r>
        <w:drawing>
          <wp:inline xmlns:a="http://schemas.openxmlformats.org/drawingml/2006/main" xmlns:pic="http://schemas.openxmlformats.org/drawingml/2006/picture">
            <wp:extent cx="6120000" cy="5616861"/>
            <wp:docPr id="11" name="Picture 11" descr="Лексическая близость результатов и показателей федерального проекта Чистый воздух" title="Лексическая близость результатов и показателей федерального проекта Чистый воздух"/>
            <wp:cNvGraphicFramePr>
              <a:graphicFrameLocks noChangeAspect="1"/>
            </wp:cNvGraphicFramePr>
            <a:graphic>
              <a:graphicData uri="http://schemas.openxmlformats.org/drawingml/2006/picture">
                <pic:pic>
                  <pic:nvPicPr>
                    <pic:cNvPr id="0" name="el_air_matrix.png"/>
                    <pic:cNvPicPr/>
                  </pic:nvPicPr>
                  <pic:blipFill>
                    <a:blip r:embed="rId20"/>
                    <a:stretch>
                      <a:fillRect/>
                    </a:stretch>
                  </pic:blipFill>
                  <pic:spPr>
                    <a:xfrm>
                      <a:off x="0" y="0"/>
                      <a:ext cx="6120000" cy="561686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1" w:name="fig_el_air_matrix"/>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11</w:t>
      </w:r>
      <w:r>
        <w:rPr>
          <w:rFonts w:ascii="Times New Roman" w:hAnsi="Times New Roman" w:eastAsia="Times New Roman" w:cs="Times New Roman"/>
          <w:color w:val="000000"/>
          <w:sz w:val="24"/>
          <w:szCs w:val="24"/>
          <w:lang w:val="ru-RU"/>
        </w:rPr>
        <w:fldChar w:fldCharType="end"/>
      </w:r>
      <w:bookmarkEnd w:id="41"/>
      <w:r>
        <w:rPr>
          <w:rFonts w:ascii="Times New Roman" w:hAnsi="Times New Roman" w:eastAsia="Times New Roman" w:cs="Times New Roman"/>
          <w:color w:val="000000"/>
          <w:sz w:val="24"/>
          <w:szCs w:val="24"/>
          <w:lang w:val="ru-RU"/>
        </w:rPr>
        <w:t xml:space="preserve"> – Лексическая близость результатов и показателей федерального проекта «Чистый воздух»</w:t>
      </w:r>
    </w:p>
    <w:p>
      <w:pPr>
        <w:pStyle w:val="SourceNote"/>
        <w:keepLines/>
        <w:spacing w:after="140"/>
      </w:pPr>
      <w:r>
        <w:rPr>
          <w:rFonts w:ascii="Times New Roman" w:hAnsi="Times New Roman" w:eastAsia="Times New Roman" w:cs="Times New Roman"/>
          <w:color w:val="000000"/>
          <w:sz w:val="22"/>
          <w:szCs w:val="22"/>
          <w:lang w:val="ru-RU"/>
        </w:rPr>
        <w:t>Подписи сокращены. П1–П4 раскрыты в тексте. Точка обозначает общую задачу. Цвет не доказывает влияния. Округление до 0,01 допускает малые положительные значения, показанные как 0,00. Числа исключены из текстовых признаков, поэтому показатели для 12 и 29 городов имеют одинаковые векторы. Их территориальные совокупности различаются.</w:t>
      </w:r>
      <w:r>
        <w:rPr>
          <w:rStyle w:val="FootnoteReference"/>
          <w:rFonts w:ascii="Times New Roman" w:hAnsi="Times New Roman" w:eastAsia="Times New Roman" w:cs="Times New Roman"/>
          <w:color w:val="000000"/>
          <w:sz w:val="20"/>
          <w:szCs w:val="20"/>
          <w:lang w:val="ru-RU"/>
        </w:rPr>
        <w:footnoteReference w:id="97"/>
      </w:r>
    </w:p>
    <w:p>
      <w:r>
        <w:rPr>
          <w:rFonts w:ascii="Times New Roman" w:hAnsi="Times New Roman" w:eastAsia="Times New Roman" w:cs="Times New Roman"/>
          <w:color w:val="000000"/>
          <w:lang w:val="ru-RU"/>
        </w:rPr>
        <w:t>П1 обозначает снижение выбросов в 12 городах. П2 – численность населения, качество жизни которого улучшится при сокращении выбросов в 29 городах. П3 – снижение выбросов в 29 городах. П4 – долю доступной населению информации по направлениям экологического мониторинга. Подписи результатов сокращены только для размещения на рисунке. Наблюдаемый диапазон близости невысок: например, мероприятия предприятий дают 0,311 с показателями выбросов, центральное теплоснабжение – 0,308. Коэффициенты не имеют самостоятельного порога «достаточной» связи и не должны превращаться в баллы результативности.</w:t>
      </w:r>
    </w:p>
    <w:p>
      <w:r>
        <w:rPr>
          <w:rFonts w:ascii="Times New Roman" w:hAnsi="Times New Roman" w:eastAsia="Times New Roman" w:cs="Times New Roman"/>
          <w:color w:val="000000"/>
          <w:lang w:val="ru-RU"/>
        </w:rPr>
        <w:t>Ограничение модели обнаруживается при сопоставлении названий П1 и П3: они различаются прежде всего числом городов. После исключения числовых токенов их текстовые векторы совпадают, поэтому оба столбца матрицы полностью одинаковы. Между тем территориальные совокупности этих показателей различаются, а задача у П1 и П3 в публикации указана разная. При исключении чисел лексический расчёт не отражает различий территориального охвата. Для сопоставления результатов и показателей необходимо отдельно сохранять состав городов, период и базовый уровень. Сходство названий не позволяет установить эти сведения.</w:t>
      </w:r>
    </w:p>
    <w:p>
      <w:r>
        <w:rPr>
          <w:rFonts w:ascii="Times New Roman" w:hAnsi="Times New Roman" w:eastAsia="Times New Roman" w:cs="Times New Roman"/>
          <w:color w:val="000000"/>
          <w:lang w:val="ru-RU"/>
        </w:rPr>
        <w:t>Обратный пример – подготовка электросетей для перевода домовладений на электроотопление. Она может иметь небольшую близость к названию показателя выбросов, поскольку описывает обеспечивающую инфраструктуру. Но содержательный механизм понятен: без достаточной мощности сети фактическая смена отопления невозможна. Его проверка требует сведений о подключении, устойчивом использовании нового способа отопления и изменении выбросов. Светлая клетка не доказывает ненужности мероприятия. Для оценки его роли семантический анализ следует дополнить рассмотрением условий реализации.</w:t>
      </w:r>
    </w:p>
    <w:p>
      <w:pPr>
        <w:pStyle w:val="Heading2"/>
      </w:pPr>
      <w:bookmarkStart w:id="42" w:name="sec_022"/>
      <w:r>
        <w:rPr>
          <w:rFonts w:ascii="Times New Roman" w:hAnsi="Times New Roman" w:eastAsia="Times New Roman" w:cs="Times New Roman"/>
          <w:b/>
          <w:color w:val="000000"/>
          <w:sz w:val="28"/>
          <w:szCs w:val="28"/>
          <w:lang w:val="ru-RU"/>
        </w:rPr>
        <w:t>5.4 Межпроектные связи и лексическая близость</w:t>
      </w:r>
      <w:bookmarkEnd w:id="42"/>
    </w:p>
    <w:p>
      <w:r>
        <w:rPr>
          <w:rFonts w:ascii="Times New Roman" w:hAnsi="Times New Roman" w:eastAsia="Times New Roman" w:cs="Times New Roman"/>
          <w:color w:val="000000"/>
          <w:lang w:val="ru-RU"/>
        </w:rPr>
        <w:t>В агрегированном текстовом профиле экологического проекта наибольшие веса имеют слова и сочетания, связанные с окружающей средой, отходами, накопленным вредом, опасными веществами и водными объектами. Значимы также общие для проектной документации слова об объектах, территориях и мероприятиях. Поэтому близость к другим проектам необходимо разбирать по составляющим: она может отражать общую предметную область, общую управленческую инфраструктуру или привычную форму описания работ.</w:t>
      </w:r>
    </w:p>
    <w:p>
      <w:r>
        <w:rPr>
          <w:rFonts w:ascii="Times New Roman" w:hAnsi="Times New Roman" w:eastAsia="Times New Roman" w:cs="Times New Roman"/>
          <w:color w:val="000000"/>
          <w:lang w:val="ru-RU"/>
        </w:rPr>
        <w:t xml:space="preserve">В базовой модели ближайшим из 11 сопоставляемых проектов является «Инфраструктура для жизни» с коэффициентом 0,129. Далее следуют «Экономика данных и цифровая трансформация государства» – 0,115, «Молодёжь и дети» – 0,106 и «Эффективная и конкурентная экономика» – 0,098. Значения для «Продолжительной и активной жизни» и «Туризма и гостеприимства» составляют 0,086 и 0,083. Порядок и изменение коэффициентов при объединении словоформ представлены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fig_el_peer_similarity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p>
    <w:p>
      <w:pPr>
        <w:keepNext/>
        <w:spacing w:line="240" w:lineRule="auto" w:after="20" w:before="140"/>
        <w:ind w:firstLine="0"/>
        <w:jc w:val="center"/>
      </w:pPr>
      <w:r>
        <w:drawing>
          <wp:inline xmlns:a="http://schemas.openxmlformats.org/drawingml/2006/main" xmlns:pic="http://schemas.openxmlformats.org/drawingml/2006/picture">
            <wp:extent cx="6120000" cy="5003946"/>
            <wp:docPr id="12" name="Picture 12" descr="Межпроектная лексическая близость экологического национального проекта" title="Межпроектная лексическая близость экологического национального проекта"/>
            <wp:cNvGraphicFramePr>
              <a:graphicFrameLocks noChangeAspect="1"/>
            </wp:cNvGraphicFramePr>
            <a:graphic>
              <a:graphicData uri="http://schemas.openxmlformats.org/drawingml/2006/picture">
                <pic:pic>
                  <pic:nvPicPr>
                    <pic:cNvPr id="0" name="el_peer_similarity.png"/>
                    <pic:cNvPicPr/>
                  </pic:nvPicPr>
                  <pic:blipFill>
                    <a:blip r:embed="rId21"/>
                    <a:stretch>
                      <a:fillRect/>
                    </a:stretch>
                  </pic:blipFill>
                  <pic:spPr>
                    <a:xfrm>
                      <a:off x="0" y="0"/>
                      <a:ext cx="6120000" cy="5003946"/>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3" w:name="fig_el_peer_similar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12</w:t>
      </w:r>
      <w:r>
        <w:rPr>
          <w:rFonts w:ascii="Times New Roman" w:hAnsi="Times New Roman" w:eastAsia="Times New Roman" w:cs="Times New Roman"/>
          <w:color w:val="000000"/>
          <w:sz w:val="24"/>
          <w:szCs w:val="24"/>
          <w:lang w:val="ru-RU"/>
        </w:rPr>
        <w:fldChar w:fldCharType="end"/>
      </w:r>
      <w:bookmarkEnd w:id="43"/>
      <w:r>
        <w:rPr>
          <w:rFonts w:ascii="Times New Roman" w:hAnsi="Times New Roman" w:eastAsia="Times New Roman" w:cs="Times New Roman"/>
          <w:color w:val="000000"/>
          <w:sz w:val="24"/>
          <w:szCs w:val="24"/>
          <w:lang w:val="ru-RU"/>
        </w:rPr>
        <w:t xml:space="preserve"> – Межпроектная лексическая близость экологического национального проекта</w:t>
      </w:r>
    </w:p>
    <w:p>
      <w:pPr>
        <w:pStyle w:val="SourceNote"/>
        <w:keepLines/>
        <w:spacing w:after="140"/>
      </w:pPr>
      <w:r>
        <w:rPr>
          <w:rFonts w:ascii="Times New Roman" w:hAnsi="Times New Roman" w:eastAsia="Times New Roman" w:cs="Times New Roman"/>
          <w:color w:val="000000"/>
          <w:sz w:val="22"/>
          <w:szCs w:val="22"/>
          <w:lang w:val="ru-RU"/>
        </w:rPr>
        <w:t>Порядок строк определён базовой моделью. Числовые подписи относятся к ней. Стемминг объединяет родственные словоформы. Коэффициенты характеризуют тексты. Они не измеряют распределение бюджета, силу координации или результативность.</w:t>
      </w:r>
      <w:r>
        <w:rPr>
          <w:rStyle w:val="FootnoteReference"/>
          <w:rFonts w:ascii="Times New Roman" w:hAnsi="Times New Roman" w:eastAsia="Times New Roman" w:cs="Times New Roman"/>
          <w:color w:val="000000"/>
          <w:sz w:val="20"/>
          <w:szCs w:val="20"/>
          <w:lang w:val="ru-RU"/>
        </w:rPr>
        <w:footnoteReference w:id="98"/>
      </w:r>
    </w:p>
    <w:p>
      <w:r>
        <w:rPr>
          <w:rFonts w:ascii="Times New Roman" w:hAnsi="Times New Roman" w:eastAsia="Times New Roman" w:cs="Times New Roman"/>
          <w:color w:val="000000"/>
          <w:lang w:val="ru-RU"/>
        </w:rPr>
        <w:t>Устойчивое первое место инфраструктурного проекта содержательно объяснимо. Вклад дают слова об объектах, среде, строительстве, территориях и коммунальном хозяйстве. На уровне механизмов существенны сопряжение канализационных сетей с очистными сооружениями, отопительной инфраструктуры со снижением выбросов, застройки с обращением с отходами. Но общая предметная область не доказывает согласованного графика, совпадения зон обслуживания или отсутствия дублирования расходов. Проверять следует конкретные зависимости между объектами и режимами эксплуатации. Повышение коэффициента текстовой близости не является самостоятельной целью.</w:t>
      </w:r>
    </w:p>
    <w:p>
      <w:r>
        <w:rPr>
          <w:rFonts w:ascii="Times New Roman" w:hAnsi="Times New Roman" w:eastAsia="Times New Roman" w:cs="Times New Roman"/>
          <w:color w:val="000000"/>
          <w:lang w:val="ru-RU"/>
        </w:rPr>
        <w:t>Положение «Экономики данных» связано как с общей административной лексикой, так и с явно предусмотренными информационными механизмами экологического проекта. В «Чистом воздухе» описаны ФГИС состояния окружающей среды, интеграция с региональными системами, моделирование распространения концентраций, дистанционное зондирование и использование сведений граждан. Информационные механизмы образуют предмет совместной работы двух проектов. Оценке подлежат доступность наблюдений для решения экологических задач, совместимость определений и своевременность информации. Само наличие информационной системы и общий словарь данных не подтверждают улучшения качества среды.</w:t>
      </w:r>
      <w:r>
        <w:rPr>
          <w:rStyle w:val="FootnoteReference"/>
          <w:rFonts w:ascii="Times New Roman" w:hAnsi="Times New Roman" w:eastAsia="Times New Roman" w:cs="Times New Roman"/>
          <w:color w:val="000000"/>
          <w:sz w:val="20"/>
          <w:szCs w:val="20"/>
          <w:lang w:val="ru-RU"/>
        </w:rPr>
        <w:footnoteReference w:id="99"/>
      </w:r>
    </w:p>
    <w:p>
      <w:r>
        <w:rPr>
          <w:rFonts w:ascii="Times New Roman" w:hAnsi="Times New Roman" w:eastAsia="Times New Roman" w:cs="Times New Roman"/>
          <w:color w:val="000000"/>
          <w:lang w:val="ru-RU"/>
        </w:rPr>
        <w:t>Высокое положение «Молодёжи и детей» требует осторожной интерпретации: среди значимых общих признаков преобладают мероприятия, территории, создание объектов и формулы реализации. Экологическое просвещение действительно включено в проект, однако близость в ранжировании не позволяет считать его главным межпроектным механизмом. Аналогично шестое место туристического проекта не означает слабой содержательной связи с экологическим туризмом. В профиль всего национального проекта входят ещё пять федеральных направлений, поэтому отдельная связь с туризмом может слабее отражаться в среднем профиле.</w:t>
      </w:r>
    </w:p>
    <w:p>
      <w:r>
        <w:rPr>
          <w:rFonts w:ascii="Times New Roman" w:hAnsi="Times New Roman" w:eastAsia="Times New Roman" w:cs="Times New Roman"/>
          <w:color w:val="000000"/>
          <w:lang w:val="ru-RU"/>
        </w:rPr>
        <w:t>Для управленческой проверки приоритетны конкретные зависимости: между коммунальными сетями и очисткой, информационными системами и наблюдениями, производством и вторичным сырьём, туризмом и допустимой нагрузкой. Связи выбираются с учётом механизмов проекта. Одного лексического ранга для выбора недостаточно. Их проверка требует согласованных территорий, сроков и ответственных за совместный результат.</w:t>
      </w:r>
    </w:p>
    <w:p>
      <w:pPr>
        <w:pStyle w:val="Heading2"/>
      </w:pPr>
      <w:bookmarkStart w:id="44" w:name="sec_023"/>
      <w:r>
        <w:rPr>
          <w:rFonts w:ascii="Times New Roman" w:hAnsi="Times New Roman" w:eastAsia="Times New Roman" w:cs="Times New Roman"/>
          <w:b/>
          <w:color w:val="000000"/>
          <w:sz w:val="28"/>
          <w:szCs w:val="28"/>
          <w:lang w:val="ru-RU"/>
        </w:rPr>
        <w:t>5.5 Устойчивость результатов и условия их применения</w:t>
      </w:r>
      <w:bookmarkEnd w:id="44"/>
    </w:p>
    <w:p>
      <w:r>
        <w:rPr>
          <w:rFonts w:ascii="Times New Roman" w:hAnsi="Times New Roman" w:eastAsia="Times New Roman" w:cs="Times New Roman"/>
          <w:color w:val="000000"/>
          <w:lang w:val="ru-RU"/>
        </w:rPr>
        <w:t>Проверка устойчивости разделяет два класса допущений: способ представления языка и способ объединения документов. В первом случае сопоставлены базовая модель, объединение русских словоформ алгоритмом Snowball и использование только отдельных слов без пар. Во втором – среднее всех документных профилей, равный вес национального и совокупного федерального уровня, только федеральные и только национальные документы. Порядок 11 соседних проектов сравнивается с базовым по ранговой корреляции Спирмена.</w:t>
      </w:r>
      <w:r>
        <w:rPr>
          <w:rStyle w:val="FootnoteReference"/>
          <w:rFonts w:ascii="Times New Roman" w:hAnsi="Times New Roman" w:eastAsia="Times New Roman" w:cs="Times New Roman"/>
          <w:color w:val="000000"/>
          <w:sz w:val="20"/>
          <w:szCs w:val="20"/>
          <w:lang w:val="ru-RU"/>
        </w:rPr>
        <w:footnoteReference w:id="100"/>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5" w:name="tab_el_sensitiv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45"/>
      <w:r>
        <w:rPr>
          <w:rFonts w:ascii="Times New Roman" w:hAnsi="Times New Roman" w:eastAsia="Times New Roman" w:cs="Times New Roman"/>
          <w:color w:val="000000"/>
          <w:sz w:val="24"/>
          <w:szCs w:val="24"/>
          <w:lang w:val="ru-RU"/>
        </w:rPr>
        <w:t xml:space="preserve"> – Устойчивость межпроектного ранжирования к изменению модели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30" w:type="dxa"/>
          <w:left w:w="80" w:type="dxa"/>
          <w:bottom w:w="30" w:type="dxa"/>
          <w:right w:w="80" w:type="dxa"/>
        </w:tblCellMar>
        <w:tblLook w:firstColumn="1" w:firstRow="1" w:lastColumn="0" w:lastRow="0" w:noHBand="0" w:noVBand="1" w:val="04A0"/>
      </w:tblPr>
      <w:tblGrid>
        <w:gridCol w:w="3288"/>
        <w:gridCol w:w="1474"/>
        <w:gridCol w:w="1474"/>
        <w:gridCol w:w="3402"/>
      </w:tblGrid>
      <w:tr>
        <w:trPr>
          <w:cantSplit/>
          <w:tblHeader/>
        </w:trPr>
        <w:tc>
          <w:tcPr>
            <w:tcW w:type="dxa" w:w="328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Спецификация</w:t>
            </w:r>
          </w:p>
        </w:tc>
        <w:tc>
          <w:tcPr>
            <w:tcW w:type="dxa" w:w="147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Число</w:t>
              <w:br/>
              <w:t>признаков</w:t>
            </w:r>
          </w:p>
        </w:tc>
        <w:tc>
          <w:tcPr>
            <w:tcW w:type="dxa" w:w="147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Ранговая</w:t>
              <w:br/>
              <w:t>корреляция</w:t>
            </w:r>
          </w:p>
        </w:tc>
        <w:tc>
          <w:tcPr>
            <w:tcW w:type="dxa" w:w="3402"/>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Ближайший проект</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Базовая модель</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Объединение словоформ</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35 510</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0,982</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отдельные слова</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10 329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Равный вес двух уровней</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0,636</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федеральные документы</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0,991</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Только национальные документы</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0,300</w:t>
            </w:r>
          </w:p>
        </w:tc>
        <w:tc>
          <w:tcPr>
            <w:tcW w:type="dxa" w:w="3402"/>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bl>
    <w:p>
      <w:pPr>
        <w:pStyle w:val="SourceNote"/>
        <w:keepLines/>
        <w:spacing w:after="140"/>
      </w:pPr>
      <w:r>
        <w:rPr>
          <w:rFonts w:ascii="Times New Roman" w:hAnsi="Times New Roman" w:eastAsia="Times New Roman" w:cs="Times New Roman"/>
          <w:color w:val="000000"/>
          <w:sz w:val="22"/>
          <w:szCs w:val="22"/>
          <w:lang w:val="ru-RU"/>
        </w:rPr>
        <w:t>Корреляция Спирмена рассчитана для 11 сопоставляемых проектов относительно базового порядка. В вариантах изменения уровня используется тот же словарь, но иной состав агрегируемых профилей.</w:t>
      </w:r>
      <w:r>
        <w:rPr>
          <w:rStyle w:val="FootnoteReference"/>
          <w:rFonts w:ascii="Times New Roman" w:hAnsi="Times New Roman" w:eastAsia="Times New Roman" w:cs="Times New Roman"/>
          <w:color w:val="000000"/>
          <w:sz w:val="20"/>
          <w:szCs w:val="20"/>
          <w:lang w:val="ru-RU"/>
        </w:rPr>
        <w:footnoteReference w:id="101"/>
      </w:r>
    </w:p>
    <w:p>
      <w:r>
        <w:rPr>
          <w:rFonts w:ascii="Times New Roman" w:hAnsi="Times New Roman" w:eastAsia="Times New Roman" w:cs="Times New Roman"/>
          <w:color w:val="000000"/>
          <w:lang w:val="ru-RU"/>
        </w:rPr>
        <w:t>Первое место «Инфраструктуры для жизни» сохраняется во всех шести спецификациях. При стемминге ранговая корреляция составляет 0,982, а при переходе к отдельным словам – 1,000. Следовательно, положение инфраструктурного проекта не определяется случайным выбором окончаний или включением двухсловных сочетаний. При этом абсолютные коэффициенты при стемминге изменяются, поскольку объединяются ранее раздельные признаки. Рост коэффициента после объединения словоформ характеризует изменение представления языка. Усиление реальной координации по нему не устанавливается.</w:t>
      </w:r>
    </w:p>
    <w:p>
      <w:r>
        <w:rPr>
          <w:rFonts w:ascii="Times New Roman" w:hAnsi="Times New Roman" w:eastAsia="Times New Roman" w:cs="Times New Roman"/>
          <w:color w:val="000000"/>
          <w:lang w:val="ru-RU"/>
        </w:rPr>
        <w:t>Иной результат даёт изменение уровня обобщения. Равный вес национального и федерального уровня снижает корреляцию до 0,636. При использовании только федеральных документов она равна 0,991, а только национальных – 0,300. В последнем случае на второе место выходит «Транспорт», на третье – «Эффективная и конкурентная экономика». Краткие национальные формулировки концентрируют общие цели и задают другое сопоставление, чем подробные описания реализации. Результаты агрегирования зависят от уровня обобщения и не представляют единственной неизменной структуры связей.</w:t>
      </w:r>
    </w:p>
    <w:p>
      <w:r>
        <w:rPr>
          <w:rFonts w:ascii="Times New Roman" w:hAnsi="Times New Roman" w:eastAsia="Times New Roman" w:cs="Times New Roman"/>
          <w:color w:val="000000"/>
          <w:lang w:val="ru-RU"/>
        </w:rPr>
        <w:t>В экологическом проекте документы национального и федерального уровней различаются по объёму и назначению. Национальный текст содержит 256 токенов, тогда как один федеральный документ замкнутого цикла – 1 851. Нормировка ограничивает механическое преимущество длины, но не делает их содержания взаимозаменяемыми. В базовом среднем каждый из семи документных профилей получает одинаковый вес. В модели равных уровней короткое национальное изложение получает половину веса. Способы взвешивания соответствуют разным исследовательским вопросам. Расхождение результатов следует раскрывать. Выбор варианта по удобству полученного вывода необоснован.</w:t>
      </w:r>
    </w:p>
    <w:p>
      <w:r>
        <w:rPr>
          <w:rFonts w:ascii="Times New Roman" w:hAnsi="Times New Roman" w:eastAsia="Times New Roman" w:cs="Times New Roman"/>
          <w:color w:val="000000"/>
          <w:lang w:val="ru-RU"/>
        </w:rPr>
        <w:t>Словари и TF-IDF не учитывают автоматически отрицания, институциональные роли, состав территорий и временные лаги. Для применения к решениям требуется содержательное чтение этих характеристик и связь с наблюдениями реализации.</w:t>
      </w:r>
    </w:p>
    <w:p>
      <w:r>
        <w:rPr>
          <w:rFonts w:ascii="Times New Roman" w:hAnsi="Times New Roman" w:eastAsia="Times New Roman" w:cs="Times New Roman"/>
          <w:color w:val="000000"/>
          <w:lang w:val="ru-RU"/>
        </w:rPr>
        <w:t>Все шесть спецификаций используют один корпус. Их согласие показывает устойчивость результата к выбранным преобразованиям, но не устраняет общую зависимость от полноты описаний и административной терминологии. Поэтому внешняя проверка требует сопоставления с конкретными программами мероприятий, наблюдениями реализации и предметным знанием.</w:t>
      </w:r>
    </w:p>
    <w:p>
      <w:r>
        <w:rPr>
          <w:rFonts w:ascii="Times New Roman" w:hAnsi="Times New Roman" w:eastAsia="Times New Roman" w:cs="Times New Roman"/>
          <w:color w:val="000000"/>
          <w:lang w:val="ru-RU"/>
        </w:rPr>
        <w:t>Анализ механизмов получения результата необходимо связать с наблюдениями определённых объектов. У результата должны быть определены показатель назначения, территория, период, ожидаемый переход и способ его проверки. Доступная публикация должна позволять различить расчётную связь, наблюдаемое выполнение и оценённый дополнительный эффект. TF-IDF полезен для поиска неполных описаний, тематических пересечений и мест, требующих экспертного чтения.</w:t>
      </w:r>
    </w:p>
    <w:p>
      <w:pPr>
        <w:pStyle w:val="Heading1"/>
      </w:pPr>
      <w:bookmarkStart w:id="46" w:name="sec_024"/>
      <w:r>
        <w:rPr>
          <w:rFonts w:ascii="Times New Roman" w:hAnsi="Times New Roman" w:eastAsia="Times New Roman" w:cs="Times New Roman"/>
          <w:b/>
          <w:color w:val="000000"/>
          <w:sz w:val="28"/>
          <w:szCs w:val="28"/>
          <w:lang w:val="ru-RU"/>
        </w:rPr>
        <w:t>6 Экологические результаты: территория, потоки и устойчивость</w:t>
      </w:r>
      <w:bookmarkEnd w:id="46"/>
    </w:p>
    <w:p>
      <w:pPr>
        <w:pStyle w:val="Heading2"/>
      </w:pPr>
      <w:bookmarkStart w:id="47" w:name="sec_025"/>
      <w:r>
        <w:rPr>
          <w:rFonts w:ascii="Times New Roman" w:hAnsi="Times New Roman" w:eastAsia="Times New Roman" w:cs="Times New Roman"/>
          <w:b/>
          <w:color w:val="000000"/>
          <w:sz w:val="28"/>
          <w:szCs w:val="28"/>
          <w:lang w:val="ru-RU"/>
        </w:rPr>
        <w:t>6.1 Территория воздействия и распределение экологических выгод</w:t>
      </w:r>
      <w:bookmarkEnd w:id="47"/>
    </w:p>
    <w:p>
      <w:r>
        <w:rPr>
          <w:rFonts w:ascii="Times New Roman" w:hAnsi="Times New Roman" w:eastAsia="Times New Roman" w:cs="Times New Roman"/>
          <w:color w:val="000000"/>
          <w:lang w:val="ru-RU"/>
        </w:rPr>
        <w:t>Единица управления экологическим результатом должна учитывать распространение загрязнения и устройство экосистемы. Место капитальных затрат, источник воздействия и территория получения выгод могут не совпадать. Очистные сооружения действуют в пределах определённой системы водоотведения, тогда как улучшение состояния водоёма распространяется по водосбору. Сокращение выбросов связано с расположением источников, переносом примесей и размещением населения. Граница субъекта Федерации необходима для бюджетной ответственности, но не всегда достаточна для оценки результата.</w:t>
      </w:r>
    </w:p>
    <w:p>
      <w:r>
        <w:rPr>
          <w:rFonts w:ascii="Times New Roman" w:hAnsi="Times New Roman" w:eastAsia="Times New Roman" w:cs="Times New Roman"/>
          <w:color w:val="000000"/>
          <w:lang w:val="ru-RU"/>
        </w:rPr>
        <w:t>Предлагается связывать сведения о поддержанном объекте с зоной воздействия, контрольными точками и группами получателей. Для каждого участка следует указывать исходное состояние, приоритетные загрязняющие вещества или свойства экосистемы, ожидаемый механизм изменения и срок наблюдения. Сведения можно связывать в действующих информационных системах. Самостоятельная новая отчётность не нужна там, где требуемые сведения уже собираются и могут быть согласованы по идентификаторам.</w:t>
      </w:r>
    </w:p>
    <w:p>
      <w:r>
        <w:rPr>
          <w:rFonts w:ascii="Times New Roman" w:hAnsi="Times New Roman" w:eastAsia="Times New Roman" w:cs="Times New Roman"/>
          <w:color w:val="000000"/>
          <w:lang w:val="ru-RU"/>
        </w:rPr>
        <w:t>Для воздуха полезно дополнять объём выбросов распределением концентраций в местах проживания. Средневзвешенная по населению концентрация отдельного вещества может рассчитываться следующим образом:</w:t>
      </w:r>
    </w:p>
    <w:p>
      <w:pPr>
        <w:pStyle w:val="EquationText"/>
        <w:spacing w:before="120" w:after="120"/>
      </w:pPr>
      <m:oMath>
        <m:sSub>
          <m:e>
            <m:bar>
              <m:barPr>
                <m:pos m:val="top"/>
              </m:barPr>
              <m:e>
                <m:r>
                  <m:rPr>
                    <m:sty m:val="p"/>
                  </m:rPr>
                  <m:t>C</m:t>
                </m:r>
              </m:e>
            </m:bar>
          </m:e>
          <m:sub>
            <m:r>
              <m:rPr>
                <m:sty m:val="p"/>
              </m:rPr>
              <m:t>p</m:t>
            </m:r>
          </m:sub>
        </m:sSub>
        <m:r>
          <m:rPr>
            <m:sty m:val="p"/>
          </m:rPr>
          <m:t> = </m:t>
        </m:r>
        <m:f>
          <m:num>
            <m:nary>
              <m:naryPr>
                <m:chr m:val="∑"/>
                <m:limLoc m:val="undOvr"/>
                <m:supHide m:val="1"/>
              </m:naryPr>
              <m:sub>
                <m:r>
                  <m:rPr>
                    <m:sty m:val="p"/>
                  </m:rPr>
                  <m:t>i</m:t>
                </m:r>
              </m:sub>
              <m:sup>
                <m:r>
                  <m:rPr>
                    <m:sty m:val="p"/>
                  </m:rPr>
                  <m:t/>
                </m:r>
              </m:sup>
              <m:e>
                <m:sSub>
                  <m:e>
                    <m:r>
                      <m:rPr>
                        <m:sty m:val="p"/>
                      </m:rPr>
                      <m:t>N</m:t>
                    </m:r>
                  </m:e>
                  <m:sub>
                    <m:r>
                      <m:rPr>
                        <m:sty m:val="p"/>
                      </m:rPr>
                      <m:t>i</m:t>
                    </m:r>
                  </m:sub>
                </m:sSub>
                <m:r>
                  <m:rPr>
                    <m:sty m:val="p"/>
                  </m:rPr>
                  <m:t> · </m:t>
                </m:r>
                <m:sSub>
                  <m:e>
                    <m:r>
                      <m:rPr>
                        <m:sty m:val="p"/>
                      </m:rPr>
                      <m:t>C</m:t>
                    </m:r>
                  </m:e>
                  <m:sub>
                    <m:r>
                      <m:rPr>
                        <m:sty m:val="p"/>
                      </m:rPr>
                      <m:t>ip</m:t>
                    </m:r>
                  </m:sub>
                </m:sSub>
              </m:e>
            </m:nary>
          </m:num>
          <m:den>
            <m:nary>
              <m:naryPr>
                <m:chr m:val="∑"/>
                <m:limLoc m:val="undOvr"/>
                <m:supHide m:val="1"/>
              </m:naryPr>
              <m:sub>
                <m:r>
                  <m:rPr>
                    <m:sty m:val="p"/>
                  </m:rPr>
                  <m:t>i</m:t>
                </m:r>
              </m:sub>
              <m:sup>
                <m:r>
                  <m:rPr>
                    <m:sty m:val="p"/>
                  </m:rPr>
                  <m:t/>
                </m:r>
              </m:sup>
              <m:e>
                <m:sSub>
                  <m:e>
                    <m:r>
                      <m:rPr>
                        <m:sty m:val="p"/>
                      </m:rPr>
                      <m:t>N</m:t>
                    </m:r>
                  </m:e>
                  <m:sub>
                    <m:r>
                      <m:rPr>
                        <m:sty m:val="p"/>
                      </m:rPr>
                      <m:t>i</m:t>
                    </m:r>
                  </m:sub>
                </m:sSub>
              </m:e>
            </m:nary>
          </m:den>
        </m:f>
      </m:oMath>
      <w:r>
        <w:rPr>
          <w:rFonts w:ascii="Times New Roman" w:hAnsi="Times New Roman" w:eastAsia="Times New Roman" w:cs="Times New Roman"/>
          <w:color w:val="000000"/>
          <w:sz w:val="24"/>
          <w:szCs w:val="24"/>
          <w:lang w:val="ru-RU"/>
        </w:rPr>
        <w:t xml:space="preserve">   (</w:t>
      </w:r>
      <w:bookmarkStart w:id="48" w:name="eq_er_exposur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48"/>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Здесь Nᵢ – численность населения непересекающейся пространственной ячейки i, Cᵢₚ – концентрация вещества p за одинаковый период. Расчёт требует согласованной сетки населения и наблюдений либо проверенной модели концентраций. Средневзвешенная концентрация даёт пространственную оценку воздействия. Индивидуальная доза и число предотвращённых заболеваний требуют отдельной оценки. Наряду со средним необходимы распределение концентраций и характеристика наиболее неблагоприятных участков.</w:t>
      </w:r>
    </w:p>
    <w:p>
      <w:r>
        <w:rPr>
          <w:rFonts w:ascii="Times New Roman" w:hAnsi="Times New Roman" w:eastAsia="Times New Roman" w:cs="Times New Roman"/>
          <w:color w:val="000000"/>
          <w:lang w:val="ru-RU"/>
        </w:rPr>
        <w:t>Рекомендации ВОЗ рассматривают качество воздуха через концентрации отдельных загрязняющих веществ и периоды осреднения. Они служат методическим основанием для анализа экспозиции и не заменяют российские обязательные нормативы. При использовании международных ориентиров их статус следует обозначать отдельно. Смешение нормативной оценки, рекомендованного уровня и расчётного риска делает вывод неоднозначным.</w:t>
      </w:r>
      <w:r>
        <w:rPr>
          <w:rStyle w:val="FootnoteReference"/>
          <w:rFonts w:ascii="Times New Roman" w:hAnsi="Times New Roman" w:eastAsia="Times New Roman" w:cs="Times New Roman"/>
          <w:color w:val="000000"/>
          <w:sz w:val="20"/>
          <w:szCs w:val="20"/>
          <w:lang w:val="ru-RU"/>
        </w:rPr>
        <w:footnoteReference w:id="102"/>
      </w:r>
    </w:p>
    <w:p>
      <w:r>
        <w:rPr>
          <w:rFonts w:ascii="Times New Roman" w:hAnsi="Times New Roman" w:eastAsia="Times New Roman" w:cs="Times New Roman"/>
          <w:color w:val="000000"/>
          <w:lang w:val="ru-RU"/>
        </w:rPr>
        <w:t>В проекте «Чистый воздух» уже предусмотрены информационное обеспечение, моделирование концентраций и оценка влияния сокращения выбросов на здоровье. При совершенствовании проекта следует уточнить условия оценки: согласованный набор веществ, территорию и период, связь с мероприятиями, учёт метеорологии и иных источников. Перенос общегородского улучшения на всех жителей в одинаковой степени не обоснован без пространственных данных.</w:t>
      </w:r>
      <w:r>
        <w:rPr>
          <w:rStyle w:val="FootnoteReference"/>
          <w:rFonts w:ascii="Times New Roman" w:hAnsi="Times New Roman" w:eastAsia="Times New Roman" w:cs="Times New Roman"/>
          <w:color w:val="000000"/>
          <w:sz w:val="20"/>
          <w:szCs w:val="20"/>
          <w:lang w:val="ru-RU"/>
        </w:rPr>
        <w:footnoteReference w:id="103"/>
      </w:r>
    </w:p>
    <w:p>
      <w:r>
        <w:rPr>
          <w:rFonts w:ascii="Times New Roman" w:hAnsi="Times New Roman" w:eastAsia="Times New Roman" w:cs="Times New Roman"/>
          <w:color w:val="000000"/>
          <w:lang w:val="ru-RU"/>
        </w:rPr>
        <w:t>Оценка распределения выгод должна охватывать территории с высокой исходной нагрузкой и группы, для которых воздействие длительно или возможности его избежать ограничены. Однако число жителей не может быть единственным критерием природоохранного приоритета. Сохранение редкого вида или экологически значимого участка имеет самостоятельное значение для достижения целей проекта. Для таких мер обоснование строится на состоянии популяций, местообитаний и угроз, а социальные последствия рассматриваются дополнительно.</w:t>
      </w:r>
    </w:p>
    <w:p>
      <w:pPr>
        <w:pStyle w:val="Heading2"/>
      </w:pPr>
      <w:bookmarkStart w:id="49" w:name="sec_026"/>
      <w:r>
        <w:rPr>
          <w:rFonts w:ascii="Times New Roman" w:hAnsi="Times New Roman" w:eastAsia="Times New Roman" w:cs="Times New Roman"/>
          <w:b/>
          <w:color w:val="000000"/>
          <w:sz w:val="28"/>
          <w:szCs w:val="28"/>
          <w:lang w:val="ru-RU"/>
        </w:rPr>
        <w:t>6.2 Прослеживаемость материальных потоков и устойчивость технологий</w:t>
      </w:r>
      <w:bookmarkEnd w:id="49"/>
    </w:p>
    <w:p>
      <w:r>
        <w:rPr>
          <w:rFonts w:ascii="Times New Roman" w:hAnsi="Times New Roman" w:eastAsia="Times New Roman" w:cs="Times New Roman"/>
          <w:color w:val="000000"/>
          <w:lang w:val="ru-RU"/>
        </w:rPr>
        <w:t>Различие между обработкой, выделением полезных фракций и использованием вторичного сырья требует прослеживаемости одной материальной цепочки. Для поддерживаемого комплекса необходимо согласовать сведения о поступлении, пригодном сырье, передаче потребителю, остатках и запасах, чтобы проверить, обеспечивается ли предусмотренное проектом вовлечение ресурсов в производство и не учитывается ли одна масса повторно на последовательных стадиях.</w:t>
      </w:r>
      <w:r>
        <w:rPr>
          <w:rStyle w:val="FootnoteReference"/>
          <w:rFonts w:ascii="Times New Roman" w:hAnsi="Times New Roman" w:eastAsia="Times New Roman" w:cs="Times New Roman"/>
          <w:color w:val="000000"/>
          <w:sz w:val="20"/>
          <w:szCs w:val="20"/>
          <w:lang w:val="ru-RU"/>
        </w:rPr>
        <w:footnoteReference w:id="104"/>
      </w:r>
    </w:p>
    <w:p>
      <w:r>
        <w:rPr>
          <w:rFonts w:ascii="Times New Roman" w:hAnsi="Times New Roman" w:eastAsia="Times New Roman" w:cs="Times New Roman"/>
          <w:color w:val="000000"/>
          <w:lang w:val="ru-RU"/>
        </w:rPr>
        <w:t>Подход расширенной ответственности производителей связывает ответственность за продукцию с её жизненным циклом, включая стадию после потребления. Экспертиза должна оценивать сбор средств, создание мощностей и стимулы к сокращению труднообрабатываемых материалов и подтверждённому возврату сырья в производство. Применение принципа расширенной ответственности должно учитывать действующее российское регулирование и различия товарных групп.</w:t>
      </w:r>
      <w:r>
        <w:rPr>
          <w:rStyle w:val="FootnoteReference"/>
          <w:rFonts w:ascii="Times New Roman" w:hAnsi="Times New Roman" w:eastAsia="Times New Roman" w:cs="Times New Roman"/>
          <w:color w:val="000000"/>
          <w:sz w:val="20"/>
          <w:szCs w:val="20"/>
          <w:lang w:val="ru-RU"/>
        </w:rPr>
        <w:footnoteReference w:id="105"/>
      </w:r>
    </w:p>
    <w:p>
      <w:r>
        <w:rPr>
          <w:rFonts w:ascii="Times New Roman" w:hAnsi="Times New Roman" w:eastAsia="Times New Roman" w:cs="Times New Roman"/>
          <w:color w:val="000000"/>
          <w:lang w:val="ru-RU"/>
        </w:rPr>
        <w:t>В финансовых инструментах обращения с отходами промежуточный результат выражается в условиях привлечения средств. Экологическая проверка должна продолжаться до работы поддержанного объекта и движения материала. Объём финансирования, проектная мощность и фактическая загрузка должны сопоставляться по одной группе объектов и по известным срокам запуска. Их простое деление на национальный объём отходов не даёт оценки отдачи конкретного инструмента.</w:t>
      </w:r>
    </w:p>
    <w:p>
      <w:r>
        <w:rPr>
          <w:rFonts w:ascii="Times New Roman" w:hAnsi="Times New Roman" w:eastAsia="Times New Roman" w:cs="Times New Roman"/>
          <w:color w:val="000000"/>
          <w:lang w:val="ru-RU"/>
        </w:rPr>
        <w:t>Для водоохранных технологий предусмотренную проектом проверку очистки под нагрузкой целесообразно связывать с наблюдением конкретного водного объекта. Снижение объёма неочищенных стоков, уменьшение массы приоритетного вещества и улучшение состояния водоёма являются различными результатами. Их сопоставление требует данных о составе сброса, водности, иных источниках и принимающей среде.</w:t>
      </w:r>
      <w:r>
        <w:rPr>
          <w:rStyle w:val="FootnoteReference"/>
          <w:rFonts w:ascii="Times New Roman" w:hAnsi="Times New Roman" w:eastAsia="Times New Roman" w:cs="Times New Roman"/>
          <w:color w:val="000000"/>
          <w:sz w:val="20"/>
          <w:szCs w:val="20"/>
          <w:lang w:val="ru-RU"/>
        </w:rPr>
        <w:footnoteReference w:id="106"/>
      </w:r>
    </w:p>
    <w:p>
      <w:r>
        <w:rPr>
          <w:rFonts w:ascii="Times New Roman" w:hAnsi="Times New Roman" w:eastAsia="Times New Roman" w:cs="Times New Roman"/>
          <w:color w:val="000000"/>
          <w:lang w:val="ru-RU"/>
        </w:rPr>
        <w:t>Международный мониторинг ЦУР 6.3.2 также отделяет состояние воды в природных объектах от объёма мероприятий по очистке: он рассматривает долю водных объектов с хорошим качеством воды относительно принятых национальных или субнациональных стандартов. Для национального проекта полезен принцип самостоятельного наблюдения принимающей среды. Перенос готового международного показателя без адаптации сети наблюдений и типологии водоёмов не предлагается.</w:t>
      </w:r>
      <w:r>
        <w:rPr>
          <w:rStyle w:val="FootnoteReference"/>
          <w:rFonts w:ascii="Times New Roman" w:hAnsi="Times New Roman" w:eastAsia="Times New Roman" w:cs="Times New Roman"/>
          <w:color w:val="000000"/>
          <w:sz w:val="20"/>
          <w:szCs w:val="20"/>
          <w:lang w:val="ru-RU"/>
        </w:rPr>
        <w:footnoteReference w:id="107"/>
      </w:r>
    </w:p>
    <w:p>
      <w:r>
        <w:rPr>
          <w:rFonts w:ascii="Times New Roman" w:hAnsi="Times New Roman" w:eastAsia="Times New Roman" w:cs="Times New Roman"/>
          <w:color w:val="000000"/>
          <w:lang w:val="ru-RU"/>
        </w:rPr>
        <w:t>Для каждого комплекса водоохранных мероприятий целесообразно выделять водосбор и перечень контролируемых воздействий. Измерения до и после работ должны сопоставляться при учёте сезонности и гидрологических условий. Если несколько проектов одновременно изменяют коммунальную инфраструктуру, промышленный сброс и состояние береговой зоны, их вклад следует анализировать совместно. Двойной учёт одних и тех же жителей как независимо улучшивших условия жизни завышает охват совокупной программы.</w:t>
      </w:r>
    </w:p>
    <w:p>
      <w:r>
        <w:rPr>
          <w:rFonts w:ascii="Times New Roman" w:hAnsi="Times New Roman" w:eastAsia="Times New Roman" w:cs="Times New Roman"/>
          <w:color w:val="000000"/>
          <w:lang w:val="ru-RU"/>
        </w:rPr>
        <w:t>Устойчивость очистки зависит от фактической нагрузки, энергоснабжения, квалификации персонала, реагентов, обслуживания и обращения с осадком. Условия эксплуатации должны подтверждаться при запуске и проверяться в последующей работе. Контроль единичного приёмочного замера желательно дополнять наблюдением типичных и неблагоприятных режимов. При изменении результата необходимо различать ограничение технологии, недозагрузку, нарушение эксплуатации и внешнее поступление загрязнения.</w:t>
      </w:r>
    </w:p>
    <w:p>
      <w:pPr>
        <w:pStyle w:val="Heading2"/>
      </w:pPr>
      <w:bookmarkStart w:id="50" w:name="sec_027"/>
      <w:r>
        <w:rPr>
          <w:rFonts w:ascii="Times New Roman" w:hAnsi="Times New Roman" w:eastAsia="Times New Roman" w:cs="Times New Roman"/>
          <w:b/>
          <w:color w:val="000000"/>
          <w:sz w:val="28"/>
          <w:szCs w:val="28"/>
          <w:lang w:val="ru-RU"/>
        </w:rPr>
        <w:t>6.3 Устойчивость восстановления природных систем</w:t>
      </w:r>
      <w:bookmarkEnd w:id="50"/>
    </w:p>
    <w:p>
      <w:r>
        <w:rPr>
          <w:rFonts w:ascii="Times New Roman" w:hAnsi="Times New Roman" w:eastAsia="Times New Roman" w:cs="Times New Roman"/>
          <w:color w:val="000000"/>
          <w:lang w:val="ru-RU"/>
        </w:rPr>
        <w:t>Для проверки предусмотренных проектом ухода и перевода восстановленных площадей в покрытые лесом земли целесообразно наблюдать одни и те же участки по году начала, природным условиям и способу восстановления. Сопоставление должно учитывать возраст насаждений, сохранность целевых пород и повторные нарушения. Отсутствие последующего наблюдения не подтверждает успех восстановления.</w:t>
      </w:r>
      <w:r>
        <w:rPr>
          <w:rStyle w:val="FootnoteReference"/>
          <w:rFonts w:ascii="Times New Roman" w:hAnsi="Times New Roman" w:eastAsia="Times New Roman" w:cs="Times New Roman"/>
          <w:color w:val="000000"/>
          <w:sz w:val="20"/>
          <w:szCs w:val="20"/>
          <w:lang w:val="ru-RU"/>
        </w:rPr>
        <w:footnoteReference w:id="108"/>
      </w:r>
    </w:p>
    <w:p>
      <w:r>
        <w:rPr>
          <w:rFonts w:ascii="Times New Roman" w:hAnsi="Times New Roman" w:eastAsia="Times New Roman" w:cs="Times New Roman"/>
          <w:color w:val="000000"/>
          <w:lang w:val="ru-RU"/>
        </w:rPr>
        <w:t>Научные принципы экологического восстановления связывают оценку с подходящей референсной экосистемой, измеримыми характеристиками и последующим наблюдением. Исходное состояние перед работами и желаемое состояние восстановления имеют разные функции. В российской практике ориентиры следует обосновывать применительно к природной зоне и истории участка, включая изменения условий. Единая модель леса без учёта территориальных различий для оценки непригодна.</w:t>
      </w:r>
      <w:r>
        <w:rPr>
          <w:rStyle w:val="FootnoteReference"/>
          <w:rFonts w:ascii="Times New Roman" w:hAnsi="Times New Roman" w:eastAsia="Times New Roman" w:cs="Times New Roman"/>
          <w:color w:val="000000"/>
          <w:sz w:val="20"/>
          <w:szCs w:val="20"/>
          <w:lang w:val="ru-RU"/>
        </w:rPr>
        <w:footnoteReference w:id="109"/>
      </w:r>
    </w:p>
    <w:p>
      <w:r>
        <w:rPr>
          <w:rFonts w:ascii="Times New Roman" w:hAnsi="Times New Roman" w:eastAsia="Times New Roman" w:cs="Times New Roman"/>
          <w:color w:val="000000"/>
          <w:lang w:val="ru-RU"/>
        </w:rPr>
        <w:t>В сохранении биоразнообразия требуется различать охват мероприятиями и изменение состояния популяций. Поддержка питомника, реабилитация животных, охрана местообитания и экологическое просвещение являются разными механизмами. Их вклад зависит от конкретных ограничений восстановления вида. Наблюдение должно фиксировать выбранную угрозу, предполагаемый путь её уменьшения и показатель состояния, а неопределённость учёта численности должна сохраняться в интерпретации.</w:t>
      </w:r>
    </w:p>
    <w:p>
      <w:r>
        <w:rPr>
          <w:rFonts w:ascii="Times New Roman" w:hAnsi="Times New Roman" w:eastAsia="Times New Roman" w:cs="Times New Roman"/>
          <w:color w:val="000000"/>
          <w:lang w:val="ru-RU"/>
        </w:rPr>
        <w:t>Экологический туризм создаёт самостоятельные рекреационные и экономические результаты. Рост посещений не является универсальным показателем сохранности природного комплекса. Для природоохранной оценки необходимы пространственное распределение потока, сезонные пики, состояние маршрутов, воздействие на уязвимые участки и обеспеченность охраны. В одном случае расширение инфраструктуры может упорядочить посещение, в другом – увеличить нагрузку. Направление изменения устанавливается наблюдением.</w:t>
      </w:r>
      <w:r>
        <w:rPr>
          <w:rStyle w:val="FootnoteReference"/>
          <w:rFonts w:ascii="Times New Roman" w:hAnsi="Times New Roman" w:eastAsia="Times New Roman" w:cs="Times New Roman"/>
          <w:color w:val="000000"/>
          <w:sz w:val="20"/>
          <w:szCs w:val="20"/>
          <w:lang w:val="ru-RU"/>
        </w:rPr>
        <w:footnoteReference w:id="110"/>
      </w:r>
    </w:p>
    <w:p>
      <w:r>
        <w:rPr>
          <w:rFonts w:ascii="Times New Roman" w:hAnsi="Times New Roman" w:eastAsia="Times New Roman" w:cs="Times New Roman"/>
          <w:color w:val="000000"/>
          <w:lang w:val="ru-RU"/>
        </w:rPr>
        <w:t>В международной программе сохранения биоразнообразия эффективная охрана связана с состоянием экосистем, их репрезентативностью, связанностью и устойчивыми природоохранными результатами. Международные подходы служат сравнительным методическим основанием для оценки качества управления. Дополнительного обязательного численного задания российскому проекту они не устанавливают. Приоритет сохранения чувствительных участков должен быть согласован с режимом допустимого посещения и ресурсами последующего содержания.</w:t>
      </w:r>
      <w:r>
        <w:rPr>
          <w:rStyle w:val="FootnoteReference"/>
          <w:rFonts w:ascii="Times New Roman" w:hAnsi="Times New Roman" w:eastAsia="Times New Roman" w:cs="Times New Roman"/>
          <w:color w:val="000000"/>
          <w:sz w:val="20"/>
          <w:szCs w:val="20"/>
          <w:lang w:val="ru-RU"/>
        </w:rPr>
        <w:footnoteReference w:id="111"/>
      </w:r>
    </w:p>
    <w:p>
      <w:pPr>
        <w:pStyle w:val="Heading1"/>
      </w:pPr>
      <w:bookmarkStart w:id="51" w:name="sec_028"/>
      <w:r>
        <w:rPr>
          <w:rFonts w:ascii="Times New Roman" w:hAnsi="Times New Roman" w:eastAsia="Times New Roman" w:cs="Times New Roman"/>
          <w:b/>
          <w:color w:val="000000"/>
          <w:sz w:val="28"/>
          <w:szCs w:val="28"/>
          <w:lang w:val="ru-RU"/>
        </w:rPr>
        <w:t>7 Направления совершенствования национального проекта</w:t>
      </w:r>
      <w:bookmarkEnd w:id="51"/>
    </w:p>
    <w:p>
      <w:pPr>
        <w:pStyle w:val="Heading2"/>
      </w:pPr>
      <w:bookmarkStart w:id="52" w:name="sec_029"/>
      <w:r>
        <w:rPr>
          <w:rFonts w:ascii="Times New Roman" w:hAnsi="Times New Roman" w:eastAsia="Times New Roman" w:cs="Times New Roman"/>
          <w:b/>
          <w:color w:val="000000"/>
          <w:sz w:val="28"/>
          <w:szCs w:val="28"/>
          <w:lang w:val="ru-RU"/>
        </w:rPr>
        <w:t>7.1 Согласование показателей и ответственности за результат</w:t>
      </w:r>
      <w:bookmarkEnd w:id="52"/>
    </w:p>
    <w:p>
      <w:r>
        <w:rPr>
          <w:rFonts w:ascii="Times New Roman" w:hAnsi="Times New Roman" w:eastAsia="Times New Roman" w:cs="Times New Roman"/>
          <w:color w:val="000000"/>
          <w:lang w:val="ru-RU"/>
        </w:rPr>
        <w:t>Первоочередная задача – согласовать публично используемые определения и датированные планы. Для каждого показателя необходимы однозначное название, единица, база, состав территории, периодичность и правило пересмотра. При изменении методики следует публиковать пояснение перехода и, где возможно, сопоставимый пересчёт. Когда пересчёт отсутствует, два ряда должны сохранять различимый статус. Разграничение статуса рядов особенно существенно для шкал остатка к базе, составных индексов и меняющихся территориальных когорт.</w:t>
      </w:r>
    </w:p>
    <w:p>
      <w:r>
        <w:rPr>
          <w:rFonts w:ascii="Times New Roman" w:hAnsi="Times New Roman" w:eastAsia="Times New Roman" w:cs="Times New Roman"/>
          <w:color w:val="000000"/>
          <w:lang w:val="ru-RU"/>
        </w:rPr>
        <w:t>Доступность информации о результатах может быть обеспечена без раскрытия сведений ограниченного распространения. Полезен согласованный открытый набор целей, методик, фактических значений и объяснений корректировок. Он должен позволять установить, какая редакция использовалась при оценке исполнения. Одновременное существование несогласованных чисел затрудняет внешнюю экспертизу даже при наличии достоверных ведомственных данных.</w:t>
      </w:r>
    </w:p>
    <w:p>
      <w:r>
        <w:rPr>
          <w:rFonts w:ascii="Times New Roman" w:hAnsi="Times New Roman" w:eastAsia="Times New Roman" w:cs="Times New Roman"/>
          <w:color w:val="000000"/>
          <w:lang w:val="ru-RU"/>
        </w:rPr>
        <w:t>При описании связи между результатом и показателем следует указывать название и идентификатор показателя, территорию, механизм и ожидаемый срок изменения. Для одинаково названных показателей по разным группам городов территориальная принадлежность является обязательным условием сопоставления. Лексическое сходство может помогать обнаруживать кандидатов для связи, но итоговое назначение требует содержательной и структурной проверки.</w:t>
      </w:r>
    </w:p>
    <w:p>
      <w:r>
        <w:rPr>
          <w:rFonts w:ascii="Times New Roman" w:hAnsi="Times New Roman" w:eastAsia="Times New Roman" w:cs="Times New Roman"/>
          <w:color w:val="000000"/>
          <w:lang w:val="ru-RU"/>
        </w:rPr>
        <w:t>Действующие обследования, оценку опасности и критерии отбора целесообразно связывать с проверяемым исходным состоянием, необратимостью возможного ущерба, ожидаемым изменением и готовностью решения. Проекты, обязательные для устранения непосредственной опасности, следует рассматривать с учётом этой функции. Их нельзя исключать только из-за высокой стоимости единицы результата. Для сопоставимых альтернатив полезна оценка затрат на достижение одинакового экологического изменения, включая эксплуатацию и последующее наблюдение.</w:t>
      </w:r>
    </w:p>
    <w:p>
      <w:r>
        <w:rPr>
          <w:rFonts w:ascii="Times New Roman" w:hAnsi="Times New Roman" w:eastAsia="Times New Roman" w:cs="Times New Roman"/>
          <w:color w:val="000000"/>
          <w:lang w:val="ru-RU"/>
        </w:rPr>
        <w:t>Финансовая прослеживаемость должна сохраняться на всём пути от решения о поддержке до наблюдаемого результата. Для инфраструктурного объекта это означает связь финансирования, фактической готовности, режима работы и экологических измерений. Для природоохранной территории – связь ресурса, выполненной меры и состояния охраняемого объекта. Резерв будущих ассигнований требует заблаговременного отбора и подготовки, а финансовое посредничество – наблюдения фактических условий и результатов поддержанных проектов.</w:t>
      </w:r>
    </w:p>
    <w:p>
      <w:r>
        <w:rPr>
          <w:rFonts w:ascii="Times New Roman" w:hAnsi="Times New Roman" w:eastAsia="Times New Roman" w:cs="Times New Roman"/>
          <w:color w:val="000000"/>
          <w:lang w:val="ru-RU"/>
        </w:rPr>
        <w:t>Отдельного управления требуют зависимости между национальными проектами. Подключение очистных сооружений к коммунальным сетям, использование вторичного сырья в строительстве и сохранение природных территорий при развитии туризма должны иметь согласованные территории и сроки. Совместное присутствие темы в нескольких документах является основанием для такой проверки, но не подтверждает выполненную координацию. Ответственность целесообразно закреплять за конкретным результатом взаимодействия.</w:t>
      </w:r>
    </w:p>
    <w:p>
      <w:pPr>
        <w:pStyle w:val="Heading2"/>
      </w:pPr>
      <w:bookmarkStart w:id="53" w:name="sec_030"/>
      <w:r>
        <w:rPr>
          <w:rFonts w:ascii="Times New Roman" w:hAnsi="Times New Roman" w:eastAsia="Times New Roman" w:cs="Times New Roman"/>
          <w:b/>
          <w:color w:val="000000"/>
          <w:sz w:val="28"/>
          <w:szCs w:val="28"/>
          <w:lang w:val="ru-RU"/>
        </w:rPr>
        <w:t>7.2 Показатели для проверки экологических изменений</w:t>
      </w:r>
      <w:bookmarkEnd w:id="53"/>
    </w:p>
    <w:p>
      <w:r>
        <w:rPr>
          <w:rFonts w:ascii="Times New Roman" w:hAnsi="Times New Roman" w:eastAsia="Times New Roman" w:cs="Times New Roman"/>
          <w:color w:val="000000"/>
          <w:lang w:val="ru-RU"/>
        </w:rPr>
        <w:t xml:space="preserve">Дополнение мониторинга следует начинать с использования уже предусмотренных наблюдений и эксплуатационных данных.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tab_er_metrics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9</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предложены направления детализации, которые помогают проверить переход от мероприятия к состоянию среды. Они не заменяют действующие паспортные показатели и не утверждают отсутствие соответствующих сведений во всех ведомственных системах. Для каждого направления сначала требуется сопоставление имеющихся данных и проверка трудоёмкости.</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4" w:name="tab_er_metric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54"/>
      <w:r>
        <w:rPr>
          <w:rFonts w:ascii="Times New Roman" w:hAnsi="Times New Roman" w:eastAsia="Times New Roman" w:cs="Times New Roman"/>
          <w:color w:val="000000"/>
          <w:sz w:val="24"/>
          <w:szCs w:val="24"/>
          <w:lang w:val="ru-RU"/>
        </w:rPr>
        <w:t xml:space="preserve"> – Предлагаемая детализация наблюдения экологических результатов</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757"/>
        <w:gridCol w:w="3458"/>
        <w:gridCol w:w="4422"/>
      </w:tblGrid>
      <w:tr>
        <w:trPr>
          <w:cantSplit/>
          <w:tblHeader/>
        </w:trPr>
        <w:tc>
          <w:tcPr>
            <w:tcW w:type="dxa" w:w="1757"/>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Направление</w:t>
            </w:r>
          </w:p>
        </w:tc>
        <w:tc>
          <w:tcPr>
            <w:tcW w:type="dxa" w:w="345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Проверяемое изменение</w:t>
            </w:r>
          </w:p>
        </w:tc>
        <w:tc>
          <w:tcPr>
            <w:tcW w:type="dxa" w:w="4422"/>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Единица и условие сопоставления</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Накопленный вред</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Сохранение достигнутого снижения воздействия после завершения работ</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Приоритетные вещества и пути распространения. Одни и те же точки и критерии контроля</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Замкнутый цикл</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Фактическое использование выделенного вторичного сырья и судьба остатка</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Масса по виду материала. Прослеживаемость партии и отсутствие повторного учёта</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Качество воздуха</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Изменение концентраций в местах проживания и экспозиции населения</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Вещество, период осреднения, пространственная сетка. Учёт метеорологии и полноты наблюдения</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Водные объекты</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Нагрузка по приоритетным веществам и состояние принимающей среды</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Масса за период и показатели контрольных створов. Сопоставимые водность и сезон</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Восстановление лесов</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Сохранность и достижение целевых характеристик восстановленного участка</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Группа одного года и способа восстановления. Наблюдение того же участка</w:t>
            </w:r>
          </w:p>
        </w:tc>
      </w:tr>
      <w:tr>
        <w:trPr>
          <w:cantSplit/>
        </w:trPr>
        <w:tc>
          <w:tcPr>
            <w:tcW w:type="dxa" w:w="1757"/>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Биоразно­образие и туризм</w:t>
            </w:r>
          </w:p>
        </w:tc>
        <w:tc>
          <w:tcPr>
            <w:tcW w:type="dxa" w:w="345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Состояние целевых популяций и природных комплексов при изменении посещений</w:t>
            </w:r>
          </w:p>
        </w:tc>
        <w:tc>
          <w:tcPr>
            <w:tcW w:type="dxa" w:w="4422"/>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Сопоставимый метод учёта, сезон и зона. Раздельное наблюдение туристической нагрузки и охвата охраной</w:t>
            </w:r>
          </w:p>
        </w:tc>
      </w:tr>
    </w:tbl>
    <w:p>
      <w:pPr>
        <w:pStyle w:val="SourceNote"/>
        <w:keepLines/>
        <w:spacing w:after="140"/>
      </w:pPr>
      <w:r>
        <w:rPr>
          <w:rFonts w:ascii="Times New Roman" w:hAnsi="Times New Roman" w:eastAsia="Times New Roman" w:cs="Times New Roman"/>
          <w:color w:val="000000"/>
          <w:sz w:val="22"/>
          <w:szCs w:val="22"/>
          <w:lang w:val="ru-RU"/>
        </w:rPr>
        <w:t>Предложения экспертизы. Численные пороги и периодичность устанавливаются после проверки нормативных требований, природных условий и качества наблюдений.</w:t>
      </w:r>
    </w:p>
    <w:p>
      <w:r>
        <w:rPr>
          <w:rFonts w:ascii="Times New Roman" w:hAnsi="Times New Roman" w:eastAsia="Times New Roman" w:cs="Times New Roman"/>
          <w:color w:val="000000"/>
          <w:lang w:val="ru-RU"/>
        </w:rPr>
        <w:t>Минимальный паспорт дополнительного измерения должен указывать управленческий вопрос, единицу наблюдения, расчёт, источник и допустимые пропуски. Для доли необходимы числитель и знаменатель, для изменения – исходное значение и сопоставимый период. Модельная оценка требует раскрытия входных данных, проверки и неопределённости. Публикация только итогового индекса не позволяет определить, связано ли его движение с фактическим состоянием или обновлением состава данных.</w:t>
      </w:r>
    </w:p>
    <w:p>
      <w:r>
        <w:rPr>
          <w:rFonts w:ascii="Times New Roman" w:hAnsi="Times New Roman" w:eastAsia="Times New Roman" w:cs="Times New Roman"/>
          <w:color w:val="000000"/>
          <w:lang w:val="ru-RU"/>
        </w:rPr>
        <w:t>Территориальные и социальные различия следует раскрывать на том уровне, на котором принимается решение. Для загрязнения воздуха важна внутригородская неоднородность, для воды – положение по водосбору, для восстановления леса – участок и возрастная группа. Региональная статистика необходима для сопоставления масштаба проблемы, но детализация результата не всегда совпадает с административной иерархией.</w:t>
      </w:r>
    </w:p>
    <w:p>
      <w:r>
        <w:rPr>
          <w:rFonts w:ascii="Times New Roman" w:hAnsi="Times New Roman" w:eastAsia="Times New Roman" w:cs="Times New Roman"/>
          <w:color w:val="000000"/>
          <w:lang w:val="ru-RU"/>
        </w:rPr>
        <w:t>Неопределённость должна сопровождать само измерение. Для наблюдаемой концентрации существенны представительность и полнота измерений, для численности вида – обнаруживаемость и метод учёта, для расчётной экспозиции – качество модели и пространственных данных. Отсутствующее значение не следует заменять благоприятным. Изменение сети наблюдения или расширение охвата может обнаружить ранее неучтённую проблему, что не тождественно ухудшению экологической ситуации.</w:t>
      </w:r>
    </w:p>
    <w:p>
      <w:pPr>
        <w:pStyle w:val="Heading2"/>
      </w:pPr>
      <w:bookmarkStart w:id="55" w:name="sec_031"/>
      <w:r>
        <w:rPr>
          <w:rFonts w:ascii="Times New Roman" w:hAnsi="Times New Roman" w:eastAsia="Times New Roman" w:cs="Times New Roman"/>
          <w:b/>
          <w:color w:val="000000"/>
          <w:sz w:val="28"/>
          <w:szCs w:val="28"/>
          <w:lang w:val="ru-RU"/>
        </w:rPr>
        <w:t>7.3 Последовательность внедрения и оценка дополнительного эффекта</w:t>
      </w:r>
      <w:bookmarkEnd w:id="55"/>
    </w:p>
    <w:p>
      <w:r>
        <w:rPr>
          <w:rFonts w:ascii="Times New Roman" w:hAnsi="Times New Roman" w:eastAsia="Times New Roman" w:cs="Times New Roman"/>
          <w:color w:val="000000"/>
          <w:lang w:val="ru-RU"/>
        </w:rPr>
        <w:t>Реализацию рекомендаций целесообразно организовать в несколько проверяемых этапов. Сначала согласуются определения и версии, затем выбираются типовые мероприятия с доступными наблюдениями, после чего проверяется возможность устойчиво связать затраты, работы и экологическое изменение. Сроки должны учитывать сезонность и длительность процессов. Например, проверка приживаемости насаждений и восстановления популяции не может завершаться в тот же момент, что и административная приёмка работ.</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6" w:name="tab_er_implementatio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56"/>
      <w:r>
        <w:rPr>
          <w:rFonts w:ascii="Times New Roman" w:hAnsi="Times New Roman" w:eastAsia="Times New Roman" w:cs="Times New Roman"/>
          <w:color w:val="000000"/>
          <w:sz w:val="24"/>
          <w:szCs w:val="24"/>
          <w:lang w:val="ru-RU"/>
        </w:rPr>
        <w:t xml:space="preserve"> – Последовательность внедрения предложенных изменений</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871"/>
        <w:gridCol w:w="3628"/>
        <w:gridCol w:w="4139"/>
      </w:tblGrid>
      <w:tr>
        <w:trPr>
          <w:cantSplit/>
          <w:tblHeader/>
        </w:trPr>
        <w:tc>
          <w:tcPr>
            <w:tcW w:type="dxa" w:w="187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Этап</w:t>
            </w:r>
          </w:p>
        </w:tc>
        <w:tc>
          <w:tcPr>
            <w:tcW w:type="dxa" w:w="362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Основное содержание</w:t>
            </w:r>
          </w:p>
        </w:tc>
        <w:tc>
          <w:tcPr>
            <w:tcW w:type="dxa" w:w="413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Критерий завершения</w:t>
            </w:r>
          </w:p>
        </w:tc>
      </w:tr>
      <w:tr>
        <w:trPr>
          <w:cantSplit/>
        </w:trPr>
        <w:tc>
          <w:tcPr>
            <w:tcW w:type="dxa" w:w="18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Согласование сведений</w:t>
            </w:r>
          </w:p>
        </w:tc>
        <w:tc>
          <w:tcPr>
            <w:tcW w:type="dxa" w:w="362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Сверка определений, территорий, датированных целей и методических редакций</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Каждое существенное различие объяснено либо обозначено как нерешённое</w:t>
            </w:r>
          </w:p>
        </w:tc>
      </w:tr>
      <w:tr>
        <w:trPr>
          <w:cantSplit/>
        </w:trPr>
        <w:tc>
          <w:tcPr>
            <w:tcW w:type="dxa" w:w="18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Пилотная проверка</w:t>
            </w:r>
          </w:p>
        </w:tc>
        <w:tc>
          <w:tcPr>
            <w:tcW w:type="dxa" w:w="362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Выбор мероприятий разных типов. Связь объектов, наблюдений и расходов</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Можно восстановить путь от поддержки до проверяемого изменения</w:t>
            </w:r>
          </w:p>
        </w:tc>
      </w:tr>
      <w:tr>
        <w:trPr>
          <w:cantSplit/>
        </w:trPr>
        <w:tc>
          <w:tcPr>
            <w:tcW w:type="dxa" w:w="18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Наблюдение после работ</w:t>
            </w:r>
          </w:p>
        </w:tc>
        <w:tc>
          <w:tcPr>
            <w:tcW w:type="dxa" w:w="362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Контроль эксплуатации, устойчивости и пространственного распределения результата</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Получены сопоставимые наблюдения за содержательно необходимый период</w:t>
            </w:r>
          </w:p>
        </w:tc>
      </w:tr>
      <w:tr>
        <w:trPr>
          <w:cantSplit/>
        </w:trPr>
        <w:tc>
          <w:tcPr>
            <w:tcW w:type="dxa" w:w="1871"/>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Корректировка отбора</w:t>
            </w:r>
          </w:p>
        </w:tc>
        <w:tc>
          <w:tcPr>
            <w:tcW w:type="dxa" w:w="362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Использование выявленных ограничений и подтверждённых результатов при следующем решении</w:t>
            </w:r>
          </w:p>
        </w:tc>
        <w:tc>
          <w:tcPr>
            <w:tcW w:type="dxa" w:w="4139"/>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Понятно, какое условие изменено и на каком основании</w:t>
            </w:r>
          </w:p>
        </w:tc>
      </w:tr>
    </w:tbl>
    <w:p>
      <w:pPr>
        <w:pStyle w:val="SourceNote"/>
        <w:keepLines/>
        <w:spacing w:after="140"/>
      </w:pPr>
      <w:r>
        <w:rPr>
          <w:rFonts w:ascii="Times New Roman" w:hAnsi="Times New Roman" w:eastAsia="Times New Roman" w:cs="Times New Roman"/>
          <w:color w:val="000000"/>
          <w:sz w:val="22"/>
          <w:szCs w:val="22"/>
          <w:lang w:val="ru-RU"/>
        </w:rPr>
        <w:t>Рекомендуемые этапы управления. Продолжительность определяется типом вмешательства, сезонностью и сроком экологического отклика.</w:t>
      </w:r>
    </w:p>
    <w:p>
      <w:r>
        <w:rPr>
          <w:rFonts w:ascii="Times New Roman" w:hAnsi="Times New Roman" w:eastAsia="Times New Roman" w:cs="Times New Roman"/>
          <w:color w:val="000000"/>
          <w:lang w:val="ru-RU"/>
        </w:rPr>
        <w:t>Для оценки дополнительного эффекта следует по возможности планировать наблюдение до начала вмешательства. Одно измерение до и после на поддержанном участке не отделяет влияние работ от погоды, гидрологии, хозяйственной динамики и общих природных процессов. Экологические схемы сравнения до и после с контрольными участками требуют пространственной и временной повторности. Методическая литература специально указывает на ограничения единственного контрольного участка и необходимость учитывать неоднородность временной динамики.</w:t>
      </w:r>
      <w:r>
        <w:rPr>
          <w:rStyle w:val="FootnoteReference"/>
          <w:rFonts w:ascii="Times New Roman" w:hAnsi="Times New Roman" w:eastAsia="Times New Roman" w:cs="Times New Roman"/>
          <w:color w:val="000000"/>
          <w:sz w:val="20"/>
          <w:szCs w:val="20"/>
          <w:lang w:val="ru-RU"/>
        </w:rPr>
        <w:footnoteReference w:id="112"/>
      </w:r>
    </w:p>
    <w:p>
      <w:r>
        <w:rPr>
          <w:rFonts w:ascii="Times New Roman" w:hAnsi="Times New Roman" w:eastAsia="Times New Roman" w:cs="Times New Roman"/>
          <w:color w:val="000000"/>
          <w:lang w:val="ru-RU"/>
        </w:rPr>
        <w:t>Для водоохранного мероприятия целесообразно сочетать несколько контрольных створов и сопоставимые водные объекты, если их характеристики позволяют такое сравнение. Для лесовосстановления – участки с близкими природными условиями, годом начала и историей нарушений. Для атмосферного воздуха необходимо учитывать метеорологию, изменение выпуска предприятий и воздействия за пределами поддержанных источников. Выбор контрольной территории необходимо обосновать. Одного отсутствия записи о финансировании недостаточно.</w:t>
      </w:r>
    </w:p>
    <w:p>
      <w:r>
        <w:rPr>
          <w:rFonts w:ascii="Times New Roman" w:hAnsi="Times New Roman" w:eastAsia="Times New Roman" w:cs="Times New Roman"/>
          <w:color w:val="000000"/>
          <w:lang w:val="ru-RU"/>
        </w:rPr>
        <w:t>Пространственное распространение результата ограничивает независимость сравнений. Воздействие от поддержанной территории может распространяться на участок ниже по течению. Перенос загрязнения способен изменять условия в соседнем районе, перераспределение туристического потока – нагрузку на охраняемую территорию. Необходимо скорректировать схему сравнения либо учесть косвенное воздействие. Усреднение нескольких зависимых наблюдений не создаёт независимых подтверждений эффекта.</w:t>
      </w:r>
    </w:p>
    <w:p>
      <w:r>
        <w:rPr>
          <w:rFonts w:ascii="Times New Roman" w:hAnsi="Times New Roman" w:eastAsia="Times New Roman" w:cs="Times New Roman"/>
          <w:color w:val="000000"/>
          <w:lang w:val="ru-RU"/>
        </w:rPr>
        <w:t>Организацию оценки дополнительного эффекта целесообразно закрепить за органами управления национальным и соответствующими федеральными проектами. Ведомства, формирующие официальные показатели, отвечали бы за согласование определений и пересчётов. Региональные органы и операторы объектов обеспечивали бы связь работ с эксплуатационными наблюдениями. Независимая научная оценка проверяла бы сопоставимость и объяснения обнаруженных изменений. Предлагаемое распределение функций должно конкретизироваться в действующих полномочиях и регламентах, без дублирования уже установленной отчётности.</w:t>
      </w:r>
    </w:p>
    <w:p>
      <w:pPr>
        <w:pStyle w:val="Heading1"/>
      </w:pPr>
      <w:bookmarkStart w:id="57" w:name="sec_032"/>
      <w:r>
        <w:rPr>
          <w:rFonts w:ascii="Times New Roman" w:hAnsi="Times New Roman" w:eastAsia="Times New Roman" w:cs="Times New Roman"/>
          <w:b/>
          <w:color w:val="000000"/>
          <w:sz w:val="28"/>
          <w:szCs w:val="28"/>
          <w:lang w:val="ru-RU"/>
        </w:rPr>
        <w:t>Заключение</w:t>
      </w:r>
      <w:bookmarkEnd w:id="57"/>
    </w:p>
    <w:p>
      <w:r>
        <w:rPr>
          <w:rFonts w:ascii="Times New Roman" w:hAnsi="Times New Roman" w:eastAsia="Times New Roman" w:cs="Times New Roman"/>
          <w:color w:val="000000"/>
          <w:lang w:val="ru-RU"/>
        </w:rPr>
        <w:t>Экспертиза национального проекта «Экологическое благополучие» показывает, что объединение шести направлений позволяет согласовать управление мерами по снижению загрязнения, восстановлению природных систем и обеспечению этих работ. Содержательное основание проекта не исчерпывается количеством объектов или площадью работ: в нём предусмотрены меры контроля качества, наблюдения и последующего развития. Необходимо проверить, как предусмотренные меры совместно изменяют состояние конкретной территории.</w:t>
      </w:r>
    </w:p>
    <w:p>
      <w:r>
        <w:rPr>
          <w:rFonts w:ascii="Times New Roman" w:hAnsi="Times New Roman" w:eastAsia="Times New Roman" w:cs="Times New Roman"/>
          <w:color w:val="000000"/>
          <w:lang w:val="ru-RU"/>
        </w:rPr>
        <w:t>Статистические результаты неоднородны по единицам, временному охвату и смыслу. Обработка отходов не равнозначна использованию вторичного сырья. Остаточный индекс выбросов не является величиной сокращения. Площадь воспроизводственных работ не удостоверяет восстановления функций леса. Посещаемость охраняемых территорий не заменяет оценку биоразнообразия. Различия содержания показателей необходимо сохранять в управленческой отчётности. Региональные распределения раскрывают ограничения, которые не видны в одном общероссийском числе.</w:t>
      </w:r>
    </w:p>
    <w:p>
      <w:r>
        <w:rPr>
          <w:rFonts w:ascii="Times New Roman" w:hAnsi="Times New Roman" w:eastAsia="Times New Roman" w:cs="Times New Roman"/>
          <w:color w:val="000000"/>
          <w:lang w:val="ru-RU"/>
        </w:rPr>
        <w:t>Финансовые риски связаны прежде всего с переходом от планирования и привлечения средств к готовому и устойчиво работающему решению. Существенны отбор проектов для будущих ассигнований, техническая готовность, условия привлечённого финансирования, срок экологического отклика и расходы на сохранение достигнутого состояния. Арифметическая сверка публикаций и разграничение статуса финансовых данных являются необходимыми условиями этой оценки, но сами по себе не устанавливают качество расходования средств.</w:t>
      </w:r>
    </w:p>
    <w:p>
      <w:r>
        <w:rPr>
          <w:rFonts w:ascii="Times New Roman" w:hAnsi="Times New Roman" w:eastAsia="Times New Roman" w:cs="Times New Roman"/>
          <w:color w:val="000000"/>
          <w:lang w:val="ru-RU"/>
        </w:rPr>
        <w:t>Анализ проектных связей и текстов показывает предметную специализацию федеральных направлений и значимость взаимодействия с инфраструктурной политикой. Одновременно он выявляет необходимость явных идентификаторов результата, показателя, территории и периода. Лексические методы помогают обнаружить тематические пересечения и неоднозначные формулировки. Для решения о результативности конкретного мероприятия требуются наблюдения его реализации и содержательно обоснованный механизм воздействия.</w:t>
      </w:r>
    </w:p>
    <w:p>
      <w:r>
        <w:rPr>
          <w:rFonts w:ascii="Times New Roman" w:hAnsi="Times New Roman" w:eastAsia="Times New Roman" w:cs="Times New Roman"/>
          <w:color w:val="000000"/>
          <w:lang w:val="ru-RU"/>
        </w:rPr>
        <w:t>Основной практический вывод – переход к проверке устойчивого экологического изменения по связанным наблюдениям: исходное состояние, вмешательство, работа технологии или природоохранной меры, состояние среды и сохранение результата. Предложенные дополнения следует сначала согласовать с существующими данными, затем испытать на типовых территориях и использовать для корректировки отбора и мониторинга. Поэтапное внедрение дополнений позволяет совершенствовать проект по подтверждённым ограничениям и результатам, сохраняя различие между исполнением задания, экологическим изменением и оценённым дополнительным эффектом.</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PAGE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p>
</w:ftr>
</file>

<file path=word/footnotes.xml><?xml version="1.0" encoding="utf-8"?>
<w:footnotes xmlns:w="http://schemas.openxmlformats.org/wordprocessingml/2006/main">
  <w:footnote w:type="separator" w:id="-1">
    <w:p>
      <w:pPr>
        <w:spacing w:after="0"/>
      </w:pPr>
      <w:r>
        <w:separator/>
      </w:r>
    </w:p>
  </w:footnote>
  <w:footnote w:type="continuationSeparator" w:id="0">
    <w:p>
      <w:pPr>
        <w:spacing w:after="0"/>
      </w:pPr>
      <w:r>
        <w:continuationSeparator/>
      </w:r>
    </w:p>
  </w:footnote>
  <w:footnote w:id="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Письмо от 7 августа 2025 г. № 19-50/15014-ОГ о предоставлении паспортов национального проекта «Экологическое благополучие» и федеральных проектов : с приложением сведений по состоянию на 05.08.2025 [Электронный ресурс] // ГАРАНТ.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 xml:space="preserve"> (дата обращения: 28.10.2026).</w:t>
      </w:r>
    </w:p>
  </w:footnote>
  <w:footnote w:id="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Доля обрабатываемых твердых коммунальных отходов в общей массе образованных твердых коммунальных отходов : показатель ЕМИСС № 62792 [Электронный ресурс] // Единая межведомственная информационно-статистическая система. –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Доля захораниваемых твердых коммунальных отходов в общей масе образованных твердых коммунальных отходов : показатель ЕМИСС № 62793 [Электронный ресурс] // Единая межведомственная информационно-статистическая система. –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 xml:space="preserve"> (дата выгрузки: 15.10.2026).</w:t>
      </w:r>
    </w:p>
  </w:footnote>
  <w:footnote w:id="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Снижение совокупного объема выбросов опасных загрязняющих веществ в 12 городах-участниках федерального проекта : показатель ЕМИСС № 62862 [Электронный ресурс] // Единая межведомственная информационно-статистическая система. –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Снижение совокупного объема выбросов опасных загрязняющих веществ в 29 городах-участниках федерального проекта : показатель ЕМИСС № 62863 [Электронный ресурс] // Единая межведомственная информационно-статистическая система. –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 xml:space="preserve"> (дата выгрузки: 15.10.2026).</w:t>
      </w:r>
    </w:p>
  </w:footnote>
  <w:footnote w:id="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агентство лесного хозяйства. Отношение площади лесовосстановления и лесоразведения к площади вырубленных и погибших лесных насаждений : показатель ЕМИСС № 62781 [Электронный ресурс] // Единая межведомственная информационно-статистическая система. –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 xml:space="preserve"> (дата выгрузки: 15.10.2026); Федеральное агентство лесного хозяйства. Об утверждении методики расчёта показателя «Отношение площади лесовосстановления и лесоразведения к площади вырубленных и погибших лесных насаждений» федерального проекта «Сохранение лесов» национального проекта «Экологическое благополучие» : приказ от 27.08.2025 № 602 // Кодификация.РФ. – Текст : электронный. – Режим доступа: </w:t>
      </w:r>
      <w:hyperlink xmlns:ns0="http://schemas.openxmlformats.org/officeDocument/2006/relationships" ns0:id="rId7" w:history="1">
        <w:r>
          <w:rPr>
            <w:rFonts w:ascii="Times New Roman" w:hAnsi="Times New Roman" w:cs="Times New Roman"/>
            <w:color w:val="000000"/>
            <w:sz w:val="20"/>
          </w:rPr>
          <w:t>https:/​/​rulaws.​ru/​acts/​Prikaz-​Rosleshoza-​ot-​27.​08.​2025-​N-​602/​</w:t>
        </w:r>
      </w:hyperlink>
      <w:r>
        <w:rPr>
          <w:rFonts w:ascii="Times New Roman" w:hAnsi="Times New Roman" w:eastAsia="Times New Roman" w:cs="Times New Roman"/>
          <w:color w:val="000000"/>
          <w:sz w:val="20"/>
          <w:szCs w:val="20"/>
          <w:lang w:val="ru-RU"/>
        </w:rPr>
        <w:t xml:space="preserve"> (дата обращения: 28.10.2026); Федеральное агентство лесного хозяйства. Об утверждении методики расчёта показателя «Отношение площади лесовосстановления и лесоразведения к площади вырубленных и погибших лесных насаждений» : приказ от 17.04.2026 № 238 // Законы, кодексы и нормативно-правовые акты Российской Федерации. – Текст : электронный. –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Количество посетителей особо охраняемых природных территорий федерального значения : показатель ЕМИСС № 62777 [Электронный ресурс] // Единая межведомственная информационно-статистическая система. –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 xml:space="preserve"> (дата выгрузки: 15.10.2026).</w:t>
      </w:r>
    </w:p>
  </w:footnote>
  <w:footnote w:id="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[Электронный ресурс] // DataBudget.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 xml:space="preserve"> (дата обращения: 28.10.2026); Генеральная уборка : федеральный проект : электронное представление паспортных сведений, публикация от 16 октября 2026 г., версия 26.32 [Электронный ресурс] // DataBudget.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 xml:space="preserve">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4.1.6 // ГАРАНТ. – Текст : электронный.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 xml:space="preserve"> (дата обращения: 28.10.2026).</w:t>
      </w:r>
    </w:p>
  </w:footnote>
  <w:footnote w:id="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[Электронный ресурс] // DataBudget.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 xml:space="preserve"> (дата обращения: 28.10.2026).</w:t>
      </w:r>
    </w:p>
  </w:footnote>
  <w:footnote w:id="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Письмо от 7 августа 2025 г. № 19-50/15014-ОГ о предоставлении паспортов национального проекта «Экологическое благополучие» и федеральных проектов : с приложением сведений по состоянию на 05.08.2025.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United Nations Statistics Division. Ecosystem Accounting // System of Environmental-Economic Accounting. – Текст : электронный. Режим доступа: </w:t>
      </w:r>
      <w:hyperlink xmlns:ns0="http://schemas.openxmlformats.org/officeDocument/2006/relationships" ns0:id="rId14" w:history="1">
        <w:r>
          <w:rPr>
            <w:rFonts w:ascii="Times New Roman" w:hAnsi="Times New Roman" w:cs="Times New Roman"/>
            <w:color w:val="000000"/>
            <w:sz w:val="20"/>
          </w:rPr>
          <w:t>https:/​/​seea.​un.​org/​en/​methodology/​ecosystem-​accounting</w:t>
        </w:r>
      </w:hyperlink>
      <w:r>
        <w:rPr>
          <w:rFonts w:ascii="Times New Roman" w:hAnsi="Times New Roman" w:eastAsia="Times New Roman" w:cs="Times New Roman"/>
          <w:color w:val="000000"/>
          <w:sz w:val="20"/>
          <w:szCs w:val="20"/>
          <w:lang w:val="ru-RU"/>
        </w:rPr>
        <w:t xml:space="preserve"> (дата обращения: 28.10.2026).</w:t>
      </w:r>
    </w:p>
  </w:footnote>
  <w:footnote w:id="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 национальных целях развития Российской Федерации на период до 2030 года и на перспективу до 2036 года : Указ Президента Российской Федерации от 7 мая 2024 г. № 309. П. 5 // ГАРАНТ. – Текст : электронный. Режим доступа: </w:t>
      </w:r>
      <w:hyperlink xmlns:ns0="http://schemas.openxmlformats.org/officeDocument/2006/relationships" ns0:id="rId15" w:history="1">
        <w:r>
          <w:rPr>
            <w:rFonts w:ascii="Times New Roman" w:hAnsi="Times New Roman" w:cs="Times New Roman"/>
            <w:color w:val="000000"/>
            <w:sz w:val="20"/>
          </w:rPr>
          <w:t>https:/​/​base.​garant.​ru/​408992634/​</w:t>
        </w:r>
      </w:hyperlink>
      <w:r>
        <w:rPr>
          <w:rFonts w:ascii="Times New Roman" w:hAnsi="Times New Roman" w:eastAsia="Times New Roman" w:cs="Times New Roman"/>
          <w:color w:val="000000"/>
          <w:sz w:val="20"/>
          <w:szCs w:val="20"/>
          <w:lang w:val="ru-RU"/>
        </w:rPr>
        <w:t xml:space="preserve"> (дата обращения: 28.10.2026);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Указ Президента Российской Федерации № 309. П. 5. Режим доступа: </w:t>
      </w:r>
      <w:hyperlink xmlns:ns0="http://schemas.openxmlformats.org/officeDocument/2006/relationships" ns0:id="rId15" w:history="1">
        <w:r>
          <w:rPr>
            <w:rFonts w:ascii="Times New Roman" w:hAnsi="Times New Roman" w:cs="Times New Roman"/>
            <w:color w:val="000000"/>
            <w:sz w:val="20"/>
          </w:rPr>
          <w:t>https:/​/​base.​garant.​ru/​408992634/​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отходах производства и потребления : Федеральный закон от 24 июня 1998 г. № 89-ФЗ. Ст. 1, 3 // КонсультантПлюс. – Текст : электронный. Режим доступа: </w:t>
      </w:r>
      <w:hyperlink xmlns:ns0="http://schemas.openxmlformats.org/officeDocument/2006/relationships" ns0:id="rId16" w:history="1">
        <w:r>
          <w:rPr>
            <w:rFonts w:ascii="Times New Roman" w:hAnsi="Times New Roman" w:cs="Times New Roman"/>
            <w:color w:val="000000"/>
            <w:sz w:val="20"/>
          </w:rPr>
          <w:t>https:/​/​www.​consultant.​ru/​document/​Cons_​doc_​LAW_​19109/​</w:t>
        </w:r>
      </w:hyperlink>
      <w:r>
        <w:rPr>
          <w:rFonts w:ascii="Times New Roman" w:hAnsi="Times New Roman" w:eastAsia="Times New Roman" w:cs="Times New Roman"/>
          <w:color w:val="000000"/>
          <w:sz w:val="20"/>
          <w:szCs w:val="20"/>
          <w:lang w:val="ru-RU"/>
        </w:rPr>
        <w:t xml:space="preserve"> (дата обращения: 28.10.2026).</w:t>
      </w:r>
    </w:p>
  </w:footnote>
  <w:footnote w:id="1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Указ Президента Российской Федерации № 309. П. 5. Режим доступа: </w:t>
      </w:r>
      <w:hyperlink xmlns:ns0="http://schemas.openxmlformats.org/officeDocument/2006/relationships" ns0:id="rId15" w:history="1">
        <w:r>
          <w:rPr>
            <w:rFonts w:ascii="Times New Roman" w:hAnsi="Times New Roman" w:cs="Times New Roman"/>
            <w:color w:val="000000"/>
            <w:sz w:val="20"/>
          </w:rPr>
          <w:t>https:/​/​base.​garant.​ru/​408992634/​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открытая републикация паспортных сведений от 16 октября 2026 г., версия 26.38 // DataBudget. – Текст : электронный.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 xml:space="preserve"> (дата обращения: 28.10.2026).</w:t>
      </w:r>
    </w:p>
  </w:footnote>
  <w:footnote w:id="1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отходах производства и потребления : Федеральный закон № 89-ФЗ. Ст. 1, 3. Режим доступа: </w:t>
      </w:r>
      <w:hyperlink xmlns:ns0="http://schemas.openxmlformats.org/officeDocument/2006/relationships" ns0:id="rId16" w:history="1">
        <w:r>
          <w:rPr>
            <w:rFonts w:ascii="Times New Roman" w:hAnsi="Times New Roman" w:cs="Times New Roman"/>
            <w:color w:val="000000"/>
            <w:sz w:val="20"/>
          </w:rPr>
          <w:t>https:/​/​www.​consultant.​ru/​document/​Cons_​doc_​LAW_​19109/​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охране окружающей среды : Федеральный закон от 10 января 2002 г. № 7-ФЗ : ред. от 4 августа 2026 г. Ст. 80.1 // КонсультантПлюс. – Текст : электронный. Режим доступа: </w:t>
      </w:r>
      <w:hyperlink xmlns:ns0="http://schemas.openxmlformats.org/officeDocument/2006/relationships" ns0:id="rId18" w:history="1">
        <w:r>
          <w:rPr>
            <w:rFonts w:ascii="Times New Roman" w:hAnsi="Times New Roman" w:cs="Times New Roman"/>
            <w:color w:val="000000"/>
            <w:sz w:val="20"/>
          </w:rPr>
          <w:t>https:/​/​www.​consultant.​ru/​document/​cons_​doc_​LAW_​34823/​fde2e06b819539d5b2a4f077602075edb2571de6/​</w:t>
        </w:r>
      </w:hyperlink>
      <w:r>
        <w:rPr>
          <w:rFonts w:ascii="Times New Roman" w:hAnsi="Times New Roman" w:eastAsia="Times New Roman" w:cs="Times New Roman"/>
          <w:color w:val="000000"/>
          <w:sz w:val="20"/>
          <w:szCs w:val="20"/>
          <w:lang w:val="ru-RU"/>
        </w:rPr>
        <w:t xml:space="preserve"> (дата обращения: 28.10.2026);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от 16 октября 2026 г., версия 26.32 // DataBudget. – Текст : электронный.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 xml:space="preserve"> (дата обращения: 28.10.2026).</w:t>
      </w:r>
    </w:p>
  </w:footnote>
  <w:footnote w:id="2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 проведении эксперимента по квотированию выбросов загрязняющих веществ и внесении изменений в отдельные законодательные акты Российской Федерации в части снижения загрязнения атмосферного воздуха : Федеральный закон от 26 июля 2019 г. № 195-ФЗ. Ст. 1 // ГАРАНТ. – Текст : электронный. Режим доступа: </w:t>
      </w:r>
      <w:hyperlink xmlns:ns0="http://schemas.openxmlformats.org/officeDocument/2006/relationships" ns0:id="rId20" w:history="1">
        <w:r>
          <w:rPr>
            <w:rFonts w:ascii="Times New Roman" w:hAnsi="Times New Roman" w:cs="Times New Roman"/>
            <w:color w:val="000000"/>
            <w:sz w:val="20"/>
          </w:rPr>
          <w:t>https:/​/​base.​garant.​ru/​72330088/​1cafb24d049dcd1e7707a22d98e9858f/​</w:t>
        </w:r>
      </w:hyperlink>
      <w:r>
        <w:rPr>
          <w:rFonts w:ascii="Times New Roman" w:hAnsi="Times New Roman" w:eastAsia="Times New Roman" w:cs="Times New Roman"/>
          <w:color w:val="000000"/>
          <w:sz w:val="20"/>
          <w:szCs w:val="20"/>
          <w:lang w:val="ru-RU"/>
        </w:rPr>
        <w:t xml:space="preserve"> (дата обращения: 28.10.2026);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лесов : федеральный проект : открытая републикация паспортных сведений от 16 октября 2026 г., версия 26.21 // DataBudget. – Текст : электронный.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 xml:space="preserve"> (дата обращения: 28.10.2026).</w:t>
      </w:r>
    </w:p>
  </w:footnote>
  <w:footnote w:id="3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от 16 октября 2026 г., версия 26.22 // DataBudget. – Текст : электронный.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 xml:space="preserve"> (дата обращения: 28.10.2026).</w:t>
      </w:r>
    </w:p>
  </w:footnote>
  <w:footnote w:id="3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утверждении Правил расчета предельно допустимой рекреационной емкости особо охраняемых природных территорий федерального значения при осуществлении туризма : постановление Правительства Российской Федерации от 31 октября 2023 г. № 1811 // ГАРАНТ. – Текст : электронный. Режим доступа: </w:t>
      </w:r>
      <w:hyperlink xmlns:ns0="http://schemas.openxmlformats.org/officeDocument/2006/relationships" ns0:id="rId23" w:history="1">
        <w:r>
          <w:rPr>
            <w:rFonts w:ascii="Times New Roman" w:hAnsi="Times New Roman" w:cs="Times New Roman"/>
            <w:color w:val="000000"/>
            <w:sz w:val="20"/>
          </w:rPr>
          <w:t>https:/​/​base.​garant.​ru/​407923411/​</w:t>
        </w:r>
      </w:hyperlink>
      <w:r>
        <w:rPr>
          <w:rFonts w:ascii="Times New Roman" w:hAnsi="Times New Roman" w:eastAsia="Times New Roman" w:cs="Times New Roman"/>
          <w:color w:val="000000"/>
          <w:sz w:val="20"/>
          <w:szCs w:val="20"/>
          <w:lang w:val="ru-RU"/>
        </w:rPr>
        <w:t xml:space="preserve"> (дата обращения: 28.10.2026).</w:t>
      </w:r>
    </w:p>
  </w:footnote>
  <w:footnote w:id="3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Снижение негативного воздействия на центральную экологическую зону Байкальской природной территории : показатель ЕМИСС № 62854 [Электронный ресурс] // Единая межведомственная информационно-статистическая система. – Режим доступа: </w:t>
      </w:r>
      <w:hyperlink xmlns:ns0="http://schemas.openxmlformats.org/officeDocument/2006/relationships" ns0:id="rId24" w:history="1">
        <w:r>
          <w:rPr>
            <w:rFonts w:ascii="Times New Roman" w:hAnsi="Times New Roman" w:cs="Times New Roman"/>
            <w:color w:val="000000"/>
            <w:sz w:val="20"/>
          </w:rPr>
          <w:t>https:/​/​www.​fedstat.​ru/​indicator/​62854</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Снижение объема неочищенных сточных вод, сбрасываемых в основные водные объекты : показатель ЕМИСС № 62871 [Электронный ресурс] // Единая межведомственная информационно-статистическая система. – Режим доступа: </w:t>
      </w:r>
      <w:hyperlink xmlns:ns0="http://schemas.openxmlformats.org/officeDocument/2006/relationships" ns0:id="rId25" w:history="1">
        <w:r>
          <w:rPr>
            <w:rFonts w:ascii="Times New Roman" w:hAnsi="Times New Roman" w:cs="Times New Roman"/>
            <w:color w:val="000000"/>
            <w:sz w:val="20"/>
          </w:rPr>
          <w:t>https:/​/​www.​fedstat.​ru/​indicator/​62871</w:t>
        </w:r>
      </w:hyperlink>
      <w:r>
        <w:rPr>
          <w:rFonts w:ascii="Times New Roman" w:hAnsi="Times New Roman" w:eastAsia="Times New Roman" w:cs="Times New Roman"/>
          <w:color w:val="000000"/>
          <w:sz w:val="20"/>
          <w:szCs w:val="20"/>
          <w:lang w:val="ru-RU"/>
        </w:rPr>
        <w:t xml:space="preserve"> (дата выгрузки: 15.10.2026).</w:t>
      </w:r>
    </w:p>
  </w:footnote>
  <w:footnote w:id="3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Экономика замкнутого цикла : федеральный проект : открытая републикация паспортных сведений.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открытая републикация паспортных сведений.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агентство лесного хозяйства. Отнесение площадей лесовосстановления к землям, на которых расположены леса : показатель ЕМИСС № 62782 [Электронный ресурс] // Единая межведомственная информационно-статистическая система. – Режим доступа: </w:t>
      </w:r>
      <w:hyperlink xmlns:ns0="http://schemas.openxmlformats.org/officeDocument/2006/relationships" ns0:id="rId26" w:history="1">
        <w:r>
          <w:rPr>
            <w:rFonts w:ascii="Times New Roman" w:hAnsi="Times New Roman" w:cs="Times New Roman"/>
            <w:color w:val="000000"/>
            <w:sz w:val="20"/>
          </w:rPr>
          <w:t>https:/​/​www.​fedstat.​ru/​indicator/​62782</w:t>
        </w:r>
      </w:hyperlink>
      <w:r>
        <w:rPr>
          <w:rFonts w:ascii="Times New Roman" w:hAnsi="Times New Roman" w:eastAsia="Times New Roman" w:cs="Times New Roman"/>
          <w:color w:val="000000"/>
          <w:sz w:val="20"/>
          <w:szCs w:val="20"/>
          <w:lang w:val="ru-RU"/>
        </w:rPr>
        <w:t xml:space="preserve"> (дата выгрузки: 15.10.2026);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Доля редких и находящихся под угрозой исчезновения объектов животного мира (птиц и млекопитающих), находящихся под особой охраной, охваченных мероприятиями по восстановлению их численности : показатель ЕМИСС № 62778 [Электронный ресурс] // Единая межведомственная информационно-статистическая система. – Режим доступа: </w:t>
      </w:r>
      <w:hyperlink xmlns:ns0="http://schemas.openxmlformats.org/officeDocument/2006/relationships" ns0:id="rId27" w:history="1">
        <w:r>
          <w:rPr>
            <w:rFonts w:ascii="Times New Roman" w:hAnsi="Times New Roman" w:cs="Times New Roman"/>
            <w:color w:val="000000"/>
            <w:sz w:val="20"/>
          </w:rPr>
          <w:t>https:/​/​www.​fedstat.​ru/​indicator/​62778</w:t>
        </w:r>
      </w:hyperlink>
      <w:r>
        <w:rPr>
          <w:rFonts w:ascii="Times New Roman" w:hAnsi="Times New Roman" w:eastAsia="Times New Roman" w:cs="Times New Roman"/>
          <w:color w:val="000000"/>
          <w:sz w:val="20"/>
          <w:szCs w:val="20"/>
          <w:lang w:val="ru-RU"/>
        </w:rPr>
        <w:t xml:space="preserve"> (дата выгрузки: 15.10.2026).</w:t>
      </w:r>
    </w:p>
  </w:footnote>
  <w:footnote w:id="3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«Доля обрабатываемых твёрдых коммунальных отходов в общей массе образованных твёрдых коммунальных отходов» федерального проекта «Экономика замкнутого цикла», входящего в состав национального проекта «Экологическое благополучие» : приказ от 29.11.2024 № 691 // КонсультантПлюс. – Текст : электронный. – Режим доступа: </w:t>
      </w:r>
      <w:hyperlink xmlns:ns0="http://schemas.openxmlformats.org/officeDocument/2006/relationships" ns0:id="rId28" w:history="1">
        <w:r>
          <w:rPr>
            <w:rFonts w:ascii="Times New Roman" w:hAnsi="Times New Roman" w:cs="Times New Roman"/>
            <w:color w:val="000000"/>
            <w:sz w:val="20"/>
          </w:rPr>
          <w:t>https:/​/​www.​consultant.​ru/​document/​cons_​doc_​LAW_​497244/​7b9870463202ac172c364281eb183e5055b8f32e/​</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Об утверждении методики расчёта показателя «Доля захораниваемых твёрдых коммунальных отходов в общей массе образованных твёрдых коммунальных отходов» федерального проекта «Экономика замкнутого цикла», входящего в состав национального проекта «Экологическое благополучие» : приказ от 29.11.2024 № 690 // Кодификация.РФ. – Текст : электронный. – Режим доступа: </w:t>
      </w:r>
      <w:hyperlink xmlns:ns0="http://schemas.openxmlformats.org/officeDocument/2006/relationships" ns0:id="rId29" w:history="1">
        <w:r>
          <w:rPr>
            <w:rFonts w:ascii="Times New Roman" w:hAnsi="Times New Roman" w:cs="Times New Roman"/>
            <w:color w:val="000000"/>
            <w:sz w:val="20"/>
          </w:rPr>
          <w:t>https:/​/​rulaws.​ru/​acts/​Prikaz-​Minprirody-​Rossii-​ot-​29.​11.​2024-​N-​690/​</w:t>
        </w:r>
      </w:hyperlink>
      <w:r>
        <w:rPr>
          <w:rFonts w:ascii="Times New Roman" w:hAnsi="Times New Roman" w:eastAsia="Times New Roman" w:cs="Times New Roman"/>
          <w:color w:val="000000"/>
          <w:sz w:val="20"/>
          <w:szCs w:val="20"/>
          <w:lang w:val="ru-RU"/>
        </w:rPr>
        <w:t xml:space="preserve"> (дата обращения: 28.10.2026).</w:t>
      </w:r>
    </w:p>
  </w:footnote>
  <w:footnote w:id="3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доли обработки ТКО : приказ от 29.11.2024 № 691. Режим доступа: </w:t>
      </w:r>
      <w:hyperlink xmlns:ns0="http://schemas.openxmlformats.org/officeDocument/2006/relationships" ns0:id="rId28" w:history="1">
        <w:r>
          <w:rPr>
            <w:rFonts w:ascii="Times New Roman" w:hAnsi="Times New Roman" w:cs="Times New Roman"/>
            <w:color w:val="000000"/>
            <w:sz w:val="20"/>
          </w:rPr>
          <w:t>https:/​/​www.​consultant.​ru/​document/​cons_​doc_​LAW_​497244/​7b9870463202ac172c364281eb183e5055b8f32e/​</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доли обработки ТКО : приказ от 29.11.2024 № 691. Режим доступа: </w:t>
      </w:r>
      <w:hyperlink xmlns:ns0="http://schemas.openxmlformats.org/officeDocument/2006/relationships" ns0:id="rId28" w:history="1">
        <w:r>
          <w:rPr>
            <w:rFonts w:ascii="Times New Roman" w:hAnsi="Times New Roman" w:cs="Times New Roman"/>
            <w:color w:val="000000"/>
            <w:sz w:val="20"/>
          </w:rPr>
          <w:t>https:/​/​www.​consultant.​ru/​document/​cons_​doc_​LAW_​497244/​7b9870463202ac172c364281eb183e5055b8f32e/​</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доли захоронения ТКО : приказ от 29.11.2024 № 690. Режим доступа: </w:t>
      </w:r>
      <w:hyperlink xmlns:ns0="http://schemas.openxmlformats.org/officeDocument/2006/relationships" ns0:id="rId29" w:history="1">
        <w:r>
          <w:rPr>
            <w:rFonts w:ascii="Times New Roman" w:hAnsi="Times New Roman" w:cs="Times New Roman"/>
            <w:color w:val="000000"/>
            <w:sz w:val="20"/>
          </w:rPr>
          <w:t>https:/​/​rulaws.​ru/​acts/​Prikaz-​Minprirody-​Rossii-​ot-​29.​11.​2024-​N-​690/​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Индекс использования вторичных ресурсов и сырья из отходов в отраслях экономики : показатель ЕМИСС № 62787 [Электронный ресурс] // Единая межведомственная информационно-статистическая система. – Режим доступа: </w:t>
      </w:r>
      <w:hyperlink xmlns:ns0="http://schemas.openxmlformats.org/officeDocument/2006/relationships" ns0:id="rId30" w:history="1">
        <w:r>
          <w:rPr>
            <w:rFonts w:ascii="Times New Roman" w:hAnsi="Times New Roman" w:cs="Times New Roman"/>
            <w:color w:val="000000"/>
            <w:sz w:val="20"/>
          </w:rPr>
          <w:t>https:/​/​www.​fedstat.​ru/​indicator/​62787</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Доля утилизированных отходов в общем объеме отходов I и II классов опасности : показатель ЕМИСС № 62804 [Электронный ресурс] // Единая межведомственная информационно-статистическая система. – Режим доступа: </w:t>
      </w:r>
      <w:hyperlink xmlns:ns0="http://schemas.openxmlformats.org/officeDocument/2006/relationships" ns0:id="rId31" w:history="1">
        <w:r>
          <w:rPr>
            <w:rFonts w:ascii="Times New Roman" w:hAnsi="Times New Roman" w:cs="Times New Roman"/>
            <w:color w:val="000000"/>
            <w:sz w:val="20"/>
          </w:rPr>
          <w:t>https:/​/​www.​fedstat.​ru/​indicator/​62804</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Об утверждении методики расчёта показателя «Индекс использования вторичных ресурсов и сырья из отходов в отраслях экономики» : приказ от 30.12.2025 № 761 // КонсультантПлюс. – Текст : электронный. – Режим доступа: </w:t>
      </w:r>
      <w:hyperlink xmlns:ns0="http://schemas.openxmlformats.org/officeDocument/2006/relationships" ns0:id="rId32" w:history="1">
        <w:r>
          <w:rPr>
            <w:rFonts w:ascii="Times New Roman" w:hAnsi="Times New Roman" w:cs="Times New Roman"/>
            <w:color w:val="000000"/>
            <w:sz w:val="20"/>
          </w:rPr>
          <w:t>https:/​/​www.​consultant.​ru/​document/​cons_​doc_​LAW_​533545/​2ff7a8c72de3994f30496a0ccbb1ddafdaddf518/​</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Об утверждении методики расчёта показателя «Доля утилизированных отходов в общем объёме отходов I и II классов опасности» федерального проекта «Экономика замкнутого цикла», входящего в состав национального проекта «Экологическое благополучие» : приказ от 05.08.2026 № 432 // ГАРАНТ. – Текст : электронный. – Режим доступа: </w:t>
      </w:r>
      <w:hyperlink xmlns:ns0="http://schemas.openxmlformats.org/officeDocument/2006/relationships" ns0:id="rId33" w:history="1">
        <w:r>
          <w:rPr>
            <w:rFonts w:ascii="Times New Roman" w:hAnsi="Times New Roman" w:cs="Times New Roman"/>
            <w:color w:val="000000"/>
            <w:sz w:val="20"/>
          </w:rPr>
          <w:t>https:/​/​base.​garant.​ru/​414794215/​</w:t>
        </w:r>
      </w:hyperlink>
      <w:r>
        <w:rPr>
          <w:rFonts w:ascii="Times New Roman" w:hAnsi="Times New Roman" w:eastAsia="Times New Roman" w:cs="Times New Roman"/>
          <w:color w:val="000000"/>
          <w:sz w:val="20"/>
          <w:szCs w:val="20"/>
          <w:lang w:val="ru-RU"/>
        </w:rPr>
        <w:t xml:space="preserve"> (дата обращения: 28.10.2026).</w:t>
      </w:r>
    </w:p>
  </w:footnote>
  <w:footnote w:id="4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«Снижение совокупного объёма выбросов опасных загрязняющих веществ в 12 городах – участниках федерального проекта» : приказ от 20.11.2025 № 630 // Кодификация.РФ. – Текст : электронный. – Режим доступа: </w:t>
      </w:r>
      <w:hyperlink xmlns:ns0="http://schemas.openxmlformats.org/officeDocument/2006/relationships" ns0:id="rId34" w:history="1">
        <w:r>
          <w:rPr>
            <w:rFonts w:ascii="Times New Roman" w:hAnsi="Times New Roman" w:cs="Times New Roman"/>
            <w:color w:val="000000"/>
            <w:sz w:val="20"/>
          </w:rPr>
          <w:t>https:/​/​rulaws.​ru/​acts/​Prikaz-​Minprirody-​Rossii-​ot-​20.​11.​2025-​N-​630/​</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Об утверждении методики расчёта показателя «Снижение совокупного объёма выбросов опасных загрязняющих веществ в 29 городах – участниках федерального проекта» : приказ от 20.11.2025 № 629 // База нормативно-правовых актов. – Текст : электронный. – Режим доступа: </w:t>
      </w:r>
      <w:hyperlink xmlns:ns0="http://schemas.openxmlformats.org/officeDocument/2006/relationships" ns0:id="rId35" w:history="1">
        <w:r>
          <w:rPr>
            <w:rFonts w:ascii="Times New Roman" w:hAnsi="Times New Roman" w:cs="Times New Roman"/>
            <w:color w:val="000000"/>
            <w:sz w:val="20"/>
          </w:rPr>
          <w:t>https:/​/​bazanpa.​ru/​minprirody-​rossii-​prikaz-​n629-​ot20112025-​h7000681/​</w:t>
        </w:r>
      </w:hyperlink>
      <w:r>
        <w:rPr>
          <w:rFonts w:ascii="Times New Roman" w:hAnsi="Times New Roman" w:eastAsia="Times New Roman" w:cs="Times New Roman"/>
          <w:color w:val="000000"/>
          <w:sz w:val="20"/>
          <w:szCs w:val="20"/>
          <w:lang w:val="ru-RU"/>
        </w:rPr>
        <w:t xml:space="preserve"> (дата обращения: 28.10.2026).</w:t>
      </w:r>
    </w:p>
  </w:footnote>
  <w:footnote w:id="4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12 городов : приказ от 20.11.2025 № 630. Режим доступа: </w:t>
      </w:r>
      <w:hyperlink xmlns:ns0="http://schemas.openxmlformats.org/officeDocument/2006/relationships" ns0:id="rId34" w:history="1">
        <w:r>
          <w:rPr>
            <w:rFonts w:ascii="Times New Roman" w:hAnsi="Times New Roman" w:cs="Times New Roman"/>
            <w:color w:val="000000"/>
            <w:sz w:val="20"/>
          </w:rPr>
          <w:t>https:/​/​rulaws.​ru/​acts/​Prikaz-​Minprirody-​Rossii-​ot-​20.​11.​2025-​N-​630/​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29 городов : приказ от 20.11.2025 № 629. Режим доступа: </w:t>
      </w:r>
      <w:hyperlink xmlns:ns0="http://schemas.openxmlformats.org/officeDocument/2006/relationships" ns0:id="rId35" w:history="1">
        <w:r>
          <w:rPr>
            <w:rFonts w:ascii="Times New Roman" w:hAnsi="Times New Roman" w:cs="Times New Roman"/>
            <w:color w:val="000000"/>
            <w:sz w:val="20"/>
          </w:rPr>
          <w:t>https:/​/​bazanpa.​ru/​minprirody-​rossii-​prikaz-​n629-​ot20112025-​h7000681/​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12 городов : приказ от 20.11.2025 № 630. Режим доступа: </w:t>
      </w:r>
      <w:hyperlink xmlns:ns0="http://schemas.openxmlformats.org/officeDocument/2006/relationships" ns0:id="rId34" w:history="1">
        <w:r>
          <w:rPr>
            <w:rFonts w:ascii="Times New Roman" w:hAnsi="Times New Roman" w:cs="Times New Roman"/>
            <w:color w:val="000000"/>
            <w:sz w:val="20"/>
          </w:rPr>
          <w:t>https:/​/​rulaws.​ru/​acts/​Prikaz-​Minprirody-​Rossii-​ot-​20.​11.​2025-​N-​630/​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29 городов : приказ от 20.11.2025 № 629. Режим доступа: </w:t>
      </w:r>
      <w:hyperlink xmlns:ns0="http://schemas.openxmlformats.org/officeDocument/2006/relationships" ns0:id="rId35" w:history="1">
        <w:r>
          <w:rPr>
            <w:rFonts w:ascii="Times New Roman" w:hAnsi="Times New Roman" w:cs="Times New Roman"/>
            <w:color w:val="000000"/>
            <w:sz w:val="20"/>
          </w:rPr>
          <w:t>https:/​/​bazanpa.​ru/​minprirody-​rossii-​prikaz-​n629-​ot20112025-​h7000681/​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Численность населения, качество жизни которого улучшится в связи с сокращением объема выбросов опасных загрязняющих веществ в 29 городах-участниках федерального проекта : показатель ЕМИСС № 62860 [Электронный ресурс] // Единая межведомственная информационно-статистическая система. – Режим доступа: </w:t>
      </w:r>
      <w:hyperlink xmlns:ns0="http://schemas.openxmlformats.org/officeDocument/2006/relationships" ns0:id="rId36" w:history="1">
        <w:r>
          <w:rPr>
            <w:rFonts w:ascii="Times New Roman" w:hAnsi="Times New Roman" w:cs="Times New Roman"/>
            <w:color w:val="000000"/>
            <w:sz w:val="20"/>
          </w:rPr>
          <w:t>https:/​/​www.​fedstat.​ru/​indicator/​62860</w:t>
        </w:r>
      </w:hyperlink>
      <w:r>
        <w:rPr>
          <w:rFonts w:ascii="Times New Roman" w:hAnsi="Times New Roman" w:eastAsia="Times New Roman" w:cs="Times New Roman"/>
          <w:color w:val="000000"/>
          <w:sz w:val="20"/>
          <w:szCs w:val="20"/>
          <w:lang w:val="ru-RU"/>
        </w:rPr>
        <w:t xml:space="preserve"> (дата выгрузки: 15.10.2026).</w:t>
      </w:r>
    </w:p>
  </w:footnote>
  <w:footnote w:id="5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Объём неочищенных сточных вод : ЕМИСС № 62871. Режим доступа: </w:t>
      </w:r>
      <w:hyperlink xmlns:ns0="http://schemas.openxmlformats.org/officeDocument/2006/relationships" ns0:id="rId25" w:history="1">
        <w:r>
          <w:rPr>
            <w:rFonts w:ascii="Times New Roman" w:hAnsi="Times New Roman" w:cs="Times New Roman"/>
            <w:color w:val="000000"/>
            <w:sz w:val="20"/>
          </w:rPr>
          <w:t>https:/​/​www.​fedstat.​ru/​indicator/​62871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«Снижение объёма неочищенных сточных вод, сбрасываемых в основные водные объекты» : приказ от 10.04.2026 № 206 // ГАРАНТ. – Текст : электронный. – Режим доступа: </w:t>
      </w:r>
      <w:hyperlink xmlns:ns0="http://schemas.openxmlformats.org/officeDocument/2006/relationships" ns0:id="rId37" w:history="1">
        <w:r>
          <w:rPr>
            <w:rFonts w:ascii="Times New Roman" w:hAnsi="Times New Roman" w:cs="Times New Roman"/>
            <w:color w:val="000000"/>
            <w:sz w:val="20"/>
          </w:rPr>
          <w:t>https:/​/​base.​garant.​ru/​414704619/​</w:t>
        </w:r>
      </w:hyperlink>
      <w:r>
        <w:rPr>
          <w:rFonts w:ascii="Times New Roman" w:hAnsi="Times New Roman" w:eastAsia="Times New Roman" w:cs="Times New Roman"/>
          <w:color w:val="000000"/>
          <w:sz w:val="20"/>
          <w:szCs w:val="20"/>
          <w:lang w:val="ru-RU"/>
        </w:rPr>
        <w:t xml:space="preserve"> (дата обращения: 28.10.2026).</w:t>
      </w:r>
    </w:p>
  </w:footnote>
  <w:footnote w:id="5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Объём неочищенных сточных вод : ЕМИСС № 62871. Режим доступа: </w:t>
      </w:r>
      <w:hyperlink xmlns:ns0="http://schemas.openxmlformats.org/officeDocument/2006/relationships" ns0:id="rId25" w:history="1">
        <w:r>
          <w:rPr>
            <w:rFonts w:ascii="Times New Roman" w:hAnsi="Times New Roman" w:cs="Times New Roman"/>
            <w:color w:val="000000"/>
            <w:sz w:val="20"/>
          </w:rPr>
          <w:t>https:/​/​www.​fedstat.​ru/​indicator/​62871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открытая републикация паспортных сведений от 16 октября 2026 г., версия 26.33 // DataBudget. – Текст : электронный.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 xml:space="preserve"> (дата обращения: 28.10.2026); Минприроды России. Методика объёма неочищенных стоков : приказ от 10.04.2026 № 206. Режим доступа: </w:t>
      </w:r>
      <w:hyperlink xmlns:ns0="http://schemas.openxmlformats.org/officeDocument/2006/relationships" ns0:id="rId37" w:history="1">
        <w:r>
          <w:rPr>
            <w:rFonts w:ascii="Times New Roman" w:hAnsi="Times New Roman" w:cs="Times New Roman"/>
            <w:color w:val="000000"/>
            <w:sz w:val="20"/>
          </w:rPr>
          <w:t>https:/​/​base.​garant.​ru/​414704619/​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агентство водных ресурсов. Численность населения, для которого созданы комфортные условия проживания вблизи водных объектов : показатель ЕМИСС № 62859 [Электронный ресурс] // Единая межведомственная информационно-статистическая система. – Режим доступа: </w:t>
      </w:r>
      <w:hyperlink xmlns:ns0="http://schemas.openxmlformats.org/officeDocument/2006/relationships" ns0:id="rId39" w:history="1">
        <w:r>
          <w:rPr>
            <w:rFonts w:ascii="Times New Roman" w:hAnsi="Times New Roman" w:cs="Times New Roman"/>
            <w:color w:val="000000"/>
            <w:sz w:val="20"/>
          </w:rPr>
          <w:t>https:/​/​www.​fedstat.​ru/​indicator/​62859</w:t>
        </w:r>
      </w:hyperlink>
      <w:r>
        <w:rPr>
          <w:rFonts w:ascii="Times New Roman" w:hAnsi="Times New Roman" w:eastAsia="Times New Roman" w:cs="Times New Roman"/>
          <w:color w:val="000000"/>
          <w:sz w:val="20"/>
          <w:szCs w:val="20"/>
          <w:lang w:val="ru-RU"/>
        </w:rPr>
        <w:t xml:space="preserve"> (дата выгрузки: 15.10.2026).</w:t>
      </w:r>
    </w:p>
  </w:footnote>
  <w:footnote w:id="5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воздействия на Байкальскую территорию : ЕМИСС № 62854. Режим доступа: </w:t>
      </w:r>
      <w:hyperlink xmlns:ns0="http://schemas.openxmlformats.org/officeDocument/2006/relationships" ns0:id="rId24" w:history="1">
        <w:r>
          <w:rPr>
            <w:rFonts w:ascii="Times New Roman" w:hAnsi="Times New Roman" w:cs="Times New Roman"/>
            <w:color w:val="000000"/>
            <w:sz w:val="20"/>
          </w:rPr>
          <w:t>https:/​/​www.​fedstat.​ru/​indicator/​62854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«Снижение негативного воздействия на центральную экологическую зону Байкальской природной территории» : приказ от 10.04.2026 № 205 // ГАРАНТ. – Текст : электронный. – Режим доступа: </w:t>
      </w:r>
      <w:hyperlink xmlns:ns0="http://schemas.openxmlformats.org/officeDocument/2006/relationships" ns0:id="rId40" w:history="1">
        <w:r>
          <w:rPr>
            <w:rFonts w:ascii="Times New Roman" w:hAnsi="Times New Roman" w:cs="Times New Roman"/>
            <w:color w:val="000000"/>
            <w:sz w:val="20"/>
          </w:rPr>
          <w:t>https:/​/​base.​garant.​ru/​414704617/​</w:t>
        </w:r>
      </w:hyperlink>
      <w:r>
        <w:rPr>
          <w:rFonts w:ascii="Times New Roman" w:hAnsi="Times New Roman" w:eastAsia="Times New Roman" w:cs="Times New Roman"/>
          <w:color w:val="000000"/>
          <w:sz w:val="20"/>
          <w:szCs w:val="20"/>
          <w:lang w:val="ru-RU"/>
        </w:rPr>
        <w:t xml:space="preserve"> (дата обращения: 28.10.2026).</w:t>
      </w:r>
    </w:p>
  </w:footnote>
  <w:footnote w:id="6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Количество ликвидированных опасных для населения и окружающей среды объектов накопленного вреда окружающей среде : показатель ЕМИСС № 62786 // ЕМИСС. – Режим доступа: </w:t>
      </w:r>
      <w:hyperlink xmlns:ns0="http://schemas.openxmlformats.org/officeDocument/2006/relationships" ns0:id="rId41" w:history="1">
        <w:r>
          <w:rPr>
            <w:rFonts w:ascii="Times New Roman" w:hAnsi="Times New Roman" w:cs="Times New Roman"/>
            <w:color w:val="000000"/>
            <w:sz w:val="20"/>
          </w:rPr>
          <w:t>https:/​/​www.​fedstat.​ru/​indicator/​62786</w:t>
        </w:r>
      </w:hyperlink>
      <w:r>
        <w:rPr>
          <w:rFonts w:ascii="Times New Roman" w:hAnsi="Times New Roman" w:eastAsia="Times New Roman" w:cs="Times New Roman"/>
          <w:color w:val="000000"/>
          <w:sz w:val="20"/>
          <w:szCs w:val="20"/>
          <w:lang w:val="ru-RU"/>
        </w:rPr>
        <w:t xml:space="preserve"> (дата выгрузки: 15.10.2026); Росморречфлот. Количество удаленного затонувшего имущества : показатель ЕМИСС № 62828 // ЕМИСС. – Режим доступа: </w:t>
      </w:r>
      <w:hyperlink xmlns:ns0="http://schemas.openxmlformats.org/officeDocument/2006/relationships" ns0:id="rId42" w:history="1">
        <w:r>
          <w:rPr>
            <w:rFonts w:ascii="Times New Roman" w:hAnsi="Times New Roman" w:cs="Times New Roman"/>
            <w:color w:val="000000"/>
            <w:sz w:val="20"/>
          </w:rPr>
          <w:t>https:/​/​www.​fedstat.​ru/​indicator/​62828</w:t>
        </w:r>
      </w:hyperlink>
      <w:r>
        <w:rPr>
          <w:rFonts w:ascii="Times New Roman" w:hAnsi="Times New Roman" w:eastAsia="Times New Roman" w:cs="Times New Roman"/>
          <w:color w:val="000000"/>
          <w:sz w:val="20"/>
          <w:szCs w:val="20"/>
          <w:lang w:val="ru-RU"/>
        </w:rPr>
        <w:t xml:space="preserve"> (дата выгрузки: 15.10.2026).</w:t>
      </w:r>
    </w:p>
  </w:footnote>
  <w:footnote w:id="6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27.08.2025 № 602. Режим доступа: </w:t>
      </w:r>
      <w:hyperlink xmlns:ns0="http://schemas.openxmlformats.org/officeDocument/2006/relationships" ns0:id="rId7" w:history="1">
        <w:r>
          <w:rPr>
            <w:rFonts w:ascii="Times New Roman" w:hAnsi="Times New Roman" w:cs="Times New Roman"/>
            <w:color w:val="000000"/>
            <w:sz w:val="20"/>
          </w:rPr>
          <w:t>https:/​/​rulaws.​ru/​acts/​Prikaz-​Rosleshoza-​ot-​27.​08.​2025-​N-​602/​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27.08.2025 № 602. Режим доступа: </w:t>
      </w:r>
      <w:hyperlink xmlns:ns0="http://schemas.openxmlformats.org/officeDocument/2006/relationships" ns0:id="rId7" w:history="1">
        <w:r>
          <w:rPr>
            <w:rFonts w:ascii="Times New Roman" w:hAnsi="Times New Roman" w:cs="Times New Roman"/>
            <w:color w:val="000000"/>
            <w:sz w:val="20"/>
          </w:rPr>
          <w:t>https:/​/​rulaws.​ru/​acts/​Prikaz-​Rosleshoza-​ot-​27.​08.​2025-​N-​602/​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Отнесение восстановленных площадей к лесным землям : ЕМИСС № 62782. Режим доступа: </w:t>
      </w:r>
      <w:hyperlink xmlns:ns0="http://schemas.openxmlformats.org/officeDocument/2006/relationships" ns0:id="rId26" w:history="1">
        <w:r>
          <w:rPr>
            <w:rFonts w:ascii="Times New Roman" w:hAnsi="Times New Roman" w:cs="Times New Roman"/>
            <w:color w:val="000000"/>
            <w:sz w:val="20"/>
          </w:rPr>
          <w:t>https:/​/​www.​fedstat.​ru/​indicator/​62782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агентство лесного хозяйства. Об утверждении методики расчёта показателя «Отнесение площадей лесовосстановления к землям, на которых расположены леса» федерального проекта «Сохранение лесов» национального проекта «Экологическое благополучие» : приказ от 26.11.2024 № 879 // Кодификация.РФ. – Текст : электронный. – Режим доступа: </w:t>
      </w:r>
      <w:hyperlink xmlns:ns0="http://schemas.openxmlformats.org/officeDocument/2006/relationships" ns0:id="rId43" w:history="1">
        <w:r>
          <w:rPr>
            <w:rFonts w:ascii="Times New Roman" w:hAnsi="Times New Roman" w:cs="Times New Roman"/>
            <w:color w:val="000000"/>
            <w:sz w:val="20"/>
          </w:rPr>
          <w:t>https:/​/​rulaws.​ru/​acts/​Prikaz-​Rosleshoza-​ot-​26.​11.​2024-​N-​879/​</w:t>
        </w:r>
      </w:hyperlink>
      <w:r>
        <w:rPr>
          <w:rFonts w:ascii="Times New Roman" w:hAnsi="Times New Roman" w:eastAsia="Times New Roman" w:cs="Times New Roman"/>
          <w:color w:val="000000"/>
          <w:sz w:val="20"/>
          <w:szCs w:val="20"/>
          <w:lang w:val="ru-RU"/>
        </w:rPr>
        <w:t xml:space="preserve"> (дата обращения: 28.10.2026).</w:t>
      </w:r>
    </w:p>
  </w:footnote>
  <w:footnote w:id="6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Отнесение восстановленных площадей к лесным землям : ЕМИСС № 62782. Режим доступа: </w:t>
      </w:r>
      <w:hyperlink xmlns:ns0="http://schemas.openxmlformats.org/officeDocument/2006/relationships" ns0:id="rId26" w:history="1">
        <w:r>
          <w:rPr>
            <w:rFonts w:ascii="Times New Roman" w:hAnsi="Times New Roman" w:cs="Times New Roman"/>
            <w:color w:val="000000"/>
            <w:sz w:val="20"/>
          </w:rPr>
          <w:t>https:/​/​www.​fedstat.​ru/​indicator/​62782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агентство лесного хозяйства. Сокращение площади лесных пожаров на землях лесного фонда по отношению к 2021 году : показатель ЕМИСС № 62779 [Электронный ресурс] // Единая межведомственная информационно-статистическая система. – Режим доступа: </w:t>
      </w:r>
      <w:hyperlink xmlns:ns0="http://schemas.openxmlformats.org/officeDocument/2006/relationships" ns0:id="rId44" w:history="1">
        <w:r>
          <w:rPr>
            <w:rFonts w:ascii="Times New Roman" w:hAnsi="Times New Roman" w:cs="Times New Roman"/>
            <w:color w:val="000000"/>
            <w:sz w:val="20"/>
          </w:rPr>
          <w:t>https:/​/​www.​fedstat.​ru/​indicator/​62779</w:t>
        </w:r>
      </w:hyperlink>
      <w:r>
        <w:rPr>
          <w:rFonts w:ascii="Times New Roman" w:hAnsi="Times New Roman" w:eastAsia="Times New Roman" w:cs="Times New Roman"/>
          <w:color w:val="000000"/>
          <w:sz w:val="20"/>
          <w:szCs w:val="20"/>
          <w:lang w:val="ru-RU"/>
        </w:rPr>
        <w:t xml:space="preserve"> (дата выгрузки: 15.10.2026); Сохранение лесов : федеральный проект : открытая републикация паспортных сведений.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агентство лесного хозяйства. О признании утратившими силу приказов Федерального агентства лесного хозяйства от 25 ноября 2024 г. № 858 и от 25 декабря 2024 г. № 1000 : приказ от 31.08.2026 № 604 // ГАРАНТ. – Текст : электронный. – Режим доступа: </w:t>
      </w:r>
      <w:hyperlink xmlns:ns0="http://schemas.openxmlformats.org/officeDocument/2006/relationships" ns0:id="rId45" w:history="1">
        <w:r>
          <w:rPr>
            <w:rFonts w:ascii="Times New Roman" w:hAnsi="Times New Roman" w:cs="Times New Roman"/>
            <w:color w:val="000000"/>
            <w:sz w:val="20"/>
          </w:rPr>
          <w:t>https:/​/​base.​garant.​ru/​414962788/​</w:t>
        </w:r>
      </w:hyperlink>
      <w:r>
        <w:rPr>
          <w:rFonts w:ascii="Times New Roman" w:hAnsi="Times New Roman" w:eastAsia="Times New Roman" w:cs="Times New Roman"/>
          <w:color w:val="000000"/>
          <w:sz w:val="20"/>
          <w:szCs w:val="20"/>
          <w:lang w:val="ru-RU"/>
        </w:rPr>
        <w:t xml:space="preserve"> (дата обращения: 28.10.2026).</w:t>
      </w:r>
    </w:p>
  </w:footnote>
  <w:footnote w:id="6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Охват редких видов мероприятиями : ЕМИСС № 62778. Режим доступа: </w:t>
      </w:r>
      <w:hyperlink xmlns:ns0="http://schemas.openxmlformats.org/officeDocument/2006/relationships" ns0:id="rId27" w:history="1">
        <w:r>
          <w:rPr>
            <w:rFonts w:ascii="Times New Roman" w:hAnsi="Times New Roman" w:cs="Times New Roman"/>
            <w:color w:val="000000"/>
            <w:sz w:val="20"/>
          </w:rPr>
          <w:t>https:/​/​www.​fedstat.​ru/​indicator/​62778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«Доля редких и находящихся под угрозой исчезновения объектов животного мира (птиц и млекопитающих), находящихся под особой охраной, охваченных мероприятиями по восстановлению их численности» : приказ от 13.11.2025 № 614 // ГАРАНТ. – Текст : электронный. – Режим доступа: </w:t>
      </w:r>
      <w:hyperlink xmlns:ns0="http://schemas.openxmlformats.org/officeDocument/2006/relationships" ns0:id="rId46" w:history="1">
        <w:r>
          <w:rPr>
            <w:rFonts w:ascii="Times New Roman" w:hAnsi="Times New Roman" w:cs="Times New Roman"/>
            <w:color w:val="000000"/>
            <w:sz w:val="20"/>
          </w:rPr>
          <w:t>https:/​/​www.​garant.​ru/​products/​ipo/​prime/​doc/​413442242/​</w:t>
        </w:r>
      </w:hyperlink>
      <w:r>
        <w:rPr>
          <w:rFonts w:ascii="Times New Roman" w:hAnsi="Times New Roman" w:eastAsia="Times New Roman" w:cs="Times New Roman"/>
          <w:color w:val="000000"/>
          <w:sz w:val="20"/>
          <w:szCs w:val="20"/>
          <w:lang w:val="ru-RU"/>
        </w:rPr>
        <w:t xml:space="preserve"> (дата обращения: 28.10.2026).</w:t>
      </w:r>
    </w:p>
  </w:footnote>
  <w:footnote w:id="6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«Количество посетителей особо охраняемых природных территорий федерального значения» : приказ от 09.04.2025 № 187 // Кодификация.РФ. – Текст : электронный. – Режим доступа: </w:t>
      </w:r>
      <w:hyperlink xmlns:ns0="http://schemas.openxmlformats.org/officeDocument/2006/relationships" ns0:id="rId47" w:history="1">
        <w:r>
          <w:rPr>
            <w:rFonts w:ascii="Times New Roman" w:hAnsi="Times New Roman" w:cs="Times New Roman"/>
            <w:color w:val="000000"/>
            <w:sz w:val="20"/>
          </w:rPr>
          <w:t>https:/​/​rulaws.​ru/​acts/​Prikaz-​Minprirody-​Rossii-​ot-​09.​04.​2025-​N-​187/​</w:t>
        </w:r>
      </w:hyperlink>
      <w:r>
        <w:rPr>
          <w:rFonts w:ascii="Times New Roman" w:hAnsi="Times New Roman" w:eastAsia="Times New Roman" w:cs="Times New Roman"/>
          <w:color w:val="000000"/>
          <w:sz w:val="20"/>
          <w:szCs w:val="20"/>
          <w:lang w:val="ru-RU"/>
        </w:rPr>
        <w:t xml:space="preserve"> (дата обращения: 28.10.2026).</w:t>
      </w:r>
    </w:p>
  </w:footnote>
  <w:footnote w:id="7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Методика учёта посетителей ООПТ : приказ от 09.04.2025 № 187. Режим доступа: </w:t>
      </w:r>
      <w:hyperlink xmlns:ns0="http://schemas.openxmlformats.org/officeDocument/2006/relationships" ns0:id="rId47" w:history="1">
        <w:r>
          <w:rPr>
            <w:rFonts w:ascii="Times New Roman" w:hAnsi="Times New Roman" w:cs="Times New Roman"/>
            <w:color w:val="000000"/>
            <w:sz w:val="20"/>
          </w:rPr>
          <w:t>https:/​/​rulaws.​ru/​acts/​Prikaz-​Minprirody-​Rossii-​ot-​09.​04.​2025-​N-​187/​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Доля доступной населению информации по основным направлениям экологического мониторинга : показатель ЕМИСС № 62861 [Электронный ресурс] // Единая межведомственная информационно-статистическая система. – Режим доступа: </w:t>
      </w:r>
      <w:hyperlink xmlns:ns0="http://schemas.openxmlformats.org/officeDocument/2006/relationships" ns0:id="rId48" w:history="1">
        <w:r>
          <w:rPr>
            <w:rFonts w:ascii="Times New Roman" w:hAnsi="Times New Roman" w:cs="Times New Roman"/>
            <w:color w:val="000000"/>
            <w:sz w:val="20"/>
          </w:rPr>
          <w:t>https:/​/​www.​fedstat.​ru/​indicator/​62861</w:t>
        </w:r>
      </w:hyperlink>
      <w:r>
        <w:rPr>
          <w:rFonts w:ascii="Times New Roman" w:hAnsi="Times New Roman" w:eastAsia="Times New Roman" w:cs="Times New Roman"/>
          <w:color w:val="000000"/>
          <w:sz w:val="20"/>
          <w:szCs w:val="20"/>
          <w:lang w:val="ru-RU"/>
        </w:rPr>
        <w:t xml:space="preserve"> (дата выгрузки: 15.10.2026).</w:t>
      </w:r>
    </w:p>
  </w:footnote>
  <w:footnote w:id="7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открытая републикация паспортных сведений.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открытая републикация паспортных сведений.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открытая републикация паспортных сведений.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Grimmer J., Stewart B. M. Text as Data: The Promise and Pitfalls of Automatic Content Analysis Methods for Political Texts // Political Analysis. 2013. Vol. 21, no. 3. P. 267–297. DOI: 10.1093/pan/mps028. Режим доступа: </w:t>
      </w:r>
      <w:hyperlink xmlns:ns0="http://schemas.openxmlformats.org/officeDocument/2006/relationships" ns0:id="rId49" w:history="1">
        <w:r>
          <w:rPr>
            <w:rFonts w:ascii="Times New Roman" w:hAnsi="Times New Roman" w:cs="Times New Roman"/>
            <w:color w:val="000000"/>
            <w:sz w:val="20"/>
          </w:rPr>
          <w:t>https:/​/​doi.​org/​10.​1093/​pan/​mps028</w:t>
        </w:r>
      </w:hyperlink>
      <w:r>
        <w:rPr>
          <w:rFonts w:ascii="Times New Roman" w:hAnsi="Times New Roman" w:eastAsia="Times New Roman" w:cs="Times New Roman"/>
          <w:color w:val="000000"/>
          <w:sz w:val="20"/>
          <w:szCs w:val="20"/>
          <w:lang w:val="ru-RU"/>
        </w:rPr>
        <w:t xml:space="preserve"> (дата обращения: 28.10.2026).</w:t>
      </w:r>
    </w:p>
  </w:footnote>
  <w:footnote w:id="8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Scikit-learn developers. TfidfTransformer [Электронный ресурс] // Scikit-learn documentation. Режим доступа: </w:t>
      </w:r>
      <w:hyperlink xmlns:ns0="http://schemas.openxmlformats.org/officeDocument/2006/relationships" ns0:id="rId5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 xml:space="preserve"> (дата обращения: 28.10.2026).</w:t>
      </w:r>
    </w:p>
  </w:footnote>
  <w:footnote w:id="8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электронное представление паспортных сведений, публикация от 16 октября 2026 г., версия 26.38.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Письмо от 7 августа 2025 г. № 19-50/15014-ОГ о предоставлении паспортов национального проекта «Экологическое благополучие» и федеральных проектов : с приложением сведений по состоянию на 05.08.2025.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Генеральная уборка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электронное представление паспортных сведений, публикация от 16 октября 2026 г., версия 26.38.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Snowball. Russian stemming algorithm [Электронный ресурс]. Режим доступа: </w:t>
      </w:r>
      <w:hyperlink xmlns:ns0="http://schemas.openxmlformats.org/officeDocument/2006/relationships" ns0:id="rId5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 xml:space="preserve"> (дата обращения: 28.10.2026).</w:t>
      </w:r>
    </w:p>
  </w:footnote>
  <w:footnote w:id="10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World Health Organization. WHO global air quality guidelines: particulate matter (PM₂.₅ and PM₁₀), ozone, nitrogen dioxide, sulfur dioxide and carbon monoxide. Geneva : WHO, 2021. ISBN 978-92-4-003422-8. Режим доступа: </w:t>
      </w:r>
      <w:hyperlink xmlns:ns0="http://schemas.openxmlformats.org/officeDocument/2006/relationships" ns0:id="rId52" w:history="1">
        <w:r>
          <w:rPr>
            <w:rFonts w:ascii="Times New Roman" w:hAnsi="Times New Roman" w:cs="Times New Roman"/>
            <w:color w:val="000000"/>
            <w:sz w:val="20"/>
          </w:rPr>
          <w:t>https:/​/​www.​who.​int/​publications/​i/​item/​9789240034228</w:t>
        </w:r>
      </w:hyperlink>
      <w:r>
        <w:rPr>
          <w:rFonts w:ascii="Times New Roman" w:hAnsi="Times New Roman" w:eastAsia="Times New Roman" w:cs="Times New Roman"/>
          <w:color w:val="000000"/>
          <w:sz w:val="20"/>
          <w:szCs w:val="20"/>
          <w:lang w:val="ru-RU"/>
        </w:rPr>
        <w:t xml:space="preserve"> (дата обращения: 28.10.2026); World Health Organization. WHO global air quality guidelines : publication overview. 2021. – Текст : электронный. Режим доступа: </w:t>
      </w:r>
      <w:hyperlink xmlns:ns0="http://schemas.openxmlformats.org/officeDocument/2006/relationships" ns0:id="rId53" w:history="1">
        <w:r>
          <w:rPr>
            <w:rFonts w:ascii="Times New Roman" w:hAnsi="Times New Roman" w:cs="Times New Roman"/>
            <w:color w:val="000000"/>
            <w:sz w:val="20"/>
          </w:rPr>
          <w:t>https:/​/​www.​who.​int/​publications/​b/​59593</w:t>
        </w:r>
      </w:hyperlink>
      <w:r>
        <w:rPr>
          <w:rFonts w:ascii="Times New Roman" w:hAnsi="Times New Roman" w:eastAsia="Times New Roman" w:cs="Times New Roman"/>
          <w:color w:val="000000"/>
          <w:sz w:val="20"/>
          <w:szCs w:val="20"/>
          <w:lang w:val="ru-RU"/>
        </w:rPr>
        <w:t xml:space="preserve"> (дата обращения: 28.10.2026).</w:t>
      </w:r>
    </w:p>
  </w:footnote>
  <w:footnote w:id="10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Экономика замкнутого цикла : федеральный проект : электронное представление паспортных сведений, публикация от 16 октября 2026 г., версия 26.38.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OECD. Extended Producer Responsibility: Basic facts and key principles // OECD Environment Policy Papers. 2024. No. 41. Paris : OECD Publishing. 19 p. DOI: 10.1787/67587b0b-en. Режим доступа: </w:t>
      </w:r>
      <w:hyperlink xmlns:ns0="http://schemas.openxmlformats.org/officeDocument/2006/relationships" ns0:id="rId54" w:history="1">
        <w:r>
          <w:rPr>
            <w:rFonts w:ascii="Times New Roman" w:hAnsi="Times New Roman" w:cs="Times New Roman"/>
            <w:color w:val="000000"/>
            <w:sz w:val="20"/>
          </w:rPr>
          <w:t>https:/​/​doi.​org/​10.​1787/​67587b0b-​en</w:t>
        </w:r>
      </w:hyperlink>
      <w:r>
        <w:rPr>
          <w:rFonts w:ascii="Times New Roman" w:hAnsi="Times New Roman" w:eastAsia="Times New Roman" w:cs="Times New Roman"/>
          <w:color w:val="000000"/>
          <w:sz w:val="20"/>
          <w:szCs w:val="20"/>
          <w:lang w:val="ru-RU"/>
        </w:rPr>
        <w:t xml:space="preserve"> (дата обращения: 28.10.2026).</w:t>
      </w:r>
    </w:p>
  </w:footnote>
  <w:footnote w:id="10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UN-Water. Progress on Ambient Water Quality – 2024 Update. 25 August 2024. – Текст : электронный. Режим доступа: </w:t>
      </w:r>
      <w:hyperlink xmlns:ns0="http://schemas.openxmlformats.org/officeDocument/2006/relationships" ns0:id="rId55" w:history="1">
        <w:r>
          <w:rPr>
            <w:rFonts w:ascii="Times New Roman" w:hAnsi="Times New Roman" w:cs="Times New Roman"/>
            <w:color w:val="000000"/>
            <w:sz w:val="20"/>
          </w:rPr>
          <w:t>https:/​/​www.​unwater.​org/​publications/​progress-​ambient-​water-​quality-​2024-​update</w:t>
        </w:r>
      </w:hyperlink>
      <w:r>
        <w:rPr>
          <w:rFonts w:ascii="Times New Roman" w:hAnsi="Times New Roman" w:eastAsia="Times New Roman" w:cs="Times New Roman"/>
          <w:color w:val="000000"/>
          <w:sz w:val="20"/>
          <w:szCs w:val="20"/>
          <w:lang w:val="ru-RU"/>
        </w:rPr>
        <w:t xml:space="preserve"> (дата обращения: 28.10.2026).</w:t>
      </w:r>
    </w:p>
  </w:footnote>
  <w:footnote w:id="10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Gann G. D., McDonald T., Walder B. et al. International principles and standards for the practice of ecological restoration. Second edition // Restoration Ecology. 2019. Vol. 27, suppl. 1. P. S1–S46. DOI: 10.1111/rec.13035. Режим доступа: </w:t>
      </w:r>
      <w:hyperlink xmlns:ns0="http://schemas.openxmlformats.org/officeDocument/2006/relationships" ns0:id="rId56" w:history="1">
        <w:r>
          <w:rPr>
            <w:rFonts w:ascii="Times New Roman" w:hAnsi="Times New Roman" w:cs="Times New Roman"/>
            <w:color w:val="000000"/>
            <w:sz w:val="20"/>
          </w:rPr>
          <w:t>https:/​/​doi.​org/​10.​1111/​rec.​13035</w:t>
        </w:r>
      </w:hyperlink>
      <w:r>
        <w:rPr>
          <w:rFonts w:ascii="Times New Roman" w:hAnsi="Times New Roman" w:eastAsia="Times New Roman" w:cs="Times New Roman"/>
          <w:color w:val="000000"/>
          <w:sz w:val="20"/>
          <w:szCs w:val="20"/>
          <w:lang w:val="ru-RU"/>
        </w:rPr>
        <w:t xml:space="preserve"> (дата обращения: 28.10.2026).</w:t>
      </w:r>
    </w:p>
  </w:footnote>
  <w:footnote w:id="11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1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Secretariat of the Convention on Biological Diversity. Target 3. Conserve 30% of Land, Waters and Seas // Kunming-Montreal Global Biodiversity Framework. – Текст : электронный. Режим доступа: </w:t>
      </w:r>
      <w:hyperlink xmlns:ns0="http://schemas.openxmlformats.org/officeDocument/2006/relationships" ns0:id="rId57" w:history="1">
        <w:r>
          <w:rPr>
            <w:rFonts w:ascii="Times New Roman" w:hAnsi="Times New Roman" w:cs="Times New Roman"/>
            <w:color w:val="000000"/>
            <w:sz w:val="20"/>
          </w:rPr>
          <w:t>https:/​/​www.​cbd.​int/​gbf/​targets/​3</w:t>
        </w:r>
      </w:hyperlink>
      <w:r>
        <w:rPr>
          <w:rFonts w:ascii="Times New Roman" w:hAnsi="Times New Roman" w:eastAsia="Times New Roman" w:cs="Times New Roman"/>
          <w:color w:val="000000"/>
          <w:sz w:val="20"/>
          <w:szCs w:val="20"/>
          <w:lang w:val="ru-RU"/>
        </w:rPr>
        <w:t xml:space="preserve"> (дата обращения: 28.10.2026).</w:t>
      </w:r>
    </w:p>
  </w:footnote>
  <w:footnote w:id="11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Underwood A. J. On Beyond BACI: Sampling Designs that Might Reliably Detect Environmental Disturbances // Ecological Applications. 1994. Vol. 4, no. 1. P. 3–15. DOI: 10.2307/1942110. Режим доступа: </w:t>
      </w:r>
      <w:hyperlink xmlns:ns0="http://schemas.openxmlformats.org/officeDocument/2006/relationships" ns0:id="rId58" w:history="1">
        <w:r>
          <w:rPr>
            <w:rFonts w:ascii="Times New Roman" w:hAnsi="Times New Roman" w:cs="Times New Roman"/>
            <w:color w:val="000000"/>
            <w:sz w:val="20"/>
          </w:rPr>
          <w:t>https:/​/​doi.​org/​10.​2307/​1942110</w:t>
        </w:r>
      </w:hyperlink>
      <w:r>
        <w:rPr>
          <w:rFonts w:ascii="Times New Roman" w:hAnsi="Times New Roman" w:eastAsia="Times New Roman" w:cs="Times New Roman"/>
          <w:color w:val="000000"/>
          <w:sz w:val="20"/>
          <w:szCs w:val="20"/>
          <w:lang w:val="ru-RU"/>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Start w:val="1"/>
    <w:numRestart w:val="continuous"/>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sz w:val="20"/>
      <w:szCs w:val="20"/>
      <w:color w:val="00000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spacing w:val="15"/>
      <w:sz w:val="24"/>
      <w:szCs w:val="24"/>
      <w:color w:val="000000"/>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
    <w:name w:val="Normal"/>
    <w:qFormat/>
    <w:rsid w:val="00FC693F"/>
    <w:pPr>
      <w:keepLines w:val="0"/>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spacing w:val="5"/>
      <w:kern w:val="28"/>
      <w:sz w:val="28"/>
      <w:szCs w:val="52"/>
      <w:lang w:val="ru-RU"/>
      <w:color w:val="000000"/>
    </w:rPr>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imes New Roman" w:hAnsi="Times New Roman" w:eastAsia="Times New Roman" w:cs="Times New Roman"/>
      <w:b/>
      <w:bCs/>
      <w:sz w:val="28"/>
      <w:szCs w:val="28"/>
      <w:lang w:val="ru-RU"/>
      <w:color w:val="000000"/>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imes New Roman" w:hAnsi="Times New Roman" w:eastAsia="Times New Roman" w:cs="Times New Roman"/>
      <w:b/>
      <w:bCs/>
      <w:sz w:val="28"/>
      <w:szCs w:val="26"/>
      <w:lang w:val="ru-RU"/>
      <w:color w:val="000000"/>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imes New Roman" w:hAnsi="Times New Roman" w:eastAsia="Times New Roman" w:cs="Times New Roman"/>
      <w:b/>
      <w:bCs/>
      <w:sz w:val="28"/>
      <w:lang w:val="ru-RU"/>
      <w:color w:val="000000"/>
    </w:rPr>
  </w:style>
  <w:style w:type="paragraph" w:styleId="Caption">
    <w:name w:val="caption"/>
    <w:basedOn w:val="Normal"/>
    <w:next w:val="Normal"/>
    <w:uiPriority w:val="35"/>
    <w:semiHidden/>
    <w:unhideWhenUsed/>
    <w:qFormat/>
    <w:rsid w:val="00FC693F"/>
    <w:pPr>
      <w:keepNext w:val="0"/>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paragraph" w:customStyle="1" w:styleId="SourceNote">
    <w:name w:val="Source Note"/>
    <w:basedOn w:val="Normal"/>
    <w:pPr>
      <w:widowControl/>
      <w:spacing w:line="240" w:lineRule="auto" w:after="80"/>
      <w:ind w:firstLine="0"/>
      <w:jc w:val="both"/>
    </w:pPr>
    <w:rPr>
      <w:rFonts w:ascii="Times New Roman" w:hAnsi="Times New Roman"/>
      <w:sz w:val="22"/>
    </w:rPr>
  </w:style>
  <w:style w:type="paragraph" w:customStyle="1" w:styleId="TableText">
    <w:name w:val="Table Text"/>
    <w:basedOn w:val="Normal"/>
    <w:pPr>
      <w:widowControl/>
      <w:spacing w:line="240" w:lineRule="auto" w:after="80"/>
      <w:ind w:firstLine="0"/>
      <w:jc w:val="left"/>
    </w:pPr>
    <w:rPr>
      <w:rFonts w:ascii="Times New Roman" w:hAnsi="Times New Roman"/>
      <w:sz w:val="23"/>
    </w:rPr>
  </w:style>
  <w:style w:type="paragraph" w:customStyle="1" w:styleId="TOCEntry">
    <w:name w:val="TOC Entry"/>
    <w:basedOn w:val="Normal"/>
    <w:pPr>
      <w:widowControl/>
      <w:spacing w:line="240" w:lineRule="auto" w:after="80"/>
      <w:ind w:firstLine="0"/>
      <w:jc w:val="left"/>
    </w:pPr>
    <w:rPr>
      <w:rFonts w:ascii="Times New Roman" w:hAnsi="Times New Roman"/>
      <w:sz w:val="24"/>
    </w:rPr>
  </w:style>
  <w:style w:type="paragraph" w:customStyle="1" w:styleId="EquationText">
    <w:name w:val="Equation Text"/>
    <w:basedOn w:val="Normal"/>
    <w:pPr>
      <w:widowControl/>
      <w:spacing w:line="240" w:lineRule="auto" w:after="80"/>
      <w:ind w:firstLine="0"/>
      <w:jc w:val="center"/>
    </w:pPr>
    <w:rPr>
      <w:rFonts w:ascii="Times New Roman" w:hAnsi="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arant.ru/products/ipo/prime/doc/412600807/" TargetMode="External"/><Relationship Id="rId2" Type="http://schemas.openxmlformats.org/officeDocument/2006/relationships/hyperlink" Target="https://www.fedstat.ru/indicator/62792" TargetMode="External"/><Relationship Id="rId3" Type="http://schemas.openxmlformats.org/officeDocument/2006/relationships/hyperlink" Target="https://www.fedstat.ru/indicator/62793" TargetMode="External"/><Relationship Id="rId4" Type="http://schemas.openxmlformats.org/officeDocument/2006/relationships/hyperlink" Target="https://www.fedstat.ru/indicator/62862" TargetMode="External"/><Relationship Id="rId5" Type="http://schemas.openxmlformats.org/officeDocument/2006/relationships/hyperlink" Target="https://www.fedstat.ru/indicator/62863" TargetMode="External"/><Relationship Id="rId6" Type="http://schemas.openxmlformats.org/officeDocument/2006/relationships/hyperlink" Target="https://www.fedstat.ru/indicator/62781" TargetMode="External"/><Relationship Id="rId7" Type="http://schemas.openxmlformats.org/officeDocument/2006/relationships/hyperlink" Target="https://rulaws.ru/acts/Prikaz-Rosleshoza-ot-27.08.2025-N-602/" TargetMode="External"/><Relationship Id="rId8" Type="http://schemas.openxmlformats.org/officeDocument/2006/relationships/hyperlink" Target="https://legalacts.ru/doc/prikaz-rosleskhoza-ot-17042026-n-238-ob-utverzhdenii-metodiki/" TargetMode="External"/><Relationship Id="rId9" Type="http://schemas.openxmlformats.org/officeDocument/2006/relationships/hyperlink" Target="https://www.fedstat.ru/indicator/62777" TargetMode="External"/><Relationship Id="rId10" Type="http://schemas.openxmlformats.org/officeDocument/2006/relationships/hyperlink" Target="https://databudget.ru/projects/np/25" TargetMode="External"/><Relationship Id="rId11" Type="http://schemas.openxmlformats.org/officeDocument/2006/relationships/hyperlink" Target="https://databudget.ru/projects/fp/246" TargetMode="External"/><Relationship Id="rId12" Type="http://schemas.openxmlformats.org/officeDocument/2006/relationships/hyperlink" Target="https://base.garant.ru/411685865/" TargetMode="External"/><Relationship Id="rId13" Type="http://schemas.openxmlformats.org/officeDocument/2006/relationships/hyperlink" Target="https://databudget.ru/projects" TargetMode="External"/><Relationship Id="rId14" Type="http://schemas.openxmlformats.org/officeDocument/2006/relationships/hyperlink" Target="https://seea.un.org/en/methodology/ecosystem-accounting" TargetMode="External"/><Relationship Id="rId15" Type="http://schemas.openxmlformats.org/officeDocument/2006/relationships/hyperlink" Target="https://base.garant.ru/408992634/" TargetMode="External"/><Relationship Id="rId16" Type="http://schemas.openxmlformats.org/officeDocument/2006/relationships/hyperlink" Target="https://www.consultant.ru/document/Cons_doc_LAW_19109/" TargetMode="External"/><Relationship Id="rId17" Type="http://schemas.openxmlformats.org/officeDocument/2006/relationships/hyperlink" Target="https://databudget.ru/projects/fp/255" TargetMode="External"/><Relationship Id="rId18" Type="http://schemas.openxmlformats.org/officeDocument/2006/relationships/hyperlink" Target="https://www.consultant.ru/document/cons_doc_LAW_34823/fde2e06b819539d5b2a4f077602075edb2571de6/" TargetMode="External"/><Relationship Id="rId19" Type="http://schemas.openxmlformats.org/officeDocument/2006/relationships/hyperlink" Target="https://databudget.ru/projects/fp/250" TargetMode="External"/><Relationship Id="rId20" Type="http://schemas.openxmlformats.org/officeDocument/2006/relationships/hyperlink" Target="https://base.garant.ru/72330088/1cafb24d049dcd1e7707a22d98e9858f/" TargetMode="External"/><Relationship Id="rId21" Type="http://schemas.openxmlformats.org/officeDocument/2006/relationships/hyperlink" Target="https://databudget.ru/projects/fp/247" TargetMode="External"/><Relationship Id="rId22" Type="http://schemas.openxmlformats.org/officeDocument/2006/relationships/hyperlink" Target="https://databudget.ru/projects/fp/256" TargetMode="External"/><Relationship Id="rId23" Type="http://schemas.openxmlformats.org/officeDocument/2006/relationships/hyperlink" Target="https://base.garant.ru/407923411/" TargetMode="External"/><Relationship Id="rId24" Type="http://schemas.openxmlformats.org/officeDocument/2006/relationships/hyperlink" Target="https://www.fedstat.ru/indicator/62854" TargetMode="External"/><Relationship Id="rId25" Type="http://schemas.openxmlformats.org/officeDocument/2006/relationships/hyperlink" Target="https://www.fedstat.ru/indicator/62871" TargetMode="External"/><Relationship Id="rId26" Type="http://schemas.openxmlformats.org/officeDocument/2006/relationships/hyperlink" Target="https://www.fedstat.ru/indicator/62782" TargetMode="External"/><Relationship Id="rId27" Type="http://schemas.openxmlformats.org/officeDocument/2006/relationships/hyperlink" Target="https://www.fedstat.ru/indicator/62778" TargetMode="External"/><Relationship Id="rId28" Type="http://schemas.openxmlformats.org/officeDocument/2006/relationships/hyperlink" Target="https://www.consultant.ru/document/cons_doc_LAW_497244/7b9870463202ac172c364281eb183e5055b8f32e/" TargetMode="External"/><Relationship Id="rId29" Type="http://schemas.openxmlformats.org/officeDocument/2006/relationships/hyperlink" Target="https://rulaws.ru/acts/Prikaz-Minprirody-Rossii-ot-29.11.2024-N-690/" TargetMode="External"/><Relationship Id="rId30" Type="http://schemas.openxmlformats.org/officeDocument/2006/relationships/hyperlink" Target="https://www.fedstat.ru/indicator/62787" TargetMode="External"/><Relationship Id="rId31" Type="http://schemas.openxmlformats.org/officeDocument/2006/relationships/hyperlink" Target="https://www.fedstat.ru/indicator/62804" TargetMode="External"/><Relationship Id="rId32" Type="http://schemas.openxmlformats.org/officeDocument/2006/relationships/hyperlink" Target="https://www.consultant.ru/document/cons_doc_LAW_533545/2ff7a8c72de3994f30496a0ccbb1ddafdaddf518/" TargetMode="External"/><Relationship Id="rId33" Type="http://schemas.openxmlformats.org/officeDocument/2006/relationships/hyperlink" Target="https://base.garant.ru/414794215/" TargetMode="External"/><Relationship Id="rId34" Type="http://schemas.openxmlformats.org/officeDocument/2006/relationships/hyperlink" Target="https://rulaws.ru/acts/Prikaz-Minprirody-Rossii-ot-20.11.2025-N-630/" TargetMode="External"/><Relationship Id="rId35" Type="http://schemas.openxmlformats.org/officeDocument/2006/relationships/hyperlink" Target="https://bazanpa.ru/minprirody-rossii-prikaz-n629-ot20112025-h7000681/" TargetMode="External"/><Relationship Id="rId36" Type="http://schemas.openxmlformats.org/officeDocument/2006/relationships/hyperlink" Target="https://www.fedstat.ru/indicator/62860" TargetMode="External"/><Relationship Id="rId37" Type="http://schemas.openxmlformats.org/officeDocument/2006/relationships/hyperlink" Target="https://base.garant.ru/414704619/" TargetMode="External"/><Relationship Id="rId38" Type="http://schemas.openxmlformats.org/officeDocument/2006/relationships/hyperlink" Target="https://databudget.ru/projects/fp/251" TargetMode="External"/><Relationship Id="rId39" Type="http://schemas.openxmlformats.org/officeDocument/2006/relationships/hyperlink" Target="https://www.fedstat.ru/indicator/62859" TargetMode="External"/><Relationship Id="rId40" Type="http://schemas.openxmlformats.org/officeDocument/2006/relationships/hyperlink" Target="https://base.garant.ru/414704617/" TargetMode="External"/><Relationship Id="rId41" Type="http://schemas.openxmlformats.org/officeDocument/2006/relationships/hyperlink" Target="https://www.fedstat.ru/indicator/62786" TargetMode="External"/><Relationship Id="rId42" Type="http://schemas.openxmlformats.org/officeDocument/2006/relationships/hyperlink" Target="https://www.fedstat.ru/indicator/62828" TargetMode="External"/><Relationship Id="rId43" Type="http://schemas.openxmlformats.org/officeDocument/2006/relationships/hyperlink" Target="https://rulaws.ru/acts/Prikaz-Rosleshoza-ot-26.11.2024-N-879/" TargetMode="External"/><Relationship Id="rId44" Type="http://schemas.openxmlformats.org/officeDocument/2006/relationships/hyperlink" Target="https://www.fedstat.ru/indicator/62779" TargetMode="External"/><Relationship Id="rId45" Type="http://schemas.openxmlformats.org/officeDocument/2006/relationships/hyperlink" Target="https://base.garant.ru/414962788/" TargetMode="External"/><Relationship Id="rId46" Type="http://schemas.openxmlformats.org/officeDocument/2006/relationships/hyperlink" Target="https://www.garant.ru/products/ipo/prime/doc/413442242/" TargetMode="External"/><Relationship Id="rId47" Type="http://schemas.openxmlformats.org/officeDocument/2006/relationships/hyperlink" Target="https://rulaws.ru/acts/Prikaz-Minprirody-Rossii-ot-09.04.2025-N-187/" TargetMode="External"/><Relationship Id="rId48" Type="http://schemas.openxmlformats.org/officeDocument/2006/relationships/hyperlink" Target="https://www.fedstat.ru/indicator/62861" TargetMode="External"/><Relationship Id="rId49" Type="http://schemas.openxmlformats.org/officeDocument/2006/relationships/hyperlink" Target="https://doi.org/10.1093/pan/mps028" TargetMode="External"/><Relationship Id="rId50" Type="http://schemas.openxmlformats.org/officeDocument/2006/relationships/hyperlink" Target="https://scikit-learn.org/stable/modules/generated/sklearn.feature_extraction.text.TfidfTransformer.html" TargetMode="External"/><Relationship Id="rId51" Type="http://schemas.openxmlformats.org/officeDocument/2006/relationships/hyperlink" Target="https://snowballstem.org/algorithms/russian/stemmer.html" TargetMode="External"/><Relationship Id="rId52" Type="http://schemas.openxmlformats.org/officeDocument/2006/relationships/hyperlink" Target="https://www.who.int/publications/i/item/9789240034228" TargetMode="External"/><Relationship Id="rId53" Type="http://schemas.openxmlformats.org/officeDocument/2006/relationships/hyperlink" Target="https://www.who.int/publications/b/59593" TargetMode="External"/><Relationship Id="rId54" Type="http://schemas.openxmlformats.org/officeDocument/2006/relationships/hyperlink" Target="https://doi.org/10.1787/67587b0b-en" TargetMode="External"/><Relationship Id="rId55" Type="http://schemas.openxmlformats.org/officeDocument/2006/relationships/hyperlink" Target="https://www.unwater.org/publications/progress-ambient-water-quality-2024-update" TargetMode="External"/><Relationship Id="rId56" Type="http://schemas.openxmlformats.org/officeDocument/2006/relationships/hyperlink" Target="https://doi.org/10.1111/rec.13035" TargetMode="External"/><Relationship Id="rId57" Type="http://schemas.openxmlformats.org/officeDocument/2006/relationships/hyperlink" Target="https://www.cbd.int/gbf/targets/3" TargetMode="External"/><Relationship Id="rId58" Type="http://schemas.openxmlformats.org/officeDocument/2006/relationships/hyperlink" Target="https://doi.org/10.2307/1942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«Экологическое благополучие»</dc:title>
  <dc:subject>Научно-аналитический отчёт</dc:subject>
  <dc:creator/>
  <cp:keywords/>
  <dc:description/>
  <cp:lastModifiedBy/>
  <cp:revision>1</cp:revision>
  <dcterms:created xsi:type="dcterms:W3CDTF">2026-10-28T00:00:00Z</dcterms:created>
  <dcterms:modified xsi:type="dcterms:W3CDTF">2026-10-28T00:00:00Z</dcterms:modified>
  <cp:category/>
</cp:coreProperties>
</file>