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spacing w:before="0" w:after="0" w:line="240" w:lineRule="auto"/>
        <w:ind w:firstLine="0" w:left="0" w:right="0"/>
        <w:jc w:val="center"/>
      </w:pPr>
      <w:r>
        <w:rPr>
          <w:rFonts w:ascii="Times New Roman" w:hAnsi="Times New Roman" w:eastAsia="Times New Roman" w:cs="Times New Roman"/>
          <w:b w:val="0"/>
          <w:color w:val="000000"/>
          <w:sz w:val="26"/>
          <w:lang w:val="ru-RU"/>
        </w:rPr>
        <w:t>ФЕДЕРАЛЬНОЕ ГОСУДАРСТВЕННОЕ БЮДЖЕТНОЕ УЧРЕЖДЕНИЕ НАУКИ</w:t>
        <w:br/>
        <w:t>ФЕДЕРАЛЬНЫЙ НАУЧНО-ИССЛЕДОВАТЕЛЬСКИЙ</w:t>
        <w:br/>
        <w:t>СОЦИОЛОГИЧЕСКИЙ ЦЕНТР</w:t>
        <w:br/>
        <w:t>РОССИЙСКОЙ АКАДЕМИИ НАУК</w:t>
      </w:r>
    </w:p>
    <w:p>
      <w:pPr>
        <w:keepNext w:val="0"/>
        <w:keepLines/>
        <w:widowControl/>
        <w:spacing w:before="680" w:after="0" w:line="240" w:lineRule="auto"/>
        <w:ind w:firstLine="0" w:left="4592" w:right="0"/>
        <w:jc w:val="right"/>
      </w:pPr>
      <w:r>
        <w:rPr>
          <w:rFonts w:ascii="Times New Roman" w:hAnsi="Times New Roman" w:eastAsia="Times New Roman" w:cs="Times New Roman"/>
          <w:b w:val="0"/>
          <w:color w:val="000000"/>
          <w:sz w:val="28"/>
          <w:lang w:val="ru-RU"/>
        </w:rPr>
        <w:t>УТВЕРЖДАЮ</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lang w:val="ru-RU"/>
        </w:rPr>
        <w:t>И. о. директора ФНИСЦ РАН</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lang w:val="ru-RU"/>
        </w:rPr>
        <w:t>д. соц. н., проф.</w:t>
      </w:r>
    </w:p>
    <w:p>
      <w:pPr>
        <w:keepNext w:val="0"/>
        <w:keepLines/>
        <w:widowControl/>
        <w:spacing w:before="400" w:after="0" w:line="240" w:lineRule="auto"/>
        <w:ind w:firstLine="0" w:left="4592" w:right="0"/>
        <w:jc w:val="right"/>
      </w:pPr>
      <w:r>
        <w:rPr>
          <w:rFonts w:ascii="Times New Roman" w:hAnsi="Times New Roman" w:eastAsia="Times New Roman" w:cs="Times New Roman"/>
          <w:b w:val="0"/>
          <w:color w:val="000000"/>
          <w:sz w:val="28"/>
          <w:lang w:val="ru-RU"/>
        </w:rPr>
        <w:t>____________ Ю. А. Зубок</w:t>
      </w:r>
    </w:p>
    <w:p>
      <w:pPr>
        <w:keepNext w:val="0"/>
        <w:keepLines/>
        <w:widowControl/>
        <w:spacing w:before="240" w:after="0" w:line="240" w:lineRule="auto"/>
        <w:ind w:firstLine="0" w:left="4592" w:right="0"/>
        <w:jc w:val="right"/>
      </w:pPr>
      <w:r>
        <w:rPr>
          <w:rFonts w:ascii="Times New Roman" w:hAnsi="Times New Roman" w:eastAsia="Times New Roman" w:cs="Times New Roman"/>
          <w:b w:val="0"/>
          <w:color w:val="000000"/>
          <w:sz w:val="28"/>
          <w:lang w:val="ru-RU"/>
        </w:rPr>
        <w:t>«___» ____________ 2026 г.</w:t>
      </w:r>
    </w:p>
    <w:p>
      <w:pPr>
        <w:keepNext w:val="0"/>
        <w:keepLines/>
        <w:widowControl/>
        <w:spacing w:before="960" w:after="0" w:line="240" w:lineRule="auto"/>
        <w:ind w:firstLine="0" w:left="0" w:right="0"/>
        <w:jc w:val="center"/>
      </w:pPr>
      <w:r>
        <w:rPr>
          <w:rFonts w:ascii="Times New Roman" w:hAnsi="Times New Roman" w:eastAsia="Times New Roman" w:cs="Times New Roman"/>
          <w:b/>
          <w:color w:val="000000"/>
          <w:sz w:val="28"/>
          <w:lang w:val="ru-RU"/>
        </w:rPr>
        <w:t>ОТЧЁТ</w:t>
        <w:br/>
        <w:t>О НАУЧНО-ИССЛЕДОВАТЕЛЬСКОЙ РАБОТЕ</w:t>
      </w:r>
    </w:p>
    <w:p>
      <w:pPr>
        <w:keepNext w:val="0"/>
        <w:keepLines/>
        <w:widowControl/>
        <w:spacing w:before="500" w:after="160" w:line="240" w:lineRule="auto"/>
        <w:ind w:firstLine="0" w:left="0" w:right="0"/>
        <w:jc w:val="center"/>
      </w:pPr>
      <w:r>
        <w:rPr>
          <w:rFonts w:ascii="Times New Roman" w:hAnsi="Times New Roman" w:eastAsia="Times New Roman" w:cs="Times New Roman"/>
          <w:b/>
          <w:color w:val="000000"/>
          <w:sz w:val="28"/>
          <w:lang w:val="ru-RU"/>
        </w:rPr>
        <w:t>Тема</w:t>
      </w:r>
    </w:p>
    <w:p>
      <w:pPr>
        <w:pStyle w:val="Title"/>
        <w:keepNext w:val="0"/>
        <w:keepLines/>
        <w:widowControl/>
        <w:spacing w:before="0" w:after="0" w:line="240" w:lineRule="auto"/>
        <w:ind w:firstLine="0" w:left="0" w:right="0"/>
        <w:jc w:val="center"/>
      </w:pPr>
      <w:r>
        <w:rPr>
          <w:rFonts w:ascii="Times New Roman" w:hAnsi="Times New Roman" w:eastAsia="Times New Roman" w:cs="Times New Roman"/>
          <w:b/>
          <w:color w:val="000000"/>
          <w:sz w:val="28"/>
          <w:lang w:val="ru-RU"/>
        </w:rPr>
        <w:t>ЭКСПЕРТИЗА НАЦИОНАЛЬНОГО ПРОЕКТА</w:t>
        <w:br/>
        <w:t>«ТУРИЗМ И ГОСТЕПРИИМСТВО»</w:t>
      </w:r>
    </w:p>
    <w:p>
      <w:pPr>
        <w:keepNext w:val="0"/>
        <w:keepLines/>
        <w:widowControl/>
        <w:spacing w:before="5200" w:after="0" w:line="240" w:lineRule="auto"/>
        <w:ind w:firstLine="0" w:left="0" w:right="0"/>
        <w:jc w:val="center"/>
      </w:pPr>
      <w:r>
        <w:rPr>
          <w:rFonts w:ascii="Times New Roman" w:hAnsi="Times New Roman" w:eastAsia="Times New Roman" w:cs="Times New Roman"/>
          <w:b/>
          <w:color w:val="000000"/>
          <w:sz w:val="28"/>
          <w:lang w:val="ru-RU"/>
        </w:rPr>
        <w:t>Москва</w:t>
        <w:br/>
        <w:t>2026</w:t>
      </w:r>
    </w:p>
    <w:p>
      <w:r>
        <w:br w:type="page"/>
      </w:r>
    </w:p>
    <w:p>
      <w:pPr>
        <w:spacing w:after="200"/>
        <w:ind w:firstLine="0"/>
        <w:jc w:val="center"/>
      </w:pPr>
      <w:r>
        <w:rPr>
          <w:b/>
        </w:rPr>
        <w:t>СОДЕРЖАНИЕ</w:t>
      </w:r>
    </w:p>
    <w:p>
      <w:pPr>
        <w:pStyle w:val="TOCEntry"/>
        <w:keepNext w:val="0"/>
        <w:tabs>
          <w:tab w:pos="9581" w:val="right" w:leader="dot"/>
        </w:tabs>
        <w:spacing w:after="40"/>
        <w:ind w:left="0"/>
      </w:pPr>
      <w:hyperlink w:anchor="sec_0">
        <w:r>
          <w:rPr>
            <w:rFonts w:ascii="Times New Roman" w:hAnsi="Times New Roman"/>
            <w:sz w:val="23"/>
            <w:b/>
          </w:rPr>
          <w:t>Краткие результаты экспертизы</w:t>
        </w:r>
      </w:hyperlink>
      <w:r>
        <w:tab/>
      </w:r>
      <w:fldSimple w:instr="PAGEREF sec_0 \h">
        <w:r>
          <w:t>4</w:t>
        </w:r>
      </w:fldSimple>
    </w:p>
    <w:p>
      <w:pPr>
        <w:pStyle w:val="TOCEntry"/>
        <w:keepNext w:val="0"/>
        <w:tabs>
          <w:tab w:pos="9581" w:val="right" w:leader="dot"/>
        </w:tabs>
        <w:spacing w:after="40"/>
        <w:ind w:left="0"/>
      </w:pPr>
      <w:hyperlink w:anchor="sec_1">
        <w:r>
          <w:rPr>
            <w:rFonts w:ascii="Times New Roman" w:hAnsi="Times New Roman"/>
            <w:sz w:val="23"/>
            <w:b/>
          </w:rPr>
          <w:t>1 Предмет экспертизы и критерии оценки</w:t>
        </w:r>
      </w:hyperlink>
      <w:r>
        <w:tab/>
      </w:r>
      <w:fldSimple w:instr="PAGEREF sec_1 \h">
        <w:r>
          <w:t>8</w:t>
        </w:r>
      </w:fldSimple>
    </w:p>
    <w:p>
      <w:pPr>
        <w:pStyle w:val="TOCEntry"/>
        <w:keepNext w:val="0"/>
        <w:tabs>
          <w:tab w:pos="9354" w:val="right" w:leader="dot"/>
        </w:tabs>
        <w:spacing w:after="40"/>
        <w:ind w:left="227"/>
      </w:pPr>
      <w:hyperlink w:anchor="sec_2">
        <w:r>
          <w:rPr>
            <w:rFonts w:ascii="Times New Roman" w:hAnsi="Times New Roman"/>
            <w:sz w:val="23"/>
          </w:rPr>
          <w:t>1.1 Цели проекта и границы исследования</w:t>
        </w:r>
      </w:hyperlink>
      <w:r>
        <w:tab/>
      </w:r>
      <w:fldSimple w:instr="PAGEREF sec_2 \h">
        <w:r>
          <w:t>8</w:t>
        </w:r>
      </w:fldSimple>
    </w:p>
    <w:p>
      <w:pPr>
        <w:pStyle w:val="TOCEntry"/>
        <w:keepNext w:val="0"/>
        <w:tabs>
          <w:tab w:pos="9354" w:val="right" w:leader="dot"/>
        </w:tabs>
        <w:spacing w:after="40"/>
        <w:ind w:left="227"/>
      </w:pPr>
      <w:hyperlink w:anchor="sec_3">
        <w:r>
          <w:rPr>
            <w:rFonts w:ascii="Times New Roman" w:hAnsi="Times New Roman"/>
            <w:sz w:val="23"/>
          </w:rPr>
          <w:t>1.2 Источники и уровни доказательности</w:t>
        </w:r>
      </w:hyperlink>
      <w:r>
        <w:tab/>
      </w:r>
      <w:fldSimple w:instr="PAGEREF sec_3 \h">
        <w:r>
          <w:t>9</w:t>
        </w:r>
      </w:fldSimple>
    </w:p>
    <w:p>
      <w:pPr>
        <w:pStyle w:val="TOCEntry"/>
        <w:keepNext w:val="0"/>
        <w:tabs>
          <w:tab w:pos="9354" w:val="right" w:leader="dot"/>
        </w:tabs>
        <w:spacing w:after="40"/>
        <w:ind w:left="227"/>
      </w:pPr>
      <w:hyperlink w:anchor="sec_4">
        <w:r>
          <w:rPr>
            <w:rFonts w:ascii="Times New Roman" w:hAnsi="Times New Roman"/>
            <w:sz w:val="23"/>
          </w:rPr>
          <w:t>1.3 Экономический и социальный смысл результата</w:t>
        </w:r>
      </w:hyperlink>
      <w:r>
        <w:tab/>
      </w:r>
      <w:fldSimple w:instr="PAGEREF sec_4 \h">
        <w:r>
          <w:t>11</w:t>
        </w:r>
      </w:fldSimple>
    </w:p>
    <w:p>
      <w:pPr>
        <w:pStyle w:val="TOCEntry"/>
        <w:keepNext w:val="0"/>
        <w:tabs>
          <w:tab w:pos="9581" w:val="right" w:leader="dot"/>
        </w:tabs>
        <w:spacing w:after="40"/>
        <w:ind w:left="0"/>
      </w:pPr>
      <w:hyperlink w:anchor="sec_5">
        <w:r>
          <w:rPr>
            <w:rFonts w:ascii="Times New Roman" w:hAnsi="Times New Roman"/>
            <w:sz w:val="23"/>
            <w:b/>
          </w:rPr>
          <w:t>2 Структура проекта и механизмы формирования результата</w:t>
        </w:r>
      </w:hyperlink>
      <w:r>
        <w:tab/>
      </w:r>
      <w:fldSimple w:instr="PAGEREF sec_5 \h">
        <w:r>
          <w:t>13</w:t>
        </w:r>
      </w:fldSimple>
    </w:p>
    <w:p>
      <w:pPr>
        <w:pStyle w:val="TOCEntry"/>
        <w:keepNext w:val="0"/>
        <w:tabs>
          <w:tab w:pos="9354" w:val="right" w:leader="dot"/>
        </w:tabs>
        <w:spacing w:after="40"/>
        <w:ind w:left="227"/>
      </w:pPr>
      <w:hyperlink w:anchor="sec_6">
        <w:r>
          <w:rPr>
            <w:rFonts w:ascii="Times New Roman" w:hAnsi="Times New Roman"/>
            <w:sz w:val="23"/>
          </w:rPr>
          <w:t>2.1 Взаимодействие пяти федеральных направлений</w:t>
        </w:r>
      </w:hyperlink>
      <w:r>
        <w:tab/>
      </w:r>
      <w:fldSimple w:instr="PAGEREF sec_6 \h">
        <w:r>
          <w:t>13</w:t>
        </w:r>
      </w:fldSimple>
    </w:p>
    <w:p>
      <w:pPr>
        <w:pStyle w:val="TOCEntry"/>
        <w:keepNext w:val="0"/>
        <w:tabs>
          <w:tab w:pos="9354" w:val="right" w:leader="dot"/>
        </w:tabs>
        <w:spacing w:after="40"/>
        <w:ind w:left="227"/>
      </w:pPr>
      <w:hyperlink w:anchor="sec_7">
        <w:r>
          <w:rPr>
            <w:rFonts w:ascii="Times New Roman" w:hAnsi="Times New Roman"/>
            <w:sz w:val="23"/>
          </w:rPr>
          <w:t>2.2 Номерной фонд и обеспечивающая инфраструктура</w:t>
        </w:r>
      </w:hyperlink>
      <w:r>
        <w:tab/>
      </w:r>
      <w:fldSimple w:instr="PAGEREF sec_7 \h">
        <w:r>
          <w:t>15</w:t>
        </w:r>
      </w:fldSimple>
    </w:p>
    <w:p>
      <w:pPr>
        <w:pStyle w:val="TOCEntry"/>
        <w:keepNext w:val="0"/>
        <w:tabs>
          <w:tab w:pos="9354" w:val="right" w:leader="dot"/>
        </w:tabs>
        <w:spacing w:after="40"/>
        <w:ind w:left="227"/>
      </w:pPr>
      <w:hyperlink w:anchor="sec_8">
        <w:r>
          <w:rPr>
            <w:rFonts w:ascii="Times New Roman" w:hAnsi="Times New Roman"/>
            <w:sz w:val="23"/>
          </w:rPr>
          <w:t>2.3 Крупные курорты и отложенные результаты</w:t>
        </w:r>
      </w:hyperlink>
      <w:r>
        <w:tab/>
      </w:r>
      <w:fldSimple w:instr="PAGEREF sec_8 \h">
        <w:r>
          <w:t>16</w:t>
        </w:r>
      </w:fldSimple>
    </w:p>
    <w:p>
      <w:pPr>
        <w:pStyle w:val="TOCEntry"/>
        <w:keepNext w:val="0"/>
        <w:tabs>
          <w:tab w:pos="9354" w:val="right" w:leader="dot"/>
        </w:tabs>
        <w:spacing w:after="40"/>
        <w:ind w:left="227"/>
      </w:pPr>
      <w:hyperlink w:anchor="sec_9">
        <w:r>
          <w:rPr>
            <w:rFonts w:ascii="Times New Roman" w:hAnsi="Times New Roman"/>
            <w:sz w:val="23"/>
          </w:rPr>
          <w:t>2.4 Продвижение и наблюдение спроса</w:t>
        </w:r>
      </w:hyperlink>
      <w:r>
        <w:tab/>
      </w:r>
      <w:fldSimple w:instr="PAGEREF sec_9 \h">
        <w:r>
          <w:t>18</w:t>
        </w:r>
      </w:fldSimple>
    </w:p>
    <w:p>
      <w:pPr>
        <w:pStyle w:val="TOCEntry"/>
        <w:keepNext w:val="0"/>
        <w:tabs>
          <w:tab w:pos="9354" w:val="right" w:leader="dot"/>
        </w:tabs>
        <w:spacing w:after="40"/>
        <w:ind w:left="227"/>
      </w:pPr>
      <w:hyperlink w:anchor="sec_10">
        <w:r>
          <w:rPr>
            <w:rFonts w:ascii="Times New Roman" w:hAnsi="Times New Roman"/>
            <w:sz w:val="23"/>
          </w:rPr>
          <w:t>2.5 Кадровое и промышленное обеспечение</w:t>
        </w:r>
      </w:hyperlink>
      <w:r>
        <w:tab/>
      </w:r>
      <w:fldSimple w:instr="PAGEREF sec_10 \h">
        <w:r>
          <w:t>18</w:t>
        </w:r>
      </w:fldSimple>
    </w:p>
    <w:p>
      <w:pPr>
        <w:pStyle w:val="TOCEntry"/>
        <w:keepNext w:val="0"/>
        <w:tabs>
          <w:tab w:pos="9581" w:val="right" w:leader="dot"/>
        </w:tabs>
        <w:spacing w:after="40"/>
        <w:ind w:left="0"/>
      </w:pPr>
      <w:hyperlink w:anchor="sec_11">
        <w:r>
          <w:rPr>
            <w:rFonts w:ascii="Times New Roman" w:hAnsi="Times New Roman"/>
            <w:sz w:val="23"/>
            <w:b/>
          </w:rPr>
          <w:t>3 Методики расчёта и система показателей</w:t>
        </w:r>
      </w:hyperlink>
      <w:r>
        <w:tab/>
      </w:r>
      <w:fldSimple w:instr="PAGEREF sec_11 \h">
        <w:r>
          <w:t>21</w:t>
        </w:r>
      </w:fldSimple>
    </w:p>
    <w:p>
      <w:pPr>
        <w:pStyle w:val="TOCEntry"/>
        <w:keepNext w:val="0"/>
        <w:tabs>
          <w:tab w:pos="9354" w:val="right" w:leader="dot"/>
        </w:tabs>
        <w:spacing w:after="40"/>
        <w:ind w:left="227"/>
      </w:pPr>
      <w:hyperlink w:anchor="sec_12">
        <w:r>
          <w:rPr>
            <w:rFonts w:ascii="Times New Roman" w:hAnsi="Times New Roman"/>
            <w:sz w:val="23"/>
          </w:rPr>
          <w:t>3.1 Состав показателей и границы нового проектного цикла</w:t>
        </w:r>
      </w:hyperlink>
      <w:r>
        <w:tab/>
      </w:r>
      <w:fldSimple w:instr="PAGEREF sec_12 \h">
        <w:r>
          <w:t>21</w:t>
        </w:r>
      </w:fldSimple>
    </w:p>
    <w:p>
      <w:pPr>
        <w:pStyle w:val="TOCEntry"/>
        <w:keepNext w:val="0"/>
        <w:tabs>
          <w:tab w:pos="9354" w:val="right" w:leader="dot"/>
        </w:tabs>
        <w:spacing w:after="40"/>
        <w:ind w:left="227"/>
      </w:pPr>
      <w:hyperlink w:anchor="sec_13">
        <w:r>
          <w:rPr>
            <w:rFonts w:ascii="Times New Roman" w:hAnsi="Times New Roman"/>
            <w:sz w:val="23"/>
          </w:rPr>
          <w:t>3.2 Поездки, туристский поток, размещения и ночёвки</w:t>
        </w:r>
      </w:hyperlink>
      <w:r>
        <w:tab/>
      </w:r>
      <w:fldSimple w:instr="PAGEREF sec_13 \h">
        <w:r>
          <w:t>24</w:t>
        </w:r>
      </w:fldSimple>
    </w:p>
    <w:p>
      <w:pPr>
        <w:pStyle w:val="TOCEntry"/>
        <w:keepNext w:val="0"/>
        <w:tabs>
          <w:tab w:pos="9354" w:val="right" w:leader="dot"/>
        </w:tabs>
        <w:spacing w:after="40"/>
        <w:ind w:left="227"/>
      </w:pPr>
      <w:hyperlink w:anchor="sec_14">
        <w:r>
          <w:rPr>
            <w:rFonts w:ascii="Times New Roman" w:hAnsi="Times New Roman"/>
            <w:sz w:val="23"/>
          </w:rPr>
          <w:t>3.3 Временная сопоставимость и версии туристической статистики</w:t>
        </w:r>
      </w:hyperlink>
      <w:r>
        <w:tab/>
      </w:r>
      <w:fldSimple w:instr="PAGEREF sec_14 \h">
        <w:r>
          <w:t>26</w:t>
        </w:r>
      </w:fldSimple>
    </w:p>
    <w:p>
      <w:pPr>
        <w:pStyle w:val="TOCEntry"/>
        <w:keepNext w:val="0"/>
        <w:tabs>
          <w:tab w:pos="9354" w:val="right" w:leader="dot"/>
        </w:tabs>
        <w:spacing w:after="40"/>
        <w:ind w:left="227"/>
      </w:pPr>
      <w:hyperlink w:anchor="sec_15">
        <w:r>
          <w:rPr>
            <w:rFonts w:ascii="Times New Roman" w:hAnsi="Times New Roman"/>
            <w:sz w:val="23"/>
          </w:rPr>
          <w:t>3.4 Номерной фонд и изменение реестрового охвата</w:t>
        </w:r>
      </w:hyperlink>
      <w:r>
        <w:tab/>
      </w:r>
      <w:fldSimple w:instr="PAGEREF sec_15 \h">
        <w:r>
          <w:t>28</w:t>
        </w:r>
      </w:fldSimple>
    </w:p>
    <w:p>
      <w:pPr>
        <w:pStyle w:val="TOCEntry"/>
        <w:keepNext w:val="0"/>
        <w:tabs>
          <w:tab w:pos="9354" w:val="right" w:leader="dot"/>
        </w:tabs>
        <w:spacing w:after="40"/>
        <w:ind w:left="227"/>
      </w:pPr>
      <w:hyperlink w:anchor="sec_16">
        <w:r>
          <w:rPr>
            <w:rFonts w:ascii="Times New Roman" w:hAnsi="Times New Roman"/>
            <w:sz w:val="23"/>
          </w:rPr>
          <w:t>3.5 Доля туризма и измерение экономического результата</w:t>
        </w:r>
      </w:hyperlink>
      <w:r>
        <w:tab/>
      </w:r>
      <w:fldSimple w:instr="PAGEREF sec_16 \h">
        <w:r>
          <w:t>29</w:t>
        </w:r>
      </w:fldSimple>
    </w:p>
    <w:p>
      <w:pPr>
        <w:pStyle w:val="TOCEntry"/>
        <w:keepNext w:val="0"/>
        <w:tabs>
          <w:tab w:pos="9354" w:val="right" w:leader="dot"/>
        </w:tabs>
        <w:spacing w:after="40"/>
        <w:ind w:left="227"/>
      </w:pPr>
      <w:hyperlink w:anchor="sec_17">
        <w:r>
          <w:rPr>
            <w:rFonts w:ascii="Times New Roman" w:hAnsi="Times New Roman"/>
            <w:sz w:val="23"/>
          </w:rPr>
          <w:t>3.6 Экспорт туристских услуг и иностранные размещения</w:t>
        </w:r>
      </w:hyperlink>
      <w:r>
        <w:tab/>
      </w:r>
      <w:fldSimple w:instr="PAGEREF sec_17 \h">
        <w:r>
          <w:t>31</w:t>
        </w:r>
      </w:fldSimple>
    </w:p>
    <w:p>
      <w:pPr>
        <w:pStyle w:val="TOCEntry"/>
        <w:keepNext w:val="0"/>
        <w:tabs>
          <w:tab w:pos="9354" w:val="right" w:leader="dot"/>
        </w:tabs>
        <w:spacing w:after="40"/>
        <w:ind w:left="227"/>
      </w:pPr>
      <w:hyperlink w:anchor="sec_18">
        <w:r>
          <w:rPr>
            <w:rFonts w:ascii="Times New Roman" w:hAnsi="Times New Roman"/>
            <w:sz w:val="23"/>
          </w:rPr>
          <w:t>3.7 Удовлетворённость туристов и цифровая посещаемость</w:t>
        </w:r>
      </w:hyperlink>
      <w:r>
        <w:tab/>
      </w:r>
      <w:fldSimple w:instr="PAGEREF sec_18 \h">
        <w:r>
          <w:t>33</w:t>
        </w:r>
      </w:fldSimple>
    </w:p>
    <w:p>
      <w:pPr>
        <w:pStyle w:val="TOCEntry"/>
        <w:keepNext w:val="0"/>
        <w:tabs>
          <w:tab w:pos="9354" w:val="right" w:leader="dot"/>
        </w:tabs>
        <w:spacing w:after="40"/>
        <w:ind w:left="227"/>
      </w:pPr>
      <w:hyperlink w:anchor="sec_19">
        <w:r>
          <w:rPr>
            <w:rFonts w:ascii="Times New Roman" w:hAnsi="Times New Roman"/>
            <w:sz w:val="23"/>
          </w:rPr>
          <w:t>3.8 Кадровые показатели и границы профессионального охвата</w:t>
        </w:r>
      </w:hyperlink>
      <w:r>
        <w:tab/>
      </w:r>
      <w:fldSimple w:instr="PAGEREF sec_19 \h">
        <w:r>
          <w:t>34</w:t>
        </w:r>
      </w:fldSimple>
    </w:p>
    <w:p>
      <w:pPr>
        <w:pStyle w:val="TOCEntry"/>
        <w:keepNext w:val="0"/>
        <w:tabs>
          <w:tab w:pos="9354" w:val="right" w:leader="dot"/>
        </w:tabs>
        <w:spacing w:after="40"/>
        <w:ind w:left="227"/>
      </w:pPr>
      <w:hyperlink w:anchor="sec_20">
        <w:r>
          <w:rPr>
            <w:rFonts w:ascii="Times New Roman" w:hAnsi="Times New Roman"/>
            <w:sz w:val="23"/>
          </w:rPr>
          <w:t>3.9 Промышленное обеспечение и результаты курортных проектов</w:t>
        </w:r>
      </w:hyperlink>
      <w:r>
        <w:tab/>
      </w:r>
      <w:fldSimple w:instr="PAGEREF sec_20 \h">
        <w:r>
          <w:t>35</w:t>
        </w:r>
      </w:fldSimple>
    </w:p>
    <w:p>
      <w:pPr>
        <w:pStyle w:val="TOCEntry"/>
        <w:keepNext w:val="0"/>
        <w:tabs>
          <w:tab w:pos="9354" w:val="right" w:leader="dot"/>
        </w:tabs>
        <w:spacing w:after="40"/>
        <w:ind w:left="227"/>
      </w:pPr>
      <w:hyperlink w:anchor="sec_21">
        <w:r>
          <w:rPr>
            <w:rFonts w:ascii="Times New Roman" w:hAnsi="Times New Roman"/>
            <w:sz w:val="23"/>
          </w:rPr>
          <w:t>3.10 Дополнительные измерения сезонности, доступности и результата</w:t>
        </w:r>
      </w:hyperlink>
      <w:r>
        <w:tab/>
      </w:r>
      <w:fldSimple w:instr="PAGEREF sec_21 \h">
        <w:r>
          <w:t>36</w:t>
        </w:r>
      </w:fldSimple>
    </w:p>
    <w:p>
      <w:pPr>
        <w:pStyle w:val="TOCEntry"/>
        <w:keepNext w:val="0"/>
        <w:tabs>
          <w:tab w:pos="9354" w:val="right" w:leader="dot"/>
        </w:tabs>
        <w:spacing w:after="40"/>
        <w:ind w:left="227"/>
      </w:pPr>
      <w:hyperlink w:anchor="sec_22">
        <w:r>
          <w:rPr>
            <w:rFonts w:ascii="Times New Roman" w:hAnsi="Times New Roman"/>
            <w:sz w:val="23"/>
          </w:rPr>
          <w:t>3.11 Статус наблюдений и условия доказательного вывода</w:t>
        </w:r>
      </w:hyperlink>
      <w:r>
        <w:tab/>
      </w:r>
      <w:fldSimple w:instr="PAGEREF sec_22 \h">
        <w:r>
          <w:t>37</w:t>
        </w:r>
      </w:fldSimple>
    </w:p>
    <w:p>
      <w:pPr>
        <w:pStyle w:val="TOCEntry"/>
        <w:keepNext w:val="0"/>
        <w:tabs>
          <w:tab w:pos="9581" w:val="right" w:leader="dot"/>
        </w:tabs>
        <w:spacing w:after="40"/>
        <w:ind w:left="0"/>
      </w:pPr>
      <w:hyperlink w:anchor="sec_23">
        <w:r>
          <w:rPr>
            <w:rFonts w:ascii="Times New Roman" w:hAnsi="Times New Roman"/>
            <w:sz w:val="23"/>
            <w:b/>
          </w:rPr>
          <w:t>4 Статистические результаты, региональные различия и доступность отдыха</w:t>
        </w:r>
      </w:hyperlink>
      <w:r>
        <w:tab/>
      </w:r>
      <w:fldSimple w:instr="PAGEREF sec_23 \h">
        <w:r>
          <w:t>39</w:t>
        </w:r>
      </w:fldSimple>
    </w:p>
    <w:p>
      <w:pPr>
        <w:pStyle w:val="TOCEntry"/>
        <w:keepNext w:val="0"/>
        <w:tabs>
          <w:tab w:pos="9354" w:val="right" w:leader="dot"/>
        </w:tabs>
        <w:spacing w:after="40"/>
        <w:ind w:left="227"/>
      </w:pPr>
      <w:hyperlink w:anchor="sec_24">
        <w:r>
          <w:rPr>
            <w:rFonts w:ascii="Times New Roman" w:hAnsi="Times New Roman"/>
            <w:sz w:val="23"/>
          </w:rPr>
          <w:t>4.1 Наблюдаемые результаты и границы статистической базы</w:t>
        </w:r>
      </w:hyperlink>
      <w:r>
        <w:tab/>
      </w:r>
      <w:fldSimple w:instr="PAGEREF sec_24 \h">
        <w:r>
          <w:t>39</w:t>
        </w:r>
      </w:fldSimple>
    </w:p>
    <w:p>
      <w:pPr>
        <w:pStyle w:val="TOCEntry"/>
        <w:keepNext w:val="0"/>
        <w:tabs>
          <w:tab w:pos="9354" w:val="right" w:leader="dot"/>
        </w:tabs>
        <w:spacing w:after="40"/>
        <w:ind w:left="227"/>
      </w:pPr>
      <w:hyperlink w:anchor="sec_25">
        <w:r>
          <w:rPr>
            <w:rFonts w:ascii="Times New Roman" w:hAnsi="Times New Roman"/>
            <w:sz w:val="23"/>
          </w:rPr>
          <w:t>4.2 Итоги 2025 года и допустимость сопоставления с целями</w:t>
        </w:r>
      </w:hyperlink>
      <w:r>
        <w:tab/>
      </w:r>
      <w:fldSimple w:instr="PAGEREF sec_25 \h">
        <w:r>
          <w:t>43</w:t>
        </w:r>
      </w:fldSimple>
    </w:p>
    <w:p>
      <w:pPr>
        <w:pStyle w:val="TOCEntry"/>
        <w:keepNext w:val="0"/>
        <w:tabs>
          <w:tab w:pos="9354" w:val="right" w:leader="dot"/>
        </w:tabs>
        <w:spacing w:after="40"/>
        <w:ind w:left="227"/>
      </w:pPr>
      <w:hyperlink w:anchor="sec_26">
        <w:r>
          <w:rPr>
            <w:rFonts w:ascii="Times New Roman" w:hAnsi="Times New Roman"/>
            <w:sz w:val="23"/>
          </w:rPr>
          <w:t>4.3 Оперативные сведения 2026 года и несогласованность версий</w:t>
        </w:r>
      </w:hyperlink>
      <w:r>
        <w:tab/>
      </w:r>
      <w:fldSimple w:instr="PAGEREF sec_26 \h">
        <w:r>
          <w:t>49</w:t>
        </w:r>
      </w:fldSimple>
    </w:p>
    <w:p>
      <w:pPr>
        <w:pStyle w:val="TOCEntry"/>
        <w:keepNext w:val="0"/>
        <w:tabs>
          <w:tab w:pos="9354" w:val="right" w:leader="dot"/>
        </w:tabs>
        <w:spacing w:after="40"/>
        <w:ind w:left="227"/>
      </w:pPr>
      <w:hyperlink w:anchor="sec_27">
        <w:r>
          <w:rPr>
            <w:rFonts w:ascii="Times New Roman" w:hAnsi="Times New Roman"/>
            <w:sz w:val="23"/>
          </w:rPr>
          <w:t>4.4 Территориальная концентрация приёма поездок</w:t>
        </w:r>
      </w:hyperlink>
      <w:r>
        <w:tab/>
      </w:r>
      <w:fldSimple w:instr="PAGEREF sec_27 \h">
        <w:r>
          <w:t>53</w:t>
        </w:r>
      </w:fldSimple>
    </w:p>
    <w:p>
      <w:pPr>
        <w:pStyle w:val="TOCEntry"/>
        <w:keepNext w:val="0"/>
        <w:tabs>
          <w:tab w:pos="9354" w:val="right" w:leader="dot"/>
        </w:tabs>
        <w:spacing w:after="40"/>
        <w:ind w:left="227"/>
      </w:pPr>
      <w:hyperlink w:anchor="sec_28">
        <w:r>
          <w:rPr>
            <w:rFonts w:ascii="Times New Roman" w:hAnsi="Times New Roman"/>
            <w:sz w:val="23"/>
          </w:rPr>
          <w:t>4.5 Оценка сезонности по сопоставимым данным</w:t>
        </w:r>
      </w:hyperlink>
      <w:r>
        <w:tab/>
      </w:r>
      <w:fldSimple w:instr="PAGEREF sec_28 \h">
        <w:r>
          <w:t>57</w:t>
        </w:r>
      </w:fldSimple>
    </w:p>
    <w:p>
      <w:pPr>
        <w:pStyle w:val="TOCEntry"/>
        <w:keepNext w:val="0"/>
        <w:tabs>
          <w:tab w:pos="9354" w:val="right" w:leader="dot"/>
        </w:tabs>
        <w:spacing w:after="40"/>
        <w:ind w:left="227"/>
      </w:pPr>
      <w:hyperlink w:anchor="sec_29">
        <w:r>
          <w:rPr>
            <w:rFonts w:ascii="Times New Roman" w:hAnsi="Times New Roman"/>
            <w:sz w:val="23"/>
          </w:rPr>
          <w:t>4.6 Доступность путешествий и демографическое измерение</w:t>
        </w:r>
      </w:hyperlink>
      <w:r>
        <w:tab/>
      </w:r>
      <w:fldSimple w:instr="PAGEREF sec_29 \h">
        <w:r>
          <w:t>59</w:t>
        </w:r>
      </w:fldSimple>
    </w:p>
    <w:p>
      <w:pPr>
        <w:pStyle w:val="TOCEntry"/>
        <w:keepNext w:val="0"/>
        <w:tabs>
          <w:tab w:pos="9354" w:val="right" w:leader="dot"/>
        </w:tabs>
        <w:spacing w:after="40"/>
        <w:ind w:left="227"/>
      </w:pPr>
      <w:hyperlink w:anchor="sec_30">
        <w:r>
          <w:rPr>
            <w:rFonts w:ascii="Times New Roman" w:hAnsi="Times New Roman"/>
            <w:sz w:val="23"/>
          </w:rPr>
          <w:t>4.7 Курортные риски и интерпретация территориальных изменений</w:t>
        </w:r>
      </w:hyperlink>
      <w:r>
        <w:tab/>
      </w:r>
      <w:fldSimple w:instr="PAGEREF sec_30 \h">
        <w:r>
          <w:t>62</w:t>
        </w:r>
      </w:fldSimple>
    </w:p>
    <w:p>
      <w:pPr>
        <w:pStyle w:val="TOCEntry"/>
        <w:keepNext w:val="0"/>
        <w:tabs>
          <w:tab w:pos="9354" w:val="right" w:leader="dot"/>
        </w:tabs>
        <w:spacing w:after="40"/>
        <w:ind w:left="227"/>
      </w:pPr>
      <w:hyperlink w:anchor="sec_31">
        <w:r>
          <w:rPr>
            <w:rFonts w:ascii="Times New Roman" w:hAnsi="Times New Roman"/>
            <w:sz w:val="23"/>
          </w:rPr>
          <w:t>4.8 Выводы и требования к оценке воздействия</w:t>
        </w:r>
      </w:hyperlink>
      <w:r>
        <w:tab/>
      </w:r>
      <w:fldSimple w:instr="PAGEREF sec_31 \h">
        <w:r>
          <w:t>63</w:t>
        </w:r>
      </w:fldSimple>
    </w:p>
    <w:p>
      <w:pPr>
        <w:pStyle w:val="TOCEntry"/>
        <w:keepNext w:val="0"/>
        <w:tabs>
          <w:tab w:pos="9581" w:val="right" w:leader="dot"/>
        </w:tabs>
        <w:spacing w:after="40"/>
        <w:ind w:left="0"/>
      </w:pPr>
      <w:hyperlink w:anchor="sec_32">
        <w:r>
          <w:rPr>
            <w:rFonts w:ascii="Times New Roman" w:hAnsi="Times New Roman"/>
            <w:sz w:val="23"/>
            <w:b/>
          </w:rPr>
          <w:t>5 Финансовое обеспечение и стоимость дополнительных результатов</w:t>
        </w:r>
      </w:hyperlink>
      <w:r>
        <w:tab/>
      </w:r>
      <w:fldSimple w:instr="PAGEREF sec_32 \h">
        <w:r>
          <w:t>65</w:t>
        </w:r>
      </w:fldSimple>
    </w:p>
    <w:p>
      <w:pPr>
        <w:pStyle w:val="TOCEntry"/>
        <w:keepNext w:val="0"/>
        <w:tabs>
          <w:tab w:pos="9354" w:val="right" w:leader="dot"/>
        </w:tabs>
        <w:spacing w:after="40"/>
        <w:ind w:left="227"/>
      </w:pPr>
      <w:hyperlink w:anchor="sec_33">
        <w:r>
          <w:rPr>
            <w:rFonts w:ascii="Times New Roman" w:hAnsi="Times New Roman"/>
            <w:sz w:val="23"/>
          </w:rPr>
          <w:t>5.1 Состав учитываемых расходов</w:t>
        </w:r>
      </w:hyperlink>
      <w:r>
        <w:tab/>
      </w:r>
      <w:fldSimple w:instr="PAGEREF sec_33 \h">
        <w:r>
          <w:t>65</w:t>
        </w:r>
      </w:fldSimple>
    </w:p>
    <w:p>
      <w:pPr>
        <w:pStyle w:val="TOCEntry"/>
        <w:keepNext w:val="0"/>
        <w:tabs>
          <w:tab w:pos="9354" w:val="right" w:leader="dot"/>
        </w:tabs>
        <w:spacing w:after="40"/>
        <w:ind w:left="227"/>
      </w:pPr>
      <w:hyperlink w:anchor="sec_34">
        <w:r>
          <w:rPr>
            <w:rFonts w:ascii="Times New Roman" w:hAnsi="Times New Roman"/>
            <w:sz w:val="23"/>
          </w:rPr>
          <w:t>5.2 Межбюджетные трансферты и границы консолидации</w:t>
        </w:r>
      </w:hyperlink>
      <w:r>
        <w:tab/>
      </w:r>
      <w:fldSimple w:instr="PAGEREF sec_34 \h">
        <w:r>
          <w:t>66</w:t>
        </w:r>
      </w:fldSimple>
    </w:p>
    <w:p>
      <w:pPr>
        <w:pStyle w:val="TOCEntry"/>
        <w:keepNext w:val="0"/>
        <w:tabs>
          <w:tab w:pos="9354" w:val="right" w:leader="dot"/>
        </w:tabs>
        <w:spacing w:after="40"/>
        <w:ind w:left="227"/>
      </w:pPr>
      <w:hyperlink w:anchor="sec_35">
        <w:r>
          <w:rPr>
            <w:rFonts w:ascii="Times New Roman" w:hAnsi="Times New Roman"/>
            <w:sz w:val="23"/>
          </w:rPr>
          <w:t>5.3 Периоды и структура опубликованных финансовых строк</w:t>
        </w:r>
      </w:hyperlink>
      <w:r>
        <w:tab/>
      </w:r>
      <w:fldSimple w:instr="PAGEREF sec_35 \h">
        <w:r>
          <w:t>68</w:t>
        </w:r>
      </w:fldSimple>
    </w:p>
    <w:p>
      <w:pPr>
        <w:pStyle w:val="TOCEntry"/>
        <w:keepNext w:val="0"/>
        <w:tabs>
          <w:tab w:pos="9354" w:val="right" w:leader="dot"/>
        </w:tabs>
        <w:spacing w:after="40"/>
        <w:ind w:left="227"/>
      </w:pPr>
      <w:hyperlink w:anchor="sec_36">
        <w:r>
          <w:rPr>
            <w:rFonts w:ascii="Times New Roman" w:hAnsi="Times New Roman"/>
            <w:sz w:val="23"/>
          </w:rPr>
          <w:t>5.4 Морские курорты и отложенные внебюджетные вложения</w:t>
        </w:r>
      </w:hyperlink>
      <w:r>
        <w:tab/>
      </w:r>
      <w:fldSimple w:instr="PAGEREF sec_36 \h">
        <w:r>
          <w:t>75</w:t>
        </w:r>
      </w:fldSimple>
    </w:p>
    <w:p>
      <w:pPr>
        <w:pStyle w:val="TOCEntry"/>
        <w:keepNext w:val="0"/>
        <w:tabs>
          <w:tab w:pos="9354" w:val="right" w:leader="dot"/>
        </w:tabs>
        <w:spacing w:after="40"/>
        <w:ind w:left="227"/>
      </w:pPr>
      <w:hyperlink w:anchor="sec_37">
        <w:r>
          <w:rPr>
            <w:rFonts w:ascii="Times New Roman" w:hAnsi="Times New Roman"/>
            <w:sz w:val="23"/>
          </w:rPr>
          <w:t>5.5 Бюджетные предложения на 2027–2029 годы</w:t>
        </w:r>
      </w:hyperlink>
      <w:r>
        <w:tab/>
      </w:r>
      <w:fldSimple w:instr="PAGEREF sec_37 \h">
        <w:r>
          <w:t>77</w:t>
        </w:r>
      </w:fldSimple>
    </w:p>
    <w:p>
      <w:pPr>
        <w:pStyle w:val="TOCEntry"/>
        <w:keepNext w:val="0"/>
        <w:tabs>
          <w:tab w:pos="9354" w:val="right" w:leader="dot"/>
        </w:tabs>
        <w:spacing w:after="40"/>
        <w:ind w:left="227"/>
      </w:pPr>
      <w:hyperlink w:anchor="sec_38">
        <w:r>
          <w:rPr>
            <w:rFonts w:ascii="Times New Roman" w:hAnsi="Times New Roman"/>
            <w:sz w:val="23"/>
          </w:rPr>
          <w:t>5.6 Кассовое исполнение 2026 года</w:t>
        </w:r>
      </w:hyperlink>
      <w:r>
        <w:tab/>
      </w:r>
      <w:fldSimple w:instr="PAGEREF sec_38 \h">
        <w:r>
          <w:t>80</w:t>
        </w:r>
      </w:fldSimple>
    </w:p>
    <w:p>
      <w:pPr>
        <w:pStyle w:val="TOCEntry"/>
        <w:keepNext w:val="0"/>
        <w:tabs>
          <w:tab w:pos="9354" w:val="right" w:leader="dot"/>
        </w:tabs>
        <w:spacing w:after="40"/>
        <w:ind w:left="227"/>
      </w:pPr>
      <w:hyperlink w:anchor="sec_39">
        <w:r>
          <w:rPr>
            <w:rFonts w:ascii="Times New Roman" w:hAnsi="Times New Roman"/>
            <w:sz w:val="23"/>
          </w:rPr>
          <w:t>5.7 Льготное кредитование, инвестиции и дополнительность</w:t>
        </w:r>
      </w:hyperlink>
      <w:r>
        <w:tab/>
      </w:r>
      <w:fldSimple w:instr="PAGEREF sec_39 \h">
        <w:r>
          <w:t>81</w:t>
        </w:r>
      </w:fldSimple>
    </w:p>
    <w:p>
      <w:pPr>
        <w:pStyle w:val="TOCEntry"/>
        <w:keepNext w:val="0"/>
        <w:tabs>
          <w:tab w:pos="9354" w:val="right" w:leader="dot"/>
        </w:tabs>
        <w:spacing w:after="40"/>
        <w:ind w:left="227"/>
      </w:pPr>
      <w:hyperlink w:anchor="sec_40">
        <w:r>
          <w:rPr>
            <w:rFonts w:ascii="Times New Roman" w:hAnsi="Times New Roman"/>
            <w:sz w:val="23"/>
          </w:rPr>
          <w:t>5.8 Модульные гостиницы и единая субсидия</w:t>
        </w:r>
      </w:hyperlink>
      <w:r>
        <w:tab/>
      </w:r>
      <w:fldSimple w:instr="PAGEREF sec_40 \h">
        <w:r>
          <w:t>83</w:t>
        </w:r>
      </w:fldSimple>
    </w:p>
    <w:p>
      <w:pPr>
        <w:pStyle w:val="TOCEntry"/>
        <w:keepNext w:val="0"/>
        <w:tabs>
          <w:tab w:pos="9354" w:val="right" w:leader="dot"/>
        </w:tabs>
        <w:spacing w:after="40"/>
        <w:ind w:left="227"/>
      </w:pPr>
      <w:hyperlink w:anchor="sec_41">
        <w:r>
          <w:rPr>
            <w:rFonts w:ascii="Times New Roman" w:hAnsi="Times New Roman"/>
            <w:sz w:val="23"/>
          </w:rPr>
          <w:t>5.9 Стоимость кадровых, промышленных и информационных результатов</w:t>
        </w:r>
      </w:hyperlink>
      <w:r>
        <w:tab/>
      </w:r>
      <w:fldSimple w:instr="PAGEREF sec_41 \h">
        <w:r>
          <w:t>85</w:t>
        </w:r>
      </w:fldSimple>
    </w:p>
    <w:p>
      <w:pPr>
        <w:pStyle w:val="TOCEntry"/>
        <w:keepNext w:val="0"/>
        <w:tabs>
          <w:tab w:pos="9354" w:val="right" w:leader="dot"/>
        </w:tabs>
        <w:spacing w:after="40"/>
        <w:ind w:left="227"/>
      </w:pPr>
      <w:hyperlink w:anchor="sec_42">
        <w:r>
          <w:rPr>
            <w:rFonts w:ascii="Times New Roman" w:hAnsi="Times New Roman"/>
            <w:sz w:val="23"/>
          </w:rPr>
          <w:t>5.10 Требования к финансовой оценке проекта</w:t>
        </w:r>
      </w:hyperlink>
      <w:r>
        <w:tab/>
      </w:r>
      <w:fldSimple w:instr="PAGEREF sec_42 \h">
        <w:r>
          <w:t>88</w:t>
        </w:r>
      </w:fldSimple>
    </w:p>
    <w:p>
      <w:pPr>
        <w:pStyle w:val="TOCEntry"/>
        <w:keepNext w:val="0"/>
        <w:tabs>
          <w:tab w:pos="9581" w:val="right" w:leader="dot"/>
        </w:tabs>
        <w:spacing w:after="40"/>
        <w:ind w:left="0"/>
      </w:pPr>
      <w:hyperlink w:anchor="sec_43">
        <w:r>
          <w:rPr>
            <w:rFonts w:ascii="Times New Roman" w:hAnsi="Times New Roman"/>
            <w:sz w:val="23"/>
            <w:b/>
          </w:rPr>
          <w:t>6 Связи мероприятий с показателями и межпроектное взаимодействие</w:t>
        </w:r>
      </w:hyperlink>
      <w:r>
        <w:tab/>
      </w:r>
      <w:fldSimple w:instr="PAGEREF sec_43 \h">
        <w:r>
          <w:t>90</w:t>
        </w:r>
      </w:fldSimple>
    </w:p>
    <w:p>
      <w:pPr>
        <w:pStyle w:val="TOCEntry"/>
        <w:keepNext w:val="0"/>
        <w:tabs>
          <w:tab w:pos="9354" w:val="right" w:leader="dot"/>
        </w:tabs>
        <w:spacing w:after="40"/>
        <w:ind w:left="227"/>
      </w:pPr>
      <w:hyperlink w:anchor="sec_44">
        <w:r>
          <w:rPr>
            <w:rFonts w:ascii="Times New Roman" w:hAnsi="Times New Roman"/>
            <w:sz w:val="23"/>
          </w:rPr>
          <w:t>6.1 Единицы анализа и документированные связи</w:t>
        </w:r>
      </w:hyperlink>
      <w:r>
        <w:tab/>
      </w:r>
      <w:fldSimple w:instr="PAGEREF sec_44 \h">
        <w:r>
          <w:t>90</w:t>
        </w:r>
      </w:fldSimple>
    </w:p>
    <w:p>
      <w:pPr>
        <w:pStyle w:val="TOCEntry"/>
        <w:keepNext w:val="0"/>
        <w:tabs>
          <w:tab w:pos="9354" w:val="right" w:leader="dot"/>
        </w:tabs>
        <w:spacing w:after="40"/>
        <w:ind w:left="227"/>
      </w:pPr>
      <w:hyperlink w:anchor="sec_45">
        <w:r>
          <w:rPr>
            <w:rFonts w:ascii="Times New Roman" w:hAnsi="Times New Roman"/>
            <w:sz w:val="23"/>
          </w:rPr>
          <w:t>6.2 Методика лексического сопоставления</w:t>
        </w:r>
      </w:hyperlink>
      <w:r>
        <w:tab/>
      </w:r>
      <w:fldSimple w:instr="PAGEREF sec_45 \h">
        <w:r>
          <w:t>92</w:t>
        </w:r>
      </w:fldSimple>
    </w:p>
    <w:p>
      <w:pPr>
        <w:pStyle w:val="TOCEntry"/>
        <w:keepNext w:val="0"/>
        <w:tabs>
          <w:tab w:pos="9354" w:val="right" w:leader="dot"/>
        </w:tabs>
        <w:spacing w:after="40"/>
        <w:ind w:left="227"/>
      </w:pPr>
      <w:hyperlink w:anchor="sec_46">
        <w:r>
          <w:rPr>
            <w:rFonts w:ascii="Times New Roman" w:hAnsi="Times New Roman"/>
            <w:sz w:val="23"/>
          </w:rPr>
          <w:t>6.3 Внутренняя специализация федеральных проектов</w:t>
        </w:r>
      </w:hyperlink>
      <w:r>
        <w:tab/>
      </w:r>
      <w:fldSimple w:instr="PAGEREF sec_46 \h">
        <w:r>
          <w:t>94</w:t>
        </w:r>
      </w:fldSimple>
    </w:p>
    <w:p>
      <w:pPr>
        <w:pStyle w:val="TOCEntry"/>
        <w:keepNext w:val="0"/>
        <w:tabs>
          <w:tab w:pos="9354" w:val="right" w:leader="dot"/>
        </w:tabs>
        <w:spacing w:after="40"/>
        <w:ind w:left="227"/>
      </w:pPr>
      <w:hyperlink w:anchor="sec_47">
        <w:r>
          <w:rPr>
            <w:rFonts w:ascii="Times New Roman" w:hAnsi="Times New Roman"/>
            <w:sz w:val="23"/>
          </w:rPr>
          <w:t>6.4 Проверка связей между результатами и показателями</w:t>
        </w:r>
      </w:hyperlink>
      <w:r>
        <w:tab/>
      </w:r>
      <w:fldSimple w:instr="PAGEREF sec_47 \h">
        <w:r>
          <w:t>96</w:t>
        </w:r>
      </w:fldSimple>
    </w:p>
    <w:p>
      <w:pPr>
        <w:pStyle w:val="TOCEntry"/>
        <w:keepNext w:val="0"/>
        <w:tabs>
          <w:tab w:pos="9354" w:val="right" w:leader="dot"/>
        </w:tabs>
        <w:spacing w:after="40"/>
        <w:ind w:left="227"/>
      </w:pPr>
      <w:hyperlink w:anchor="sec_48">
        <w:r>
          <w:rPr>
            <w:rFonts w:ascii="Times New Roman" w:hAnsi="Times New Roman"/>
            <w:sz w:val="23"/>
          </w:rPr>
          <w:t>6.5 Межпроектные зависимости и чувствительность результатов</w:t>
        </w:r>
      </w:hyperlink>
      <w:r>
        <w:tab/>
      </w:r>
      <w:fldSimple w:instr="PAGEREF sec_48 \h">
        <w:r>
          <w:t>99</w:t>
        </w:r>
      </w:fldSimple>
    </w:p>
    <w:p>
      <w:pPr>
        <w:pStyle w:val="TOCEntry"/>
        <w:keepNext w:val="0"/>
        <w:tabs>
          <w:tab w:pos="9581" w:val="right" w:leader="dot"/>
        </w:tabs>
        <w:spacing w:after="40"/>
        <w:ind w:left="0"/>
      </w:pPr>
      <w:hyperlink w:anchor="sec_49">
        <w:r>
          <w:rPr>
            <w:rFonts w:ascii="Times New Roman" w:hAnsi="Times New Roman"/>
            <w:sz w:val="23"/>
            <w:b/>
          </w:rPr>
          <w:t>7 Предложения по повышению результативности и проверяемости проекта</w:t>
        </w:r>
      </w:hyperlink>
      <w:r>
        <w:tab/>
      </w:r>
      <w:fldSimple w:instr="PAGEREF sec_49 \h">
        <w:r>
          <w:t>102</w:t>
        </w:r>
      </w:fldSimple>
    </w:p>
    <w:p>
      <w:pPr>
        <w:pStyle w:val="TOCEntry"/>
        <w:keepNext w:val="0"/>
        <w:tabs>
          <w:tab w:pos="9354" w:val="right" w:leader="dot"/>
        </w:tabs>
        <w:spacing w:after="40"/>
        <w:ind w:left="227"/>
      </w:pPr>
      <w:hyperlink w:anchor="sec_50">
        <w:r>
          <w:rPr>
            <w:rFonts w:ascii="Times New Roman" w:hAnsi="Times New Roman"/>
            <w:sz w:val="23"/>
          </w:rPr>
          <w:t>7.1 Согласование показателей и статусов оценок</w:t>
        </w:r>
      </w:hyperlink>
      <w:r>
        <w:tab/>
      </w:r>
      <w:fldSimple w:instr="PAGEREF sec_50 \h">
        <w:r>
          <w:t>102</w:t>
        </w:r>
      </w:fldSimple>
    </w:p>
    <w:p>
      <w:pPr>
        <w:pStyle w:val="TOCEntry"/>
        <w:keepNext w:val="0"/>
        <w:tabs>
          <w:tab w:pos="9354" w:val="right" w:leader="dot"/>
        </w:tabs>
        <w:spacing w:after="40"/>
        <w:ind w:left="227"/>
      </w:pPr>
      <w:hyperlink w:anchor="sec_51">
        <w:r>
          <w:rPr>
            <w:rFonts w:ascii="Times New Roman" w:hAnsi="Times New Roman"/>
            <w:sz w:val="23"/>
          </w:rPr>
          <w:t>7.2 Работающий номерной фонд и сезонность</w:t>
        </w:r>
      </w:hyperlink>
      <w:r>
        <w:tab/>
      </w:r>
      <w:fldSimple w:instr="PAGEREF sec_51 \h">
        <w:r>
          <w:t>103</w:t>
        </w:r>
      </w:fldSimple>
    </w:p>
    <w:p>
      <w:pPr>
        <w:pStyle w:val="TOCEntry"/>
        <w:keepNext w:val="0"/>
        <w:tabs>
          <w:tab w:pos="9354" w:val="right" w:leader="dot"/>
        </w:tabs>
        <w:spacing w:after="40"/>
        <w:ind w:left="227"/>
      </w:pPr>
      <w:hyperlink w:anchor="sec_52">
        <w:r>
          <w:rPr>
            <w:rFonts w:ascii="Times New Roman" w:hAnsi="Times New Roman"/>
            <w:sz w:val="23"/>
          </w:rPr>
          <w:t>7.3 Полная стоимость и дополнительность государственной поддержки</w:t>
        </w:r>
      </w:hyperlink>
      <w:r>
        <w:tab/>
      </w:r>
      <w:fldSimple w:instr="PAGEREF sec_52 \h">
        <w:r>
          <w:t>104</w:t>
        </w:r>
      </w:fldSimple>
    </w:p>
    <w:p>
      <w:pPr>
        <w:pStyle w:val="TOCEntry"/>
        <w:keepNext w:val="0"/>
        <w:tabs>
          <w:tab w:pos="9354" w:val="right" w:leader="dot"/>
        </w:tabs>
        <w:spacing w:after="40"/>
        <w:ind w:left="227"/>
      </w:pPr>
      <w:hyperlink w:anchor="sec_53">
        <w:r>
          <w:rPr>
            <w:rFonts w:ascii="Times New Roman" w:hAnsi="Times New Roman"/>
            <w:sz w:val="23"/>
          </w:rPr>
          <w:t>7.4 Доступность отдыха и результаты для принимающих территорий</w:t>
        </w:r>
      </w:hyperlink>
      <w:r>
        <w:tab/>
      </w:r>
      <w:fldSimple w:instr="PAGEREF sec_53 \h">
        <w:r>
          <w:t>106</w:t>
        </w:r>
      </w:fldSimple>
    </w:p>
    <w:p>
      <w:pPr>
        <w:pStyle w:val="TOCEntry"/>
        <w:keepNext w:val="0"/>
        <w:tabs>
          <w:tab w:pos="9354" w:val="right" w:leader="dot"/>
        </w:tabs>
        <w:spacing w:after="40"/>
        <w:ind w:left="227"/>
      </w:pPr>
      <w:hyperlink w:anchor="sec_54">
        <w:r>
          <w:rPr>
            <w:rFonts w:ascii="Times New Roman" w:hAnsi="Times New Roman"/>
            <w:sz w:val="23"/>
          </w:rPr>
          <w:t>7.5 Оценка дополнительного эффекта</w:t>
        </w:r>
      </w:hyperlink>
      <w:r>
        <w:tab/>
      </w:r>
      <w:fldSimple w:instr="PAGEREF sec_54 \h">
        <w:r>
          <w:t>108</w:t>
        </w:r>
      </w:fldSimple>
    </w:p>
    <w:p>
      <w:pPr>
        <w:pStyle w:val="TOCEntry"/>
        <w:keepNext w:val="0"/>
        <w:tabs>
          <w:tab w:pos="9354" w:val="right" w:leader="dot"/>
        </w:tabs>
        <w:spacing w:after="40"/>
        <w:ind w:left="227"/>
      </w:pPr>
      <w:hyperlink w:anchor="sec_55">
        <w:r>
          <w:rPr>
            <w:rFonts w:ascii="Times New Roman" w:hAnsi="Times New Roman"/>
            <w:sz w:val="23"/>
          </w:rPr>
          <w:t>7.6 Последовательность внедрения предложений</w:t>
        </w:r>
      </w:hyperlink>
      <w:r>
        <w:tab/>
      </w:r>
      <w:fldSimple w:instr="PAGEREF sec_55 \h">
        <w:r>
          <w:t>110</w:t>
        </w:r>
      </w:fldSimple>
    </w:p>
    <w:p>
      <w:pPr>
        <w:pStyle w:val="TOCEntry"/>
        <w:keepNext w:val="0"/>
        <w:tabs>
          <w:tab w:pos="9581" w:val="right" w:leader="dot"/>
        </w:tabs>
        <w:spacing w:after="40"/>
        <w:ind w:left="0"/>
      </w:pPr>
      <w:hyperlink w:anchor="sec_56">
        <w:r>
          <w:rPr>
            <w:rFonts w:ascii="Times New Roman" w:hAnsi="Times New Roman"/>
            <w:sz w:val="23"/>
            <w:b/>
          </w:rPr>
          <w:t>Заключение</w:t>
        </w:r>
      </w:hyperlink>
      <w:r>
        <w:tab/>
      </w:r>
      <w:fldSimple w:instr="PAGEREF sec_56 \h">
        <w:r>
          <w:t>112</w:t>
        </w:r>
      </w:fldSimple>
    </w:p>
    <w:p>
      <w:pPr>
        <w:pStyle w:val="TOCEntry"/>
        <w:keepNext w:val="0"/>
        <w:tabs>
          <w:tab w:pos="9581" w:val="right" w:leader="dot"/>
        </w:tabs>
        <w:spacing w:after="40"/>
        <w:ind w:left="0"/>
      </w:pPr>
      <w:hyperlink w:anchor="sec_57">
        <w:r>
          <w:rPr>
            <w:rFonts w:ascii="Times New Roman" w:hAnsi="Times New Roman"/>
            <w:sz w:val="23"/>
            <w:b/>
          </w:rPr>
          <w:t>Приложение. Реестр показателей и границы наблюдения</w:t>
        </w:r>
      </w:hyperlink>
      <w:r>
        <w:tab/>
      </w:r>
      <w:fldSimple w:instr="PAGEREF sec_57 \h">
        <w:r>
          <w:t>114</w:t>
        </w:r>
      </w:fldSimple>
    </w:p>
    <w:p>
      <w:pPr>
        <w:pStyle w:val="Heading1"/>
      </w:pPr>
      <w:bookmarkStart w:id="1" w:name="sec_0"/>
      <w:r>
        <w:t>Краткие результаты экспертизы</w:t>
      </w:r>
      <w:bookmarkEnd w:id="1"/>
    </w:p>
    <w:p>
      <w:r>
        <w:rPr>
          <w:rFonts w:ascii="Times New Roman" w:hAnsi="Times New Roman"/>
          <w:b w:val="0"/>
        </w:rPr>
        <w:t xml:space="preserve">Национальный проект «Туризм и гостеприимство» соединяет расширение средств размещения и обеспечивающей инфраструктуры, создание крупных курортов, продвижение туристического продукта, подготовку кадров и развитие отечественного оборудования. Перечисленные направления охватывают основные условия роста предложения и спроса. Экспертиза выполнена по состоянию на 29 октября 2026 года и рассматривает прежде всего цикл 2025–2030 годов. Целевые ориентиры к 2030 году – 140 млн поездок и 5% доли туристской отрасли – требуют согласованного развития всех направлений, однако сами по себе не задают критериев доступности отдыха для разных групп населения. </w:t>
      </w:r>
      <w:r>
        <w:rPr>
          <w:rStyle w:val="FootnoteReference"/>
        </w:rPr>
        <w:footnoteReference w:id="1"/>
      </w:r>
    </w:p>
    <w:p>
      <w:r>
        <w:rPr>
          <w:rFonts w:ascii="Times New Roman" w:hAnsi="Times New Roman"/>
          <w:b w:val="0"/>
        </w:rPr>
        <w:t xml:space="preserve">Наблюдаемые результаты неоднородны. За 2025 год опубликовано 92,0428 млн поездок, что на 6,27% ниже цели 98,2 млн в выбранной редакции паспорта. Классифицированный номерной фонд, напротив, превышает соответствующий ориентир на 4,31%. Расхождение двух результатов обосновывает необходимость проверки работающей мощности, загрузки и территориального спроса. Оно не позволяет без дополнительных данных заключить, что создан избыточный фонд: реестровый запас зависит от изменения охвата и регистрации, а число поездок – от правил наблюдения и повторных размещений. Сопоставление с редакцией плана, опубликованной в октябре 2026 года, также не восстанавливает первоначальные обязательства начала 2025 года. </w:t>
      </w:r>
      <w:r>
        <w:rPr>
          <w:rStyle w:val="FootnoteReference"/>
        </w:rPr>
        <w:footnoteReference w:id="2"/>
      </w:r>
    </w:p>
    <w:p>
      <w:r>
        <w:rPr>
          <w:rFonts w:ascii="Times New Roman" w:hAnsi="Times New Roman"/>
          <w:b w:val="0"/>
        </w:rPr>
        <w:t xml:space="preserve">Опубликованное число следует отличать от независимо измеренного результата. Для первой годовой оценки доли туризма и экспорта нормативные методики предусматривают использование плана. Отдельные правила подстановки действуют и для других показателей. Наименование доли туризма содержит ВВП, тогда как расчётное отношение использует валовую добавленную стоимость туристской индустрии и всех отраслей в текущих основных ценах. Иностранные размещения являются предусмотренным методикой физическим прокси экспорта, но не измеряют денежные поступления. В отчёте эти величины рассматриваются в соответствии с их экономическим содержанием и стадией оценки. </w:t>
      </w:r>
      <w:r>
        <w:rPr>
          <w:rStyle w:val="FootnoteReference"/>
        </w:rPr>
        <w:footnoteReference w:id="3"/>
      </w:r>
    </w:p>
    <w:p>
      <w:r>
        <w:rPr>
          <w:rFonts w:ascii="Times New Roman" w:hAnsi="Times New Roman"/>
          <w:b w:val="0"/>
        </w:rPr>
        <w:t xml:space="preserve">Региональные значения поездок за 2025 год согласуются с общероссийским итогом. На десять крупнейших принимающих территорий приходится 52,71% поездок, на четыре крупнейшие – 38,60%. Концентрация поездок требует наблюдать нагрузку на принимающие территории и различать место приёма туристов и возможности путешествовать у жителей. Число поездок не является числом уникальных граждан. По опросу ФОМ в июле 2026 года 23% взрослых сообщили о поездке на отдых в другой российский регион менее года назад. 29% никогда не совершали таких поездок. Сведения опроса характеризуют участие населения в путешествиях и не подменяют паспортный индекс удовлетворённости. </w:t>
      </w:r>
      <w:r>
        <w:rPr>
          <w:rStyle w:val="FootnoteReference"/>
        </w:rPr>
        <w:footnoteReference w:id="4"/>
      </w:r>
    </w:p>
    <w:p>
      <w:r>
        <w:rPr>
          <w:rFonts w:ascii="Times New Roman" w:hAnsi="Times New Roman"/>
          <w:b w:val="0"/>
        </w:rPr>
        <w:t xml:space="preserve">Финансовая оценка требует консолидации и сопоставления за единый период. Сумма раскрытых федеральных, региональных и внебюджетных строк на 2025–2030 годы составляет 1 787,964 млрд рублей. Она не признана в экспертизе консолидированным ресурсом: региональные строки включают федеральные трансферты, а полный сопоставимый вычет текущей редакции не восстановлен. Федеральная составляющая равна 438,073 млрд рублей. Она характеризует паспортный план соответствующего периода. Для крупных курортов существенная часть внебюджетных вложений отнесена на 2028–2030 годы, что усиливает значение синхронизации инфраструктурной готовности, обязательств инвестора и реального спроса. </w:t>
      </w:r>
      <w:r>
        <w:rPr>
          <w:rStyle w:val="FootnoteReference"/>
        </w:rPr>
        <w:footnoteReference w:id="5"/>
      </w:r>
    </w:p>
    <w:p>
      <w:r>
        <w:rPr>
          <w:rFonts w:ascii="Times New Roman" w:hAnsi="Times New Roman"/>
          <w:b w:val="0"/>
        </w:rPr>
        <w:t xml:space="preserve">Бюджетные предложения на 2027–2029 годы и кассовое исполнение 2026 года рассмотрены отдельно от шестилетнего паспортного плана. В предложениях на 2027 год прирост четырёх раскрытых направлений процентной поддержки составляет 92,26% чистого увеличения федеральных ассигнований по национальному проекту относительно сентябрьской росписи 2026 года. Рассчитанное изменение относится к бюджетным расходам на финансовую поддержку. Оно не характеризует объём новых кредитов или будущий туристический эффект. Для проверки эффективности нужны сведения о дополнительности поддержанных инвестиций и обязательствах за весь срок эксплуатации. </w:t>
      </w:r>
      <w:r>
        <w:rPr>
          <w:rStyle w:val="FootnoteReference"/>
        </w:rPr>
        <w:footnoteReference w:id="6"/>
      </w:r>
    </w:p>
    <w:p>
      <w:r>
        <w:rPr>
          <w:rFonts w:ascii="Times New Roman" w:hAnsi="Times New Roman"/>
          <w:b w:val="0"/>
        </w:rPr>
        <w:t>Паспорт предусматривает содержательно объяснимые связи между мероприятиями и целями, однако открытые сведения не всегда позволяют проследить воздействие мер на результат. Лексический анализ используется для отбора пар, требующих экспертного рассмотрения, и не заменяет причинной оценки. Предлагаемые изменения мониторинга направлены на раскрытие статусов и пересмотров статистики, учёт работающего номерного фонда, измерение сезонности и доступности отдыха, консолидацию финансов и оценку дополнительных результатов государственной поддержки. Мероприятия проекта согласованы по содержанию, однако проверка его экономической и социальной отдачи требует более подробных сведений.</w:t>
      </w:r>
    </w:p>
    <w:p>
      <w:pPr>
        <w:pStyle w:val="Heading1"/>
      </w:pPr>
      <w:bookmarkStart w:id="2" w:name="sec_1"/>
      <w:r>
        <w:t>1 Предмет экспертизы и критерии оценки</w:t>
      </w:r>
      <w:bookmarkEnd w:id="2"/>
    </w:p>
    <w:p>
      <w:pPr>
        <w:pStyle w:val="Heading2"/>
      </w:pPr>
      <w:bookmarkStart w:id="3" w:name="sec_2"/>
      <w:r>
        <w:t>1.1 Цели проекта и границы исследования</w:t>
      </w:r>
      <w:bookmarkEnd w:id="3"/>
    </w:p>
    <w:p>
      <w:r>
        <w:rPr>
          <w:rFonts w:ascii="Times New Roman" w:hAnsi="Times New Roman"/>
          <w:b w:val="0"/>
        </w:rPr>
        <w:t xml:space="preserve">Национальный проект «Туризм и гостеприимство» рассматривается как система мер, связывающих создание туристской инфраструктуры, развитие спроса, подготовку кадров и производство оборудования с экономическими результатами для страны и принимающих территорий. Паспорт предусматривает достижение к 2030 году 140 млн туристических поездок по России, увеличение доли туристской отрасли в валовом внутреннем продукте до 5% и рост экспорта туристских услуг втрое относительно 2023 года. Срок реализации проекта установлен с 1 января 2025 года по 31 декабря 2030 года. </w:t>
      </w:r>
      <w:r>
        <w:rPr>
          <w:rStyle w:val="FootnoteReference"/>
        </w:rPr>
        <w:footnoteReference w:id="7"/>
      </w:r>
    </w:p>
    <w:p>
      <w:r>
        <w:rPr>
          <w:rFonts w:ascii="Times New Roman" w:hAnsi="Times New Roman"/>
          <w:b w:val="0"/>
        </w:rPr>
        <w:t>Экспертиза оценивает содержательную согласованность этих целей, измеримость промежуточных результатов и достаточность доказательств для выводов об эффективности расходов. Основной вопрос состоит в том, при каких условиях расширение инфраструктуры и государственной поддержки обеспечивает дополнительные поездки, экономическую активность и доступность отдыха. Для ответа требуется проследить переход от предоставленных ресурсов к работающему объекту, его использованию и результату для населения и территории. Каждая стадия имеет собственную единицу наблюдения и временной горизонт.</w:t>
      </w:r>
    </w:p>
    <w:p>
      <w:r>
        <w:rPr>
          <w:rFonts w:ascii="Times New Roman" w:hAnsi="Times New Roman"/>
          <w:b w:val="0"/>
        </w:rPr>
        <w:t>Сведения изучены по состоянию на 29 октября 2026 года. Структура мероприятий и плановые параметры изучены по опубликованным паспортам национального проекта и пяти федеральных проектов. Для сопоставления выбраны представления, обновлённые 16 октября 2026 года. Нормативные определения проверены с учётом доступных изменений методик 2025–2026 годов. Для статистических результатов указывается период конкретного наблюдения, поэтому годовые значения, накопительные оценки неполного года и административные состояния реестра рассматриваются раздельно.</w:t>
      </w:r>
    </w:p>
    <w:p>
      <w:r>
        <w:rPr>
          <w:rFonts w:ascii="Times New Roman" w:hAnsi="Times New Roman"/>
          <w:b w:val="0"/>
        </w:rPr>
        <w:t>Предыдущий национальный проект «Туризм и индустрия гостеприимства» и проект, реализуемый с 2025 года, имеют преемственные инструменты, однако различаются составом и временными границами. Долгосрочный кредит, инфраструктурный объект или программа обучения могут начаться до 2025 года и продолжиться в рассматриваемом периоде. При оценке текущего проекта необходимы дата возникновения обязательства, период бюджетной поддержки и дата появления результата. Общий итог нескольких лет не позволяет автоматически определить вклад мероприятий нового периода.</w:t>
      </w:r>
    </w:p>
    <w:p>
      <w:r>
        <w:rPr>
          <w:rFonts w:ascii="Times New Roman" w:hAnsi="Times New Roman"/>
          <w:b w:val="0"/>
        </w:rPr>
        <w:t>Экспертные предложения отделены от утверждённых показателей. Дополнительные измерения загрузки, доступности, местной занятости и стоимости эксплуатации предназначены для объяснения результата. Их включение в систему наблюдения требует согласования определений, источников и ответственности за публикацию. Числовые значения таких показателей приводятся лишь при наличии достаточных исходных данных.</w:t>
      </w:r>
    </w:p>
    <w:p>
      <w:pPr>
        <w:pStyle w:val="Heading2"/>
      </w:pPr>
      <w:bookmarkStart w:id="4" w:name="sec_3"/>
      <w:r>
        <w:t>1.2 Источники и уровни доказательности</w:t>
      </w:r>
      <w:bookmarkEnd w:id="4"/>
    </w:p>
    <w:p>
      <w:r>
        <w:rPr>
          <w:rFonts w:ascii="Times New Roman" w:hAnsi="Times New Roman"/>
          <w:b w:val="0"/>
        </w:rPr>
        <w:t>Основу исследования составляют паспортные документы, нормативные методики, официальная статистика, бюджетные материалы и исследования поведения населения. Назначение каждого источника связано с определённым вопросом. Паспорт устанавливает состав мер и плановые параметры. Методика определяет, что считается результатом. Статистическая публикация характеризует наблюдаемую динамику. Бюджетные документы отражают утверждённые ассигнования или предложения об их изменении в зависимости от статуса документа. Принятые обязательства и кассовые расходы учитываются отдельно. Опрос позволяет исследовать участие населения и ограничения спроса.</w:t>
      </w:r>
    </w:p>
    <w:p>
      <w:pPr>
        <w:pStyle w:val="Caption"/>
        <w:keepNext/>
      </w:pPr>
      <w:r>
        <w:rPr>
          <w:rFonts w:ascii="Times New Roman" w:hAnsi="Times New Roman"/>
          <w:b w:val="0"/>
        </w:rPr>
        <w:t>Таблица 1 – Источники и допустимые выводы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098"/>
        <w:gridCol w:w="3175"/>
        <w:gridCol w:w="4365"/>
      </w:tblGrid>
      <w:tr>
        <w:trPr>
          <w:cantSplit/>
          <w:tblHeader w:val="true"/>
        </w:trPr>
        <w:tc>
          <w:tcPr>
            <w:tcW w:type="dxa" w:w="2098"/>
            <w:vAlign w:val="center"/>
            <w:shd w:val="clear" w:fill="FFFFFF"/>
          </w:tcPr>
          <w:p>
            <w:pPr>
              <w:keepNext w:val="0"/>
              <w:keepLines w:val="0"/>
              <w:spacing w:line="240" w:lineRule="auto" w:before="20" w:after="20"/>
              <w:ind w:firstLine="0"/>
              <w:jc w:val="center"/>
            </w:pPr>
            <w:r>
              <w:rPr>
                <w:rFonts w:ascii="Times New Roman" w:hAnsi="Times New Roman"/>
                <w:b/>
                <w:sz w:val="22"/>
              </w:rPr>
              <w:t>Источник</w:t>
            </w:r>
          </w:p>
        </w:tc>
        <w:tc>
          <w:tcPr>
            <w:tcW w:type="dxa" w:w="3175"/>
            <w:vAlign w:val="center"/>
            <w:shd w:val="clear" w:fill="FFFFFF"/>
          </w:tcPr>
          <w:p>
            <w:pPr>
              <w:keepNext w:val="0"/>
              <w:keepLines w:val="0"/>
              <w:spacing w:line="240" w:lineRule="auto" w:before="20" w:after="20"/>
              <w:ind w:firstLine="0"/>
              <w:jc w:val="center"/>
            </w:pPr>
            <w:r>
              <w:rPr>
                <w:rFonts w:ascii="Times New Roman" w:hAnsi="Times New Roman"/>
                <w:b/>
                <w:sz w:val="22"/>
              </w:rPr>
              <w:t>Что устанавливает</w:t>
            </w:r>
          </w:p>
        </w:tc>
        <w:tc>
          <w:tcPr>
            <w:tcW w:type="dxa" w:w="4365"/>
            <w:vAlign w:val="center"/>
            <w:shd w:val="clear" w:fill="FFFFFF"/>
          </w:tcPr>
          <w:p>
            <w:pPr>
              <w:keepNext w:val="0"/>
              <w:keepLines w:val="0"/>
              <w:spacing w:line="240" w:lineRule="auto" w:before="20" w:after="20"/>
              <w:ind w:firstLine="0"/>
              <w:jc w:val="center"/>
            </w:pPr>
            <w:r>
              <w:rPr>
                <w:rFonts w:ascii="Times New Roman" w:hAnsi="Times New Roman"/>
                <w:b/>
                <w:sz w:val="22"/>
              </w:rPr>
              <w:t>Граница интерпретации</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2"/>
              </w:rPr>
              <w:t>Паспорт НП и ФП</w:t>
            </w:r>
          </w:p>
        </w:tc>
        <w:tc>
          <w:tcPr>
            <w:tcW w:type="dxa" w:w="3175"/>
            <w:vAlign w:val="center"/>
          </w:tcPr>
          <w:p>
            <w:pPr>
              <w:keepNext w:val="0"/>
              <w:keepLines w:val="0"/>
              <w:spacing w:line="240" w:lineRule="auto" w:before="20" w:after="20"/>
              <w:ind w:firstLine="0"/>
              <w:jc w:val="left"/>
            </w:pPr>
            <w:r>
              <w:rPr>
                <w:rFonts w:ascii="Times New Roman" w:hAnsi="Times New Roman"/>
                <w:b w:val="0"/>
                <w:sz w:val="22"/>
              </w:rPr>
              <w:t>Цели, результаты, сроки, финансовый план</w:t>
            </w:r>
          </w:p>
        </w:tc>
        <w:tc>
          <w:tcPr>
            <w:tcW w:type="dxa" w:w="4365"/>
            <w:vAlign w:val="center"/>
          </w:tcPr>
          <w:p>
            <w:pPr>
              <w:keepNext w:val="0"/>
              <w:keepLines w:val="0"/>
              <w:spacing w:line="240" w:lineRule="auto" w:before="20" w:after="20"/>
              <w:ind w:firstLine="0"/>
              <w:jc w:val="left"/>
            </w:pPr>
            <w:r>
              <w:rPr>
                <w:rFonts w:ascii="Times New Roman" w:hAnsi="Times New Roman"/>
                <w:b w:val="0"/>
                <w:sz w:val="22"/>
              </w:rPr>
              <w:t>Плановая запись не подтверждает фактическое исполнение</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2"/>
              </w:rPr>
              <w:t>Нормативная методика</w:t>
            </w:r>
          </w:p>
        </w:tc>
        <w:tc>
          <w:tcPr>
            <w:tcW w:type="dxa" w:w="3175"/>
            <w:vAlign w:val="center"/>
          </w:tcPr>
          <w:p>
            <w:pPr>
              <w:keepNext w:val="0"/>
              <w:keepLines w:val="0"/>
              <w:spacing w:line="240" w:lineRule="auto" w:before="20" w:after="20"/>
              <w:ind w:firstLine="0"/>
              <w:jc w:val="left"/>
            </w:pPr>
            <w:r>
              <w:rPr>
                <w:rFonts w:ascii="Times New Roman" w:hAnsi="Times New Roman"/>
                <w:b w:val="0"/>
                <w:sz w:val="22"/>
              </w:rPr>
              <w:t>Совокупность, единицы и порядок расчёта</w:t>
            </w:r>
          </w:p>
        </w:tc>
        <w:tc>
          <w:tcPr>
            <w:tcW w:type="dxa" w:w="4365"/>
            <w:vAlign w:val="center"/>
          </w:tcPr>
          <w:p>
            <w:pPr>
              <w:keepNext w:val="0"/>
              <w:keepLines w:val="0"/>
              <w:spacing w:line="240" w:lineRule="auto" w:before="20" w:after="20"/>
              <w:ind w:firstLine="0"/>
              <w:jc w:val="left"/>
            </w:pPr>
            <w:r>
              <w:rPr>
                <w:rFonts w:ascii="Times New Roman" w:hAnsi="Times New Roman"/>
                <w:b w:val="0"/>
                <w:sz w:val="22"/>
              </w:rPr>
              <w:t>Изменение определения может разрывать сопоставимость ряда</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2"/>
              </w:rPr>
              <w:t>Официальная статистика</w:t>
            </w:r>
          </w:p>
        </w:tc>
        <w:tc>
          <w:tcPr>
            <w:tcW w:type="dxa" w:w="3175"/>
            <w:vAlign w:val="center"/>
          </w:tcPr>
          <w:p>
            <w:pPr>
              <w:keepNext w:val="0"/>
              <w:keepLines w:val="0"/>
              <w:spacing w:line="240" w:lineRule="auto" w:before="20" w:after="20"/>
              <w:ind w:firstLine="0"/>
              <w:jc w:val="left"/>
            </w:pPr>
            <w:r>
              <w:rPr>
                <w:rFonts w:ascii="Times New Roman" w:hAnsi="Times New Roman"/>
                <w:b w:val="0"/>
                <w:sz w:val="22"/>
              </w:rPr>
              <w:t>Наблюдаемую динамику установленной совокупности</w:t>
            </w:r>
          </w:p>
        </w:tc>
        <w:tc>
          <w:tcPr>
            <w:tcW w:type="dxa" w:w="4365"/>
            <w:vAlign w:val="center"/>
          </w:tcPr>
          <w:p>
            <w:pPr>
              <w:keepNext w:val="0"/>
              <w:keepLines w:val="0"/>
              <w:spacing w:line="240" w:lineRule="auto" w:before="20" w:after="20"/>
              <w:ind w:firstLine="0"/>
              <w:jc w:val="left"/>
            </w:pPr>
            <w:r>
              <w:rPr>
                <w:rFonts w:ascii="Times New Roman" w:hAnsi="Times New Roman"/>
                <w:b w:val="0"/>
                <w:sz w:val="22"/>
              </w:rPr>
              <w:t>Нужны период, охват, статус и дата пересмотра</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2"/>
              </w:rPr>
              <w:t>Бюджетные документы</w:t>
            </w:r>
          </w:p>
        </w:tc>
        <w:tc>
          <w:tcPr>
            <w:tcW w:type="dxa" w:w="3175"/>
            <w:vAlign w:val="center"/>
          </w:tcPr>
          <w:p>
            <w:pPr>
              <w:keepNext w:val="0"/>
              <w:keepLines w:val="0"/>
              <w:spacing w:line="240" w:lineRule="auto" w:before="20" w:after="20"/>
              <w:ind w:firstLine="0"/>
              <w:jc w:val="left"/>
            </w:pPr>
            <w:r>
              <w:rPr>
                <w:rFonts w:ascii="Times New Roman" w:hAnsi="Times New Roman"/>
                <w:b w:val="0"/>
                <w:sz w:val="22"/>
              </w:rPr>
              <w:t>Ассигнования, предложения и исполнение соответствующей стадии</w:t>
            </w:r>
          </w:p>
        </w:tc>
        <w:tc>
          <w:tcPr>
            <w:tcW w:type="dxa" w:w="4365"/>
            <w:vAlign w:val="center"/>
          </w:tcPr>
          <w:p>
            <w:pPr>
              <w:keepNext w:val="0"/>
              <w:keepLines w:val="0"/>
              <w:spacing w:line="240" w:lineRule="auto" w:before="20" w:after="20"/>
              <w:ind w:firstLine="0"/>
              <w:jc w:val="left"/>
            </w:pPr>
            <w:r>
              <w:rPr>
                <w:rFonts w:ascii="Times New Roman" w:hAnsi="Times New Roman"/>
                <w:b w:val="0"/>
                <w:sz w:val="22"/>
              </w:rPr>
              <w:t>План, принятые обязательства и кассовые расходы различаются. Трансферты исключаются при консолидации</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2"/>
              </w:rPr>
              <w:t>Опросы населения</w:t>
            </w:r>
          </w:p>
        </w:tc>
        <w:tc>
          <w:tcPr>
            <w:tcW w:type="dxa" w:w="3175"/>
            <w:vAlign w:val="center"/>
          </w:tcPr>
          <w:p>
            <w:pPr>
              <w:keepNext w:val="0"/>
              <w:keepLines w:val="0"/>
              <w:spacing w:line="240" w:lineRule="auto" w:before="20" w:after="20"/>
              <w:ind w:firstLine="0"/>
              <w:jc w:val="left"/>
            </w:pPr>
            <w:r>
              <w:rPr>
                <w:rFonts w:ascii="Times New Roman" w:hAnsi="Times New Roman"/>
                <w:b w:val="0"/>
                <w:sz w:val="22"/>
              </w:rPr>
              <w:t>Участие, удовлетворённость и барьеры поездок</w:t>
            </w:r>
          </w:p>
        </w:tc>
        <w:tc>
          <w:tcPr>
            <w:tcW w:type="dxa" w:w="4365"/>
            <w:vAlign w:val="center"/>
          </w:tcPr>
          <w:p>
            <w:pPr>
              <w:keepNext w:val="0"/>
              <w:keepLines w:val="0"/>
              <w:spacing w:line="240" w:lineRule="auto" w:before="20" w:after="20"/>
              <w:ind w:firstLine="0"/>
              <w:jc w:val="left"/>
            </w:pPr>
            <w:r>
              <w:rPr>
                <w:rFonts w:ascii="Times New Roman" w:hAnsi="Times New Roman"/>
                <w:b w:val="0"/>
                <w:sz w:val="22"/>
              </w:rPr>
              <w:t>Нужны выборка, формулировка вопроса и период воспоминания</w:t>
            </w:r>
          </w:p>
        </w:tc>
      </w:tr>
      <w:tr>
        <w:trPr>
          <w:cantSplit/>
        </w:trPr>
        <w:tc>
          <w:tcPr>
            <w:tcW w:type="dxa" w:w="2098"/>
            <w:vAlign w:val="center"/>
          </w:tcPr>
          <w:p>
            <w:pPr>
              <w:keepNext/>
              <w:keepLines w:val="0"/>
              <w:spacing w:line="240" w:lineRule="auto" w:before="20" w:after="20"/>
              <w:ind w:firstLine="0"/>
              <w:jc w:val="left"/>
            </w:pPr>
            <w:r>
              <w:rPr>
                <w:rFonts w:ascii="Times New Roman" w:hAnsi="Times New Roman"/>
                <w:b w:val="0"/>
                <w:sz w:val="22"/>
              </w:rPr>
              <w:t>Лексическое сопоставление</w:t>
            </w:r>
          </w:p>
        </w:tc>
        <w:tc>
          <w:tcPr>
            <w:tcW w:type="dxa" w:w="3175"/>
            <w:vAlign w:val="center"/>
          </w:tcPr>
          <w:p>
            <w:pPr>
              <w:keepNext/>
              <w:keepLines w:val="0"/>
              <w:spacing w:line="240" w:lineRule="auto" w:before="20" w:after="20"/>
              <w:ind w:firstLine="0"/>
              <w:jc w:val="left"/>
            </w:pPr>
            <w:r>
              <w:rPr>
                <w:rFonts w:ascii="Times New Roman" w:hAnsi="Times New Roman"/>
                <w:b w:val="0"/>
                <w:sz w:val="22"/>
              </w:rPr>
              <w:t>Близость документальных формулировок</w:t>
            </w:r>
          </w:p>
        </w:tc>
        <w:tc>
          <w:tcPr>
            <w:tcW w:type="dxa" w:w="4365"/>
            <w:vAlign w:val="center"/>
          </w:tcPr>
          <w:p>
            <w:pPr>
              <w:keepNext/>
              <w:keepLines w:val="0"/>
              <w:spacing w:line="240" w:lineRule="auto" w:before="20" w:after="20"/>
              <w:ind w:firstLine="0"/>
              <w:jc w:val="left"/>
            </w:pPr>
            <w:r>
              <w:rPr>
                <w:rFonts w:ascii="Times New Roman" w:hAnsi="Times New Roman"/>
                <w:b w:val="0"/>
                <w:sz w:val="22"/>
              </w:rPr>
              <w:t>Не устанавливает причинный эффект или экономическую отдачу</w:t>
            </w:r>
          </w:p>
        </w:tc>
      </w:tr>
    </w:tbl>
    <w:p>
      <w:pPr>
        <w:pStyle w:val="SourceNote"/>
        <w:keepLines/>
        <w:spacing w:before="80" w:after="120"/>
      </w:pPr>
      <w:r>
        <w:rPr>
          <w:rFonts w:ascii="Times New Roman" w:hAnsi="Times New Roman"/>
          <w:b w:val="0"/>
        </w:rPr>
        <w:t xml:space="preserve">Систематизация автора. Для всех источников различаются дата документа, период наблюдения и статус оценки. </w:t>
      </w:r>
      <w:r>
        <w:rPr>
          <w:rStyle w:val="FootnoteReference"/>
        </w:rPr>
        <w:footnoteReference w:id="8"/>
      </w:r>
    </w:p>
    <w:p>
      <w:r>
        <w:rPr>
          <w:rFonts w:ascii="Times New Roman" w:hAnsi="Times New Roman"/>
          <w:b w:val="0"/>
        </w:rPr>
        <w:t>Опубликованные представления паспортов содержат подробную структуру результатов и финансовых строк, но требуют сверки с документами, отражающими правила бюджетного учёта. В частности, сумма федерального финансирования и консолидированных бюджетов субъектов может повторно включать межбюджетный трансферт. В финансовой главе сохранены различия между раскрытой арифметической суммой, консолидированным ресурсом и кассовым расходом. Для сравнения редакций также проверяется неизменность периода и состава учтённых источников.</w:t>
      </w:r>
    </w:p>
    <w:p>
      <w:r>
        <w:rPr>
          <w:rFonts w:ascii="Times New Roman" w:hAnsi="Times New Roman"/>
          <w:b w:val="0"/>
        </w:rPr>
        <w:t>Показатели рассматриваются вместе с метаданными. Существенны дата оценки, охват совокупности, статус предварительного или уточнённого значения, наличие расчётных компонентов и возможность использования плановой величины. При изменении определения требуется документировать, пересчитаны ли предыдущие периоды. Отсутствие опубликованной записи не заменяется нулём. Число, приведённое в паспорте как цель, сохраняет плановый статус до появления самостоятельного основания считать его фактическим результатом.</w:t>
      </w:r>
    </w:p>
    <w:p>
      <w:r>
        <w:rPr>
          <w:rFonts w:ascii="Times New Roman" w:hAnsi="Times New Roman"/>
          <w:b w:val="0"/>
        </w:rPr>
        <w:t>Официальное сообщение о развитии отрасли может использовать оперативную оценку на дату выступления, тогда как последующая статистическая таблица содержит обновлённые сведения. Расхождение между ними требует проверки источника и момента формирования. При невозможности полной сверки в отчёте сохраняются обе оценки с их периодами и статусами. Выбор более удобного значения для подтверждения достижения цели методологически недопустим.</w:t>
      </w:r>
    </w:p>
    <w:p>
      <w:pPr>
        <w:pStyle w:val="Heading2"/>
      </w:pPr>
      <w:bookmarkStart w:id="5" w:name="sec_4"/>
      <w:r>
        <w:t>1.3 Экономический и социальный смысл результата</w:t>
      </w:r>
      <w:bookmarkEnd w:id="5"/>
    </w:p>
    <w:p>
      <w:r>
        <w:rPr>
          <w:rFonts w:ascii="Times New Roman" w:hAnsi="Times New Roman"/>
          <w:b w:val="0"/>
        </w:rPr>
        <w:t xml:space="preserve">Туризм охватывает разнообразные цели поездок. Международные рекомендации относят к посетителям лиц, совершающих поездку за пределы обычной среды на срок менее года, при условии, что основной целью не является работа по найму у резидента посещаемого места. В эту совокупность могут входить деловые, оздоровительные и другие личные поездки. Поэтому рост агрегированного туристического показателя требует отдельного рассмотрения досуговых поездок, если вывод касается доступности отдыха. </w:t>
      </w:r>
      <w:r>
        <w:rPr>
          <w:rStyle w:val="FootnoteReference"/>
        </w:rPr>
        <w:footnoteReference w:id="9"/>
      </w:r>
    </w:p>
    <w:p>
      <w:r>
        <w:rPr>
          <w:rFonts w:ascii="Times New Roman" w:hAnsi="Times New Roman"/>
          <w:b w:val="0"/>
        </w:rPr>
        <w:t xml:space="preserve">Экономический вклад также зависит от границы измерения. Международная система вспомогательного счёта туризма различает валовую добавленную стоимость туристских отраслей, прямую добавленную стоимость, связанную с потреблением посетителей, и прямой вклад в ВВП. Последний включает соответствующие чистые налоги на продукты. Косвенные и индуцированные эффекты требуют дополнительной модели. Сложение оборотов гостиниц, транспорта и поставщиков без согласованного счёта создаёт повторный учёт промежуточной продукции. </w:t>
      </w:r>
      <w:r>
        <w:rPr>
          <w:rStyle w:val="FootnoteReference"/>
        </w:rPr>
        <w:footnoteReference w:id="10"/>
      </w:r>
    </w:p>
    <w:p>
      <w:r>
        <w:rPr>
          <w:rFonts w:ascii="Times New Roman" w:hAnsi="Times New Roman"/>
          <w:b w:val="0"/>
        </w:rPr>
        <w:t>Для принимающей территории полезность туристического роста определяется тем, какие доходы и возможности остаются у местных жителей. Выручка размещённого в регионе объекта может распределяться между собственниками, работниками и поставщиками, находящимися на разных территориях. Инвестиционный проект следует оценивать с учётом устойчивости занятости, квалификации работников, местных закупок и расходов на инфраструктуру. Межрегиональное перераспределение спроса и дополнительные поездки в масштабах страны представляют разные результаты.</w:t>
      </w:r>
    </w:p>
    <w:p>
      <w:r>
        <w:rPr>
          <w:rFonts w:ascii="Times New Roman" w:hAnsi="Times New Roman"/>
          <w:b w:val="0"/>
        </w:rPr>
        <w:t>Социальная оценка предполагает наблюдение участия населения, стоимости поездки и барьеров доступности. Повторные поездки одной группы граждан способны увеличить агрегированный поток при неизменной доле путешествующих жителей. Высокая средняя удовлетворённость участников не описывает положение тех, кто отказался от поездки из-за цены, транспортных ограничений или состояния здоровья. Для демографической интерпретации необходимы распределения по возрасту, составу семьи, наличию детей, доходу и типу места проживания.</w:t>
      </w:r>
    </w:p>
    <w:p>
      <w:r>
        <w:rPr>
          <w:rFonts w:ascii="Times New Roman" w:hAnsi="Times New Roman"/>
          <w:b w:val="0"/>
        </w:rPr>
        <w:t xml:space="preserve">Рост потока должен соотноситься с нагрузкой на коммунальную инфраструктуру, природные территории и повседневную среду жителей. Международная статистическая рамка устойчивости туризма объединяет экономическое, экологическое и социальное измерения, позволяя рассматривать зависимости и последствия в общей системе наблюдения. В настоящей экспертизе предложено применять такой подход к проверке конкретных проектов и территорий с раскрытием исходных данных по каждому измерению. </w:t>
      </w:r>
      <w:r>
        <w:rPr>
          <w:rStyle w:val="FootnoteReference"/>
        </w:rPr>
        <w:footnoteReference w:id="11"/>
      </w:r>
    </w:p>
    <w:p>
      <w:pPr>
        <w:pStyle w:val="Heading1"/>
      </w:pPr>
      <w:bookmarkStart w:id="6" w:name="sec_5"/>
      <w:r>
        <w:t>2 Структура проекта и механизмы формирования результата</w:t>
      </w:r>
      <w:bookmarkEnd w:id="6"/>
    </w:p>
    <w:p>
      <w:pPr>
        <w:pStyle w:val="Heading2"/>
      </w:pPr>
      <w:bookmarkStart w:id="7" w:name="sec_6"/>
      <w:r>
        <w:t>2.1 Взаимодействие пяти федеральных направлений</w:t>
      </w:r>
      <w:bookmarkEnd w:id="7"/>
    </w:p>
    <w:p>
      <w:r>
        <w:rPr>
          <w:rFonts w:ascii="Times New Roman" w:hAnsi="Times New Roman"/>
          <w:b w:val="0"/>
        </w:rPr>
        <w:t xml:space="preserve">Пять федеральных проектов охватывают создание номерного фонда, развитие крупных курортов, туристическую привлекательность страны, кадры и отечественную промышленную продукцию. Совместный результат зависит от согласованности этих направлений. Для предоставления туристических услуг необходимы размещение, транспортная доступность, инженерное обеспечение, персонал и понятный потребителю туристический продукт. Продвижение влияет на спрос при наличии возможности совершить поездку и приобрести услугу приемлемого качества. </w:t>
      </w:r>
      <w:r>
        <w:rPr>
          <w:rStyle w:val="FootnoteReference"/>
        </w:rPr>
        <w:footnoteReference w:id="12"/>
      </w:r>
    </w:p>
    <w:p>
      <w:r>
        <w:rPr>
          <w:rFonts w:ascii="Times New Roman" w:hAnsi="Times New Roman"/>
          <w:b w:val="0"/>
        </w:rPr>
        <w:t>В аналитической модели выделяются четыре последовательных уровня: готовность инфраструктуры, фактическое использование, экономический результат и социальная доступность с учётом территориальных издержек. Между уровнями возможны задержки и ограничения. Завершение строительства предшествует формированию устойчивой загрузки, а увеличение числа размещений само по себе не определяет величину добавленной стоимости. Для оценки переходов нужны показатели сроков, качества и структуры пользователей.</w:t>
      </w:r>
    </w:p>
    <w:p>
      <w:r>
        <w:rPr>
          <w:rFonts w:ascii="Times New Roman" w:hAnsi="Times New Roman"/>
          <w:b w:val="0"/>
        </w:rPr>
        <w:t>Разделение федеральных направлений не устраняет необходимость согласования расходов на один объект. Гостиница может одновременно зависеть от льготного кредита, субсидирования модулей, региональной дороги и технологического присоединения. Отдельный учёт инструментов должен сопровождаться единой идентификацией объекта, чтобы можно было определить совокупную поддержку и готовность всей необходимой инфраструктуры. Аналогичное требование относится к результатам: один номер или одна поездка не должны становиться несколькими дополнительными результатами при агрегировании разных программ.</w:t>
      </w:r>
    </w:p>
    <w:p>
      <w:pPr>
        <w:pStyle w:val="Caption"/>
        <w:keepNext/>
      </w:pPr>
      <w:r>
        <w:rPr>
          <w:rFonts w:ascii="Times New Roman" w:hAnsi="Times New Roman"/>
          <w:b w:val="0"/>
        </w:rPr>
        <w:t>Таблица 2 – Роль пяти федеральных направлений в формировании результата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268"/>
        <w:gridCol w:w="3402"/>
        <w:gridCol w:w="3969"/>
      </w:tblGrid>
      <w:tr>
        <w:trPr>
          <w:cantSplit/>
          <w:tblHeader w:val="true"/>
        </w:trPr>
        <w:tc>
          <w:tcPr>
            <w:tcW w:type="dxa" w:w="2268"/>
            <w:vAlign w:val="center"/>
            <w:shd w:val="clear" w:fill="FFFFFF"/>
          </w:tcPr>
          <w:p>
            <w:pPr>
              <w:keepNext/>
              <w:keepLines w:val="0"/>
              <w:spacing w:line="240" w:lineRule="auto" w:before="20" w:after="20"/>
              <w:ind w:firstLine="0"/>
              <w:jc w:val="center"/>
            </w:pPr>
            <w:r>
              <w:rPr>
                <w:rFonts w:ascii="Times New Roman" w:hAnsi="Times New Roman"/>
                <w:b/>
                <w:sz w:val="22"/>
              </w:rPr>
              <w:t>Направление</w:t>
            </w:r>
          </w:p>
        </w:tc>
        <w:tc>
          <w:tcPr>
            <w:tcW w:type="dxa" w:w="3402"/>
            <w:vAlign w:val="center"/>
            <w:shd w:val="clear" w:fill="FFFFFF"/>
          </w:tcPr>
          <w:p>
            <w:pPr>
              <w:keepNext/>
              <w:keepLines w:val="0"/>
              <w:spacing w:line="240" w:lineRule="auto" w:before="20" w:after="20"/>
              <w:ind w:firstLine="0"/>
              <w:jc w:val="center"/>
            </w:pPr>
            <w:r>
              <w:rPr>
                <w:rFonts w:ascii="Times New Roman" w:hAnsi="Times New Roman"/>
                <w:b/>
                <w:sz w:val="22"/>
              </w:rPr>
              <w:t>Основные инструменты</w:t>
            </w:r>
          </w:p>
        </w:tc>
        <w:tc>
          <w:tcPr>
            <w:tcW w:type="dxa" w:w="3969"/>
            <w:vAlign w:val="center"/>
            <w:shd w:val="clear" w:fill="FFFFFF"/>
          </w:tcPr>
          <w:p>
            <w:pPr>
              <w:keepNext/>
              <w:keepLines w:val="0"/>
              <w:spacing w:line="240" w:lineRule="auto" w:before="20" w:after="20"/>
              <w:ind w:firstLine="0"/>
              <w:jc w:val="center"/>
            </w:pPr>
            <w:r>
              <w:rPr>
                <w:rFonts w:ascii="Times New Roman" w:hAnsi="Times New Roman"/>
                <w:b/>
                <w:sz w:val="22"/>
              </w:rPr>
              <w:t>Что необходимо проверить</w:t>
            </w:r>
          </w:p>
        </w:tc>
      </w:tr>
      <w:tr>
        <w:trPr>
          <w:cantSplit/>
        </w:trPr>
        <w:tc>
          <w:tcPr>
            <w:tcW w:type="dxa" w:w="2268"/>
            <w:vAlign w:val="center"/>
          </w:tcPr>
          <w:p>
            <w:pPr>
              <w:keepNext/>
              <w:keepLines w:val="0"/>
              <w:spacing w:line="240" w:lineRule="auto" w:before="20" w:after="20"/>
              <w:ind w:firstLine="0"/>
              <w:jc w:val="left"/>
            </w:pPr>
            <w:r>
              <w:rPr>
                <w:rFonts w:ascii="Times New Roman" w:hAnsi="Times New Roman"/>
                <w:b w:val="0"/>
                <w:sz w:val="22"/>
              </w:rPr>
              <w:t>П1. Номерной фонд</w:t>
            </w:r>
          </w:p>
        </w:tc>
        <w:tc>
          <w:tcPr>
            <w:tcW w:type="dxa" w:w="3402"/>
            <w:vAlign w:val="center"/>
          </w:tcPr>
          <w:p>
            <w:pPr>
              <w:keepNext/>
              <w:keepLines w:val="0"/>
              <w:spacing w:line="240" w:lineRule="auto" w:before="20" w:after="20"/>
              <w:ind w:firstLine="0"/>
              <w:jc w:val="left"/>
            </w:pPr>
            <w:r>
              <w:rPr>
                <w:rFonts w:ascii="Times New Roman" w:hAnsi="Times New Roman"/>
                <w:b w:val="0"/>
                <w:sz w:val="22"/>
              </w:rPr>
              <w:t>Модульные объекты, сети, кредиты, инвестиции, единая субсидия</w:t>
            </w:r>
          </w:p>
        </w:tc>
        <w:tc>
          <w:tcPr>
            <w:tcW w:type="dxa" w:w="3969"/>
            <w:vAlign w:val="center"/>
          </w:tcPr>
          <w:p>
            <w:pPr>
              <w:keepNext/>
              <w:keepLines w:val="0"/>
              <w:spacing w:line="240" w:lineRule="auto" w:before="20" w:after="20"/>
              <w:ind w:firstLine="0"/>
              <w:jc w:val="left"/>
            </w:pPr>
            <w:r>
              <w:rPr>
                <w:rFonts w:ascii="Times New Roman" w:hAnsi="Times New Roman"/>
                <w:b w:val="0"/>
                <w:sz w:val="22"/>
              </w:rPr>
              <w:t>Ввод, подключение и начало фактической работы</w:t>
            </w:r>
          </w:p>
        </w:tc>
      </w:tr>
      <w:tr>
        <w:trPr>
          <w:cantSplit/>
        </w:trPr>
        <w:tc>
          <w:tcPr>
            <w:tcW w:type="dxa" w:w="2268"/>
            <w:vAlign w:val="center"/>
          </w:tcPr>
          <w:p>
            <w:pPr>
              <w:keepNext/>
              <w:keepLines w:val="0"/>
              <w:spacing w:line="240" w:lineRule="auto" w:before="20" w:after="20"/>
              <w:ind w:firstLine="0"/>
              <w:jc w:val="left"/>
            </w:pPr>
            <w:r>
              <w:rPr>
                <w:rFonts w:ascii="Times New Roman" w:hAnsi="Times New Roman"/>
                <w:b w:val="0"/>
                <w:sz w:val="22"/>
              </w:rPr>
              <w:t>П2. Морские курорты</w:t>
            </w:r>
          </w:p>
        </w:tc>
        <w:tc>
          <w:tcPr>
            <w:tcW w:type="dxa" w:w="3402"/>
            <w:vAlign w:val="center"/>
          </w:tcPr>
          <w:p>
            <w:pPr>
              <w:keepNext/>
              <w:keepLines w:val="0"/>
              <w:spacing w:line="240" w:lineRule="auto" w:before="20" w:after="20"/>
              <w:ind w:firstLine="0"/>
              <w:jc w:val="left"/>
            </w:pPr>
            <w:r>
              <w:rPr>
                <w:rFonts w:ascii="Times New Roman" w:hAnsi="Times New Roman"/>
                <w:b w:val="0"/>
                <w:sz w:val="22"/>
              </w:rPr>
              <w:t>Обеспечивающая инфраструктура, кредитование и участие в проектах</w:t>
            </w:r>
          </w:p>
        </w:tc>
        <w:tc>
          <w:tcPr>
            <w:tcW w:type="dxa" w:w="3969"/>
            <w:vAlign w:val="center"/>
          </w:tcPr>
          <w:p>
            <w:pPr>
              <w:keepNext/>
              <w:keepLines w:val="0"/>
              <w:spacing w:line="240" w:lineRule="auto" w:before="20" w:after="20"/>
              <w:ind w:firstLine="0"/>
              <w:jc w:val="left"/>
            </w:pPr>
            <w:r>
              <w:rPr>
                <w:rFonts w:ascii="Times New Roman" w:hAnsi="Times New Roman"/>
                <w:b w:val="0"/>
                <w:sz w:val="22"/>
              </w:rPr>
              <w:t>Согласование инфраструктуры, финансирования и эксплуатации</w:t>
            </w:r>
          </w:p>
        </w:tc>
      </w:tr>
      <w:tr>
        <w:trPr>
          <w:cantSplit/>
        </w:trPr>
        <w:tc>
          <w:tcPr>
            <w:tcW w:type="dxa" w:w="2268"/>
            <w:vAlign w:val="center"/>
          </w:tcPr>
          <w:p>
            <w:pPr>
              <w:keepNext/>
              <w:keepLines w:val="0"/>
              <w:spacing w:line="240" w:lineRule="auto" w:before="20" w:after="20"/>
              <w:ind w:firstLine="0"/>
              <w:jc w:val="left"/>
            </w:pPr>
            <w:r>
              <w:rPr>
                <w:rFonts w:ascii="Times New Roman" w:hAnsi="Times New Roman"/>
                <w:b w:val="0"/>
                <w:sz w:val="22"/>
              </w:rPr>
              <w:t>П3. Привлекательность</w:t>
            </w:r>
          </w:p>
        </w:tc>
        <w:tc>
          <w:tcPr>
            <w:tcW w:type="dxa" w:w="3402"/>
            <w:vAlign w:val="center"/>
          </w:tcPr>
          <w:p>
            <w:pPr>
              <w:keepNext/>
              <w:keepLines w:val="0"/>
              <w:spacing w:line="240" w:lineRule="auto" w:before="20" w:after="20"/>
              <w:ind w:firstLine="0"/>
              <w:jc w:val="left"/>
            </w:pPr>
            <w:r>
              <w:rPr>
                <w:rFonts w:ascii="Times New Roman" w:hAnsi="Times New Roman"/>
                <w:b w:val="0"/>
                <w:sz w:val="22"/>
              </w:rPr>
              <w:t>Продвижение, информационные системы, обратная связь</w:t>
            </w:r>
          </w:p>
        </w:tc>
        <w:tc>
          <w:tcPr>
            <w:tcW w:type="dxa" w:w="3969"/>
            <w:vAlign w:val="center"/>
          </w:tcPr>
          <w:p>
            <w:pPr>
              <w:keepNext/>
              <w:keepLines w:val="0"/>
              <w:spacing w:line="240" w:lineRule="auto" w:before="20" w:after="20"/>
              <w:ind w:firstLine="0"/>
              <w:jc w:val="left"/>
            </w:pPr>
            <w:r>
              <w:rPr>
                <w:rFonts w:ascii="Times New Roman" w:hAnsi="Times New Roman"/>
                <w:b w:val="0"/>
                <w:sz w:val="22"/>
              </w:rPr>
              <w:t>Дополнительный спрос и изменение статистического охвата</w:t>
            </w:r>
          </w:p>
        </w:tc>
      </w:tr>
      <w:tr>
        <w:trPr>
          <w:cantSplit/>
        </w:trPr>
        <w:tc>
          <w:tcPr>
            <w:tcW w:type="dxa" w:w="2268"/>
            <w:vAlign w:val="center"/>
          </w:tcPr>
          <w:p>
            <w:pPr>
              <w:keepNext/>
              <w:keepLines w:val="0"/>
              <w:spacing w:line="240" w:lineRule="auto" w:before="20" w:after="20"/>
              <w:ind w:firstLine="0"/>
              <w:jc w:val="left"/>
            </w:pPr>
            <w:r>
              <w:rPr>
                <w:rFonts w:ascii="Times New Roman" w:hAnsi="Times New Roman"/>
                <w:b w:val="0"/>
                <w:sz w:val="22"/>
              </w:rPr>
              <w:t>П4. Кадры</w:t>
            </w:r>
          </w:p>
        </w:tc>
        <w:tc>
          <w:tcPr>
            <w:tcW w:type="dxa" w:w="3402"/>
            <w:vAlign w:val="center"/>
          </w:tcPr>
          <w:p>
            <w:pPr>
              <w:keepNext/>
              <w:keepLines w:val="0"/>
              <w:spacing w:line="240" w:lineRule="auto" w:before="20" w:after="20"/>
              <w:ind w:firstLine="0"/>
              <w:jc w:val="left"/>
            </w:pPr>
            <w:r>
              <w:rPr>
                <w:rFonts w:ascii="Times New Roman" w:hAnsi="Times New Roman"/>
                <w:b w:val="0"/>
                <w:sz w:val="22"/>
              </w:rPr>
              <w:t>Обучение специалистов и команд, производи­тельность труда</w:t>
            </w:r>
          </w:p>
        </w:tc>
        <w:tc>
          <w:tcPr>
            <w:tcW w:type="dxa" w:w="3969"/>
            <w:vAlign w:val="center"/>
          </w:tcPr>
          <w:p>
            <w:pPr>
              <w:keepNext/>
              <w:keepLines w:val="0"/>
              <w:spacing w:line="240" w:lineRule="auto" w:before="20" w:after="20"/>
              <w:ind w:firstLine="0"/>
              <w:jc w:val="left"/>
            </w:pPr>
            <w:r>
              <w:rPr>
                <w:rFonts w:ascii="Times New Roman" w:hAnsi="Times New Roman"/>
                <w:b w:val="0"/>
                <w:sz w:val="22"/>
              </w:rPr>
              <w:t>Применение навыков и результат работы предприятий</w:t>
            </w:r>
          </w:p>
        </w:tc>
      </w:tr>
      <w:tr>
        <w:trPr>
          <w:cantSplit/>
        </w:trPr>
        <w:tc>
          <w:tcPr>
            <w:tcW w:type="dxa" w:w="2268"/>
            <w:vAlign w:val="center"/>
          </w:tcPr>
          <w:p>
            <w:pPr>
              <w:keepNext/>
              <w:keepLines w:val="0"/>
              <w:spacing w:line="240" w:lineRule="auto" w:before="20" w:after="20"/>
              <w:ind w:firstLine="0"/>
              <w:jc w:val="left"/>
            </w:pPr>
            <w:r>
              <w:rPr>
                <w:rFonts w:ascii="Times New Roman" w:hAnsi="Times New Roman"/>
                <w:b w:val="0"/>
                <w:sz w:val="22"/>
              </w:rPr>
              <w:t>П5. Промышленное обеспечение</w:t>
            </w:r>
          </w:p>
        </w:tc>
        <w:tc>
          <w:tcPr>
            <w:tcW w:type="dxa" w:w="3402"/>
            <w:vAlign w:val="center"/>
          </w:tcPr>
          <w:p>
            <w:pPr>
              <w:keepNext/>
              <w:keepLines w:val="0"/>
              <w:spacing w:line="240" w:lineRule="auto" w:before="20" w:after="20"/>
              <w:ind w:firstLine="0"/>
              <w:jc w:val="left"/>
            </w:pPr>
            <w:r>
              <w:rPr>
                <w:rFonts w:ascii="Times New Roman" w:hAnsi="Times New Roman"/>
                <w:b w:val="0"/>
                <w:sz w:val="22"/>
              </w:rPr>
              <w:t>Компенсация скидок и подтверждение российского производства</w:t>
            </w:r>
          </w:p>
        </w:tc>
        <w:tc>
          <w:tcPr>
            <w:tcW w:type="dxa" w:w="3969"/>
            <w:vAlign w:val="center"/>
          </w:tcPr>
          <w:p>
            <w:pPr>
              <w:keepNext/>
              <w:keepLines w:val="0"/>
              <w:spacing w:line="240" w:lineRule="auto" w:before="20" w:after="20"/>
              <w:ind w:firstLine="0"/>
              <w:jc w:val="left"/>
            </w:pPr>
            <w:r>
              <w:rPr>
                <w:rFonts w:ascii="Times New Roman" w:hAnsi="Times New Roman"/>
                <w:b w:val="0"/>
                <w:sz w:val="22"/>
              </w:rPr>
              <w:t>Дополнительные поставки, качество и стоимость обслуживания</w:t>
            </w:r>
          </w:p>
        </w:tc>
      </w:tr>
    </w:tbl>
    <w:p>
      <w:pPr>
        <w:pStyle w:val="SourceNote"/>
        <w:keepLines/>
        <w:spacing w:before="80" w:after="120"/>
      </w:pPr>
      <w:r>
        <w:rPr>
          <w:rFonts w:ascii="Times New Roman" w:hAnsi="Times New Roman"/>
          <w:b w:val="0"/>
        </w:rPr>
        <w:t xml:space="preserve">Авторская систематизация содержания паспортов. Последний столбец содержит направления экспертной проверки. </w:t>
      </w:r>
      <w:r>
        <w:rPr>
          <w:rStyle w:val="FootnoteReference"/>
        </w:rPr>
        <w:footnoteReference w:id="13"/>
      </w:r>
    </w:p>
    <w:p>
      <w:pPr>
        <w:keepNext/>
        <w:pageBreakBefore w:val="0"/>
        <w:spacing w:line="240" w:lineRule="auto" w:before="120" w:after="60"/>
        <w:ind w:firstLine="0"/>
        <w:jc w:val="center"/>
      </w:pPr>
      <w:r>
        <w:drawing>
          <wp:inline xmlns:a="http://schemas.openxmlformats.org/drawingml/2006/main" xmlns:pic="http://schemas.openxmlformats.org/drawingml/2006/picture">
            <wp:extent cx="6012000" cy="2104200"/>
            <wp:docPr id="1" name="Picture 1"/>
            <wp:cNvGraphicFramePr>
              <a:graphicFrameLocks noChangeAspect="1"/>
            </wp:cNvGraphicFramePr>
            <a:graphic>
              <a:graphicData uri="http://schemas.openxmlformats.org/drawingml/2006/picture">
                <pic:pic>
                  <pic:nvPicPr>
                    <pic:cNvPr id="0" name="logic.png"/>
                    <pic:cNvPicPr/>
                  </pic:nvPicPr>
                  <pic:blipFill>
                    <a:blip r:embed="rId10"/>
                    <a:stretch>
                      <a:fillRect/>
                    </a:stretch>
                  </pic:blipFill>
                  <pic:spPr>
                    <a:xfrm>
                      <a:off x="0" y="0"/>
                      <a:ext cx="6012000" cy="2104200"/>
                    </a:xfrm>
                    <a:prstGeom prst="rect"/>
                  </pic:spPr>
                </pic:pic>
              </a:graphicData>
            </a:graphic>
          </wp:inline>
        </w:drawing>
      </w:r>
    </w:p>
    <w:p>
      <w:pPr>
        <w:pStyle w:val="Caption"/>
        <w:keepNext/>
        <w:spacing w:after="60"/>
      </w:pPr>
      <w:r>
        <w:rPr>
          <w:rFonts w:ascii="Times New Roman" w:hAnsi="Times New Roman"/>
          <w:b w:val="0"/>
        </w:rPr>
        <w:t>Рисунок 1 – Уровни наблюдения результативности национального проекта</w:t>
      </w:r>
    </w:p>
    <w:p>
      <w:pPr>
        <w:pStyle w:val="SourceNote"/>
        <w:keepLines/>
        <w:spacing w:after="140"/>
      </w:pPr>
      <w:r>
        <w:rPr>
          <w:rFonts w:ascii="Times New Roman" w:hAnsi="Times New Roman"/>
          <w:b w:val="0"/>
        </w:rPr>
        <w:t xml:space="preserve">Авторская аналитическая схема: готовность инфраструктуры, фактическое использование, экономический результат, социальная доступность и территориальные издержки. Стрелки обозначают последовательность, подлежащую проверке. Величина причинного эффекта не установлена. </w:t>
      </w:r>
      <w:r>
        <w:rPr>
          <w:rStyle w:val="FootnoteReference"/>
        </w:rPr>
        <w:footnoteReference w:id="14"/>
      </w:r>
    </w:p>
    <w:p>
      <w:pPr>
        <w:pStyle w:val="Heading2"/>
      </w:pPr>
      <w:bookmarkStart w:id="8" w:name="sec_7"/>
      <w:r>
        <w:t>2.2 Номерной фонд и обеспечивающая инфраструктура</w:t>
      </w:r>
      <w:bookmarkEnd w:id="8"/>
    </w:p>
    <w:p>
      <w:r>
        <w:rPr>
          <w:rFonts w:ascii="Times New Roman" w:hAnsi="Times New Roman"/>
          <w:b w:val="0"/>
        </w:rPr>
        <w:t xml:space="preserve">Федеральный проект П1 «Создание номерного фонда, инфраструктуры и новых точек притяжения» объединяет модульные средства размещения, инженерную и транспортную инфраструктуру, льготное кредитование, инвестиционное участие и региональные мероприятия единой субсидии. Перечень результатов включает технологическое присоединение туристических кластеров, завершение инфраструктуры с длительным сроком окупаемости и развитие горнолыжных курортов. Разнообразие инструментов требует сопоставления по стадии готовности и назначению объекта. </w:t>
      </w:r>
      <w:r>
        <w:rPr>
          <w:rStyle w:val="FootnoteReference"/>
        </w:rPr>
        <w:footnoteReference w:id="15"/>
      </w:r>
    </w:p>
    <w:p>
      <w:r>
        <w:rPr>
          <w:rFonts w:ascii="Times New Roman" w:hAnsi="Times New Roman"/>
          <w:b w:val="0"/>
        </w:rPr>
        <w:t>Предоставление услуг в созданном номере возможно при наличии необходимых сетей, оборудования, персонала и разрешённой эксплуатации. Срок строительной приёмки может отличаться от даты начала продаж. Для модульных объектов существенны фактическая продолжительность сезона, техническая пригодность к зимней работе и доступность инженерных систем. Само обозначение объекта как круглогодичного необходимо подтверждать наблюдением работы в течение года.</w:t>
      </w:r>
    </w:p>
    <w:p>
      <w:r>
        <w:rPr>
          <w:rFonts w:ascii="Times New Roman" w:hAnsi="Times New Roman"/>
          <w:b w:val="0"/>
        </w:rPr>
        <w:t>Число номеров в реестре и физическое расширение предложения требуют раздельного учёта. Рост числа учтённых номеров возможен вследствие строительства, изменения состава классифицируемых объектов и включения ранее действовавших средств размещения. Для оценки результатов П1 предлагается выделять строительный ввод, реконструкцию, изменение статуса и расширение статистического охвата. Раздельный учёт позволит установить, какая часть прироста создаёт новую доступную мощность.</w:t>
      </w:r>
    </w:p>
    <w:p>
      <w:r>
        <w:rPr>
          <w:rFonts w:ascii="Times New Roman" w:hAnsi="Times New Roman"/>
          <w:b w:val="0"/>
        </w:rPr>
        <w:t>Обеспечивающая инфраструктура имеет более широкий круг пользователей, чем отдельная гостиница. Дорога, водоснабжение или очистные сооружения могут обслуживать местных жителей и несколько инвестиционных проектов. При оценке стоимости нужно установить границу объекта и распределение нагрузки. Полное отнесение такой инфраструктуры на одного получателя способно завысить стоимость его поддержки, а исключение общих сетей из расчёта – занизить общественные затраты.</w:t>
      </w:r>
    </w:p>
    <w:p>
      <w:pPr>
        <w:pStyle w:val="Heading2"/>
      </w:pPr>
      <w:bookmarkStart w:id="9" w:name="sec_8"/>
      <w:r>
        <w:t>2.3 Крупные курорты и отложенные результаты</w:t>
      </w:r>
      <w:bookmarkEnd w:id="9"/>
    </w:p>
    <w:p>
      <w:r>
        <w:rPr>
          <w:rFonts w:ascii="Times New Roman" w:hAnsi="Times New Roman"/>
          <w:b w:val="0"/>
        </w:rPr>
        <w:t xml:space="preserve">П2 «Пять морей и озеро Байкал» предусматривает инженерную и транспортную инфраструктуру круглогодичных курортов, технологическое присоединение, инвестиционные инструменты и льготные кредиты. Отдельным результатом выделено создание инфраструктуры Каспийского прибрежного кластера в Республике Дагестан. Состав мер отражает длительный инвестиционный цикл, в котором бюджетные обязательства и реальные поездки возникают в разные годы. </w:t>
      </w:r>
      <w:r>
        <w:rPr>
          <w:rStyle w:val="FootnoteReference"/>
        </w:rPr>
        <w:footnoteReference w:id="16"/>
      </w:r>
    </w:p>
    <w:p>
      <w:r>
        <w:rPr>
          <w:rFonts w:ascii="Times New Roman" w:hAnsi="Times New Roman"/>
          <w:b w:val="0"/>
        </w:rPr>
        <w:t xml:space="preserve">В выбранной редакции паспорта целевые значения числа поездок в новые современные круглогодичные гостиничные комплексы раскрыты с 2028 года: 1,2 млн, затем 4,3 млн в 2029 году и 7,4 млн в 2030 году. Для 2025–2026 годов оценка должна опираться на предусмотренные стадии реализации. Отсутствие раннего значения потока не свидетельствует о невыполнении поздней целевой величины. Вместе с тем проектные и строительные этапы нуждаются в самостоятельной проверке сроков и содержания. </w:t>
      </w:r>
      <w:r>
        <w:rPr>
          <w:rStyle w:val="FootnoteReference"/>
        </w:rPr>
        <w:footnoteReference w:id="17"/>
      </w:r>
    </w:p>
    <w:p>
      <w:r>
        <w:rPr>
          <w:rFonts w:ascii="Times New Roman" w:hAnsi="Times New Roman"/>
          <w:b w:val="0"/>
        </w:rPr>
        <w:t>Для крупных курортов предлагается сопоставлять три графика: бюджетное финансирование, завершение обеспечивающей инфраструктуры и начало коммерческой эксплуатации. Нарушение сроков по одному из графиков способно повлиять на остальные. При задержке сетей готовый гостиничный корпус может оставаться неработающим. При недостаточном спросе введённая инфраструктура может работать с низкой загрузкой и повышенной стоимостью обслуживания.</w:t>
      </w:r>
    </w:p>
    <w:p>
      <w:r>
        <w:rPr>
          <w:rFonts w:ascii="Times New Roman" w:hAnsi="Times New Roman"/>
          <w:b w:val="0"/>
        </w:rPr>
        <w:t>Территориальная оценка требует рассматривать курорт вместе с окружающими поселениями и транспортными узлами. Планирование рабочих мест следует сочетать с доступностью жилья для работников, ежедневной мобильностью, медицинской помощью и нагрузкой на коммунальные системы. Сезонный прирост временного населения отличается от увеличения численности постоянных жителей. Использование этих величин в расчёте инфраструктурной обеспеченности должно соответствовать конкретной задаче.</w:t>
      </w:r>
    </w:p>
    <w:p>
      <w:pPr>
        <w:pStyle w:val="Heading2"/>
      </w:pPr>
      <w:bookmarkStart w:id="10" w:name="sec_9"/>
      <w:r>
        <w:t>2.4 Продвижение и наблюдение спроса</w:t>
      </w:r>
      <w:bookmarkEnd w:id="10"/>
    </w:p>
    <w:p>
      <w:r>
        <w:rPr>
          <w:rFonts w:ascii="Times New Roman" w:hAnsi="Times New Roman"/>
          <w:b w:val="0"/>
        </w:rPr>
        <w:t xml:space="preserve">П3 «Туристическая привлекательность страны» включает информационные системы, продвижение внутреннего и въездного туризма, обратную связь и отдельные меры поддержки организаций. В результатах присутствует стимулирование спроса в периоды его сезонного снижения. Одновременно развиваются системы Росаккредитации, поддерживающие сведения о средствах размещения. Поэтому показатели этого направления могут отражать как изменение спроса, так и улучшение регистрации предложения. </w:t>
      </w:r>
      <w:r>
        <w:rPr>
          <w:rStyle w:val="FootnoteReference"/>
        </w:rPr>
        <w:footnoteReference w:id="18"/>
      </w:r>
    </w:p>
    <w:p>
      <w:r>
        <w:rPr>
          <w:rFonts w:ascii="Times New Roman" w:hAnsi="Times New Roman"/>
          <w:b w:val="0"/>
        </w:rPr>
        <w:t>Для рекламных и информационных мероприятий следует прослеживать переход от контакта с материалом к бронированию и состоявшейся поездке. Посещение туристического портала представляет промежуточное действие. Его связь с выручкой и экспортом зависит от качества предложения, транспортных возможностей, условий въезда и поведения посетителя. Счётчики посещений требуют устранения повторных технических обращений и раскрытия методики учёта, прежде чем использоваться для оценки охвата людей.</w:t>
      </w:r>
    </w:p>
    <w:p>
      <w:r>
        <w:rPr>
          <w:rFonts w:ascii="Times New Roman" w:hAnsi="Times New Roman"/>
          <w:b w:val="0"/>
        </w:rPr>
        <w:t>Мероприятия по привлечению туристов в межсезонье целесообразно оценивать по дополнительным ночёвкам и загрузке именно в период пониженного спроса. Рост годового потока может сопровождаться сохранением концентрации в пиковые месяцы. Для курорта, работающего в несколько сезонов, важна также устойчивость занятости и дохода в течение года. Сопоставление рекламных расходов с общим числом поездок без временной и территориальной привязки не позволяет выделить дополнительный результат конкретной кампании.</w:t>
      </w:r>
    </w:p>
    <w:p>
      <w:pPr>
        <w:pStyle w:val="Heading2"/>
      </w:pPr>
      <w:bookmarkStart w:id="11" w:name="sec_10"/>
      <w:r>
        <w:t>2.5 Кадровое и промышленное обеспечение</w:t>
      </w:r>
      <w:bookmarkEnd w:id="11"/>
    </w:p>
    <w:p>
      <w:r>
        <w:rPr>
          <w:rFonts w:ascii="Times New Roman" w:hAnsi="Times New Roman"/>
          <w:b w:val="0"/>
        </w:rPr>
        <w:t xml:space="preserve">П4 «Кадры для туризма» соединяет повышение квалификации, подготовку региональных команд и мероприятия по производительности труда. Паспорт содержит как долю обученных в занятости отрасли, так и число специалистов, прошедших подготовку в центрах. Дополнительные результаты связаны с практико-ориентированным обучением и распространением подходов к организации работы предприятий. </w:t>
      </w:r>
      <w:r>
        <w:rPr>
          <w:rStyle w:val="FootnoteReference"/>
        </w:rPr>
        <w:footnoteReference w:id="19"/>
      </w:r>
    </w:p>
    <w:p>
      <w:r>
        <w:rPr>
          <w:rFonts w:ascii="Times New Roman" w:hAnsi="Times New Roman"/>
          <w:b w:val="0"/>
        </w:rPr>
        <w:t>Результат обучения необходимо прослеживать на уровне участников и организаций. Для отрасли существенны дальнейшая работа по профилю, удержание кадров между сезонами, освоение конкретных навыков и качество обслуживания. Один человек может проходить несколько программ, поэтому численность уникальных участников и количество завершений обучения следует публиковать раздельно. Производительность труда требует измерения выпуска и затрат труда в сопоставимых условиях, включая изменение загрузки и состава услуг.</w:t>
      </w:r>
    </w:p>
    <w:p>
      <w:r>
        <w:rPr>
          <w:rFonts w:ascii="Times New Roman" w:hAnsi="Times New Roman"/>
          <w:b w:val="0"/>
        </w:rPr>
        <w:t xml:space="preserve">П5 «Производство отечественной продукции для туристской индустрии» предусматривает компенсацию части затрат производителям при предоставлении скидок покупателям и развитие требований к подтверждению производства оборудования в России. При оценке направления следует различать реализацию продукции, происхождение её компонентов и функциональную пригодность для туристического объекта. Доля отечественной продукции характеризует один аспект технологической обеспеченности. </w:t>
      </w:r>
      <w:r>
        <w:rPr>
          <w:rStyle w:val="FootnoteReference"/>
        </w:rPr>
        <w:footnoteReference w:id="20"/>
      </w:r>
    </w:p>
    <w:p>
      <w:pPr>
        <w:keepLines w:val="1"/>
      </w:pPr>
      <w:r>
        <w:rPr>
          <w:rFonts w:ascii="Times New Roman" w:hAnsi="Times New Roman"/>
          <w:b w:val="0"/>
        </w:rPr>
        <w:t>Для получателя оборудования значимы срок поставки, обслуживание, наличие запасных частей, надёжность и полная стоимость эксплуатации. Увеличение продаж по субсидируемой цене может обеспечивать замену импорта, расширение мощностей или перенос покупки во времени. Проверка дополнительности поддержки должна устанавливать, какие изменения возникли вследствие программы и какие предприятия воспользовались бы аналогичным оборудованием без неё. Подробный дизайн такой оценки предложен в заключительной главе.</w:t>
      </w:r>
    </w:p>
    <w:p>
      <w:pPr>
        <w:pStyle w:val="Heading1"/>
      </w:pPr>
      <w:bookmarkStart w:id="12" w:name="sec_11"/>
      <w:r>
        <w:t>3 Методики расчёта и система показателей</w:t>
      </w:r>
      <w:bookmarkEnd w:id="12"/>
    </w:p>
    <w:p>
      <w:pPr>
        <w:pStyle w:val="Heading2"/>
      </w:pPr>
      <w:bookmarkStart w:id="13" w:name="sec_12"/>
      <w:r>
        <w:t>3.1 Состав показателей и границы нового проектного цикла</w:t>
      </w:r>
      <w:bookmarkEnd w:id="13"/>
    </w:p>
    <w:p>
      <w:r>
        <w:rPr>
          <w:rFonts w:ascii="Times New Roman" w:hAnsi="Times New Roman"/>
          <w:b w:val="0"/>
        </w:rPr>
        <w:t>Система показателей национального проекта «Туризм и гостеприимство» соединяет несколько уровней результата: экономический масштаб туристской индустрии, интенсивность поездок, предложение размещения, подготовку работников, промышленное обеспечение и информационное взаимодействие с потребителем. Перечисленные результаты связаны по содержанию, но не образуют единой статистической величины. Увеличение числа номеров создаёт потенциальную ёмкость, посещение портала отражает информационную активность, обучение подтверждает образовательный результат, а добавленная стоимость характеризует производство. Между ними требуются самостоятельные проверки загрузки, качества и экономической отдачи.</w:t>
      </w:r>
    </w:p>
    <w:p>
      <w:r>
        <w:rPr>
          <w:rFonts w:ascii="Times New Roman" w:hAnsi="Times New Roman"/>
          <w:b w:val="0"/>
        </w:rPr>
        <w:t xml:space="preserve">Паспорт нового проекта устанавливает период с 1 января 2025 года по 31 декабря 2030 года. Поэтому показатели 2024 года следует использовать как исходные условия и результаты предыдущего проектного цикла, связанного с национальным проектом «Туризм и индустрия гостеприимства». Они не подтверждают эффект мероприятий, начавшихся в 2025 году. Возможная преемственность объектов и механизмов поддержки не отменяет необходимости разделять сроки финансирования, ввод объектов и период возникновения результата. В исследовании используется публичное представление паспорта версии 26.23 от 16 октября 2026 года. Оно позволяет восстановить структуру и ориентиры, однако само по себе не удостоверяет юридическую процедуру их утверждения. </w:t>
      </w:r>
      <w:r>
        <w:rPr>
          <w:rStyle w:val="FootnoteReference"/>
        </w:rPr>
        <w:footnoteReference w:id="21"/>
      </w:r>
    </w:p>
    <w:p>
      <w:r>
        <w:rPr>
          <w:rFonts w:ascii="Times New Roman" w:hAnsi="Times New Roman"/>
          <w:b w:val="0"/>
        </w:rPr>
        <w:t xml:space="preserve">В составе проекта представлены пять федеральных проектов: П1 «Создание номерного фонда, инфраструктуры и новых точек притяжения», П2 «Пять морей и озеро Байкал», П3 «Туристическая привлекательность страны», П4 «Кадры для туризма», П5 «Производство отечественной продукции для туристской индустрии». Сокращённые названия «Создание номерного фонда», «Морские курорты», «Кадры» и «Промышленное обеспечение туризма» обозначают соответствующие проекты. Дополнительными направлениями они не являются. Статистический каталог содержит десять кодовых позиций: три показателя национального проекта и семь показателей федеральных проектов. </w:t>
      </w:r>
      <w:r>
        <w:rPr>
          <w:rStyle w:val="FootnoteReference"/>
        </w:rPr>
        <w:footnoteReference w:id="22"/>
      </w:r>
    </w:p>
    <w:p>
      <w:r>
        <w:rPr>
          <w:rFonts w:ascii="Times New Roman" w:hAnsi="Times New Roman"/>
          <w:b w:val="0"/>
        </w:rPr>
        <w:t xml:space="preserve">На национальном уровне код 2.14.П.1 соответствует объёму экспорта туристских услуг, 2.14.П.2 – количеству туристических поездок по территории Российской Федерации, 2.14.П.3 – доле валовой добавленной стоимости туристской индустрии в валовом внутреннем продукте Российской Федерации. Федеральный уровень включает номерной фонд 2.14.П1.1, поездки в новые круглогодичные гостиничные комплексы 2.14.П2.1, иностранных граждан, размещённых в коллективных средствах размещения, 2.14.П3.1, индекс удовлетворённости 2.14.П3.2, посещения национального туристического портала 2.14.П3.3, долю прошедших обучение 2.14.П4.1 и обеспеченность отечественной промышленной продукцией 2.14.П5.1. Полное наименование кадрового показателя уточняет направление обучения – деятельность гостиниц и предприятий общественного питания. </w:t>
      </w:r>
      <w:r>
        <w:rPr>
          <w:rStyle w:val="FootnoteReference"/>
        </w:rPr>
        <w:footnoteReference w:id="23"/>
      </w:r>
    </w:p>
    <w:p>
      <w:r>
        <w:rPr>
          <w:rFonts w:ascii="Times New Roman" w:hAnsi="Times New Roman"/>
          <w:b w:val="0"/>
        </w:rPr>
        <w:t xml:space="preserve">Десять позиций каталога не исчерпывают актуальную паспортную систему. Приказ Минэкономразвития от 3 августа 2026 года № 550 дополнительно закрепляет число специалистов, прошедших переподготовку и повышение квалификации в центрах подготовки кадров для туристской индустрии, с идентификатором П04611-П4. Показатель уже присутствует в паспорте П4 и используется как месячный прокси для годовой доли обученных. Его следует включать в экспертизу с указанием отличия между паспортным идентификатором и кодом статистического каталога. </w:t>
      </w:r>
      <w:r>
        <w:rPr>
          <w:rStyle w:val="FootnoteReference"/>
        </w:rPr>
        <w:footnoteReference w:id="24"/>
      </w:r>
    </w:p>
    <w:p>
      <w:r>
        <w:rPr>
          <w:rFonts w:ascii="Times New Roman" w:hAnsi="Times New Roman"/>
          <w:b w:val="0"/>
        </w:rPr>
        <w:t xml:space="preserve">Нормативная преемственность также требует точной датировки. Приказ Минэкономразвития от 30 сентября 2025 года № 647 вступил в силу 1 октября 2025 года, отменив приказы от 28 декабря 2024 года № 854 и № 855 и от 10 апреля 2025 года № 224. Затем приказ от 9 февраля 2026 года № 87 заменил методику номерного фонда, приказ от 6 марта 2026 года № 169 изложил заново методику иностранных размещений, а приказ от 30 сентября 2026 года № 684 заменил методику туристических поездок. Указатель методик удобен для поиска, однако найденные в нём ссылки необходимо сверять с изменяющими актами: отдельные позиции продолжают указывать первоначальные документы. </w:t>
      </w:r>
      <w:r>
        <w:rPr>
          <w:rStyle w:val="FootnoteReference"/>
        </w:rPr>
        <w:footnoteReference w:id="25"/>
      </w:r>
    </w:p>
    <w:p>
      <w:pPr>
        <w:pStyle w:val="Heading2"/>
      </w:pPr>
      <w:bookmarkStart w:id="14" w:name="sec_13"/>
      <w:r>
        <w:t>3.2 Поездки, туристский поток, размещения и ночёвки</w:t>
      </w:r>
      <w:bookmarkEnd w:id="14"/>
    </w:p>
    <w:p>
      <w:r>
        <w:rPr>
          <w:rFonts w:ascii="Times New Roman" w:hAnsi="Times New Roman"/>
          <w:b w:val="0"/>
        </w:rPr>
        <w:t>Название показателя не устанавливает единицу наблюдения. Туристическая поездка, отдельное размещение, ночёвка и уникальный человек отвечают на разные вопросы. Один человек может совершить несколько поездок. В пределах одной поездки он может остановиться в нескольких средствах размещения. Соответственно, сумма регистраций размещённых лиц не становится автоматически числом различных граждан, а число ночёвок характеризует продолжительность использования услуг. Для оценки охвата населения необходим отдельный показатель уникальных участников поездок за установленный период с воспроизводимым правилом устранения повторного счёта.</w:t>
      </w:r>
    </w:p>
    <w:p>
      <w:r>
        <w:rPr>
          <w:rFonts w:ascii="Times New Roman" w:hAnsi="Times New Roman"/>
          <w:b w:val="0"/>
        </w:rPr>
        <w:t xml:space="preserve">Методика оценки туристского потока, утверждённая приказом Росстата от 26 февраля 2021 года № 109, прямо разграничивает количество поездок и количество туристов. При расчёте учитываются коллективные и индивидуальные средства размещения. Для отдельных составляющих используются сведения о въездных поездках, обследование населения по форме № 1-В и административная информация. Поправки приказа от 1 марта 2022 года № 100 расширили временную детализацию отдельных оценок. Поэтому опубликованный Росстатом «туристский поток» нельзя без проверки подставлять вместо показателя нового нацпроекта с похожим названием. </w:t>
      </w:r>
      <w:r>
        <w:rPr>
          <w:rStyle w:val="FootnoteReference"/>
        </w:rPr>
        <w:footnoteReference w:id="26"/>
      </w:r>
    </w:p>
    <w:p>
      <w:r>
        <w:rPr>
          <w:rFonts w:ascii="Times New Roman" w:hAnsi="Times New Roman"/>
          <w:b w:val="0"/>
        </w:rPr>
        <w:t xml:space="preserve">Приказ № 684 определяет поездку через посещение места временного пребывания в предусмотренных туристских целях без получения дохода от источников в этом месте, продолжительностью от 24 часов до шести месяцев либо с хотя бы одной ночёвкой. Расчёт охватывает российских и иностранных граждан. При этом общее исключение индивидуального размещения сохраняется, но одновременно введён специальный учёт классифицированных гостевых домов. Следовательно, нельзя описывать актуальный показатель ни как полный учёт всех форм путешествий, ни как неизменную сумму гостиничных регистраций прежних лет. </w:t>
      </w:r>
      <w:r>
        <w:rPr>
          <w:rStyle w:val="FootnoteReference"/>
        </w:rPr>
        <w:footnoteReference w:id="27"/>
      </w:r>
    </w:p>
    <w:p>
      <w:r>
        <w:rPr>
          <w:rFonts w:ascii="Times New Roman" w:hAnsi="Times New Roman"/>
          <w:b w:val="0"/>
        </w:rPr>
        <w:t xml:space="preserve">В новом алгоритме отдельно присутствуют данные о размещённых в средствах размещения лицах, компоненты по круизным судам и разностный показатель по гостевым домам. Последний сопоставляет реестр Росаккредитации со статистикой Росстата и использует сведения о номерах и расчётную интенсивность размещения. Расширение наблюдаемой совокупности основано на досчёте. Оно повышает полноту охвата, однако величину досчёта необходимо раскрывать отдельно. Для воспроизводимости полезно публиковать исходное наблюдение, поправку полного круга и корректировку по гостевым домам раздельно. </w:t>
      </w:r>
      <w:r>
        <w:rPr>
          <w:rStyle w:val="FootnoteReference"/>
        </w:rPr>
        <w:footnoteReference w:id="28"/>
      </w:r>
    </w:p>
    <w:p>
      <w:r>
        <w:rPr>
          <w:rFonts w:ascii="Times New Roman" w:hAnsi="Times New Roman"/>
          <w:b w:val="0"/>
        </w:rPr>
        <w:t>При интерпретации ночёвок необходимо сохранять единицу «человеко-ночь», не смешивая её с занятой комнатой за сутки. Два человека, прожившие в одном номере одну ночь, формируют две ночёвки и одну занятую номеро-ночь. Отношение ночёвок к числу размещений может характеризовать среднюю продолжительность пребывания в наблюдаемой совокупности, если числитель и знаменатель относятся к одинаковым объектам, периоду и правилам регистрации. Оно не даёт автоматически продолжительности всей поездки человека, который последовательно размещался в нескольких объектах.</w:t>
      </w:r>
    </w:p>
    <w:p>
      <w:pPr>
        <w:pStyle w:val="Heading2"/>
      </w:pPr>
      <w:bookmarkStart w:id="15" w:name="sec_14"/>
      <w:r>
        <w:t>3.3 Временная сопоставимость и версии туристической статистики</w:t>
      </w:r>
      <w:bookmarkEnd w:id="15"/>
    </w:p>
    <w:p>
      <w:r>
        <w:rPr>
          <w:rFonts w:ascii="Times New Roman" w:hAnsi="Times New Roman"/>
          <w:b w:val="0"/>
        </w:rPr>
        <w:t xml:space="preserve">Туристические поездки по приказу № 684 рассчитываются ежемесячно нарастающим итогом с начала года и ежегодно. Единица измерения – миллион единиц. Ранние месячные оценки используют предшествующие наблюдения, сезонные соотношения прошлых лет и поправочные коэффициенты. Уточнённые оценки имеют самостоятельную информационную базу. При отсутствии компонентов допускается использование данных прошлого периода. Поэтому последовательность значений, размещённых в месячных колонках, не обязательно представляет последовательность независимо измеренных месячных потоков. </w:t>
      </w:r>
      <w:r>
        <w:rPr>
          <w:rStyle w:val="FootnoteReference"/>
        </w:rPr>
        <w:footnoteReference w:id="29"/>
      </w:r>
    </w:p>
    <w:p>
      <w:r>
        <w:rPr>
          <w:rFonts w:ascii="Times New Roman" w:hAnsi="Times New Roman"/>
          <w:b w:val="0"/>
        </w:rPr>
        <w:t>Аналитическое вычитание соседних накопленных значений допустимо только после подтверждения единой редакции ряда. Если январь–ноябрь сохранились как ранние оценки, а декабрь уже отражает годовое уточнение, полученная разность за декабрь одновременно включает поездки месяца и пересмотр предыдущих периодов. Её нельзя использовать как доказательство сезонного обвала. Аналогично повторение значения может означать предусмотренный методикой перенос предыдущего наблюдения. Для каждого значения необходимы период, дата выпуска, стадия оценки и признак расчётной подстановки.</w:t>
      </w:r>
    </w:p>
    <w:p>
      <w:r>
        <w:rPr>
          <w:rFonts w:ascii="Times New Roman" w:hAnsi="Times New Roman"/>
          <w:b w:val="0"/>
        </w:rPr>
        <w:t xml:space="preserve">Статистика средств размещения также изменилась. На актуальной странице Росстата представлены приказ от 9 сентября 2025 года № 462 о формировании месячной и годовой информации о коллективных средствах размещения и приказ от 8 апреля 2026 года № 168 о месячных показателях по полному кругу хозяйствующих субъектов. Последний различает непосредственно обследуемые организации и досчитываемые микропредприятия. Смена охвата должна проверяться до расчёта межгодового роста, особенно при сопоставлении ранних ведомственных сообщений с поздней статистической выгрузкой. </w:t>
      </w:r>
      <w:r>
        <w:rPr>
          <w:rStyle w:val="FootnoteReference"/>
        </w:rPr>
        <w:footnoteReference w:id="30"/>
      </w:r>
    </w:p>
    <w:p>
      <w:r>
        <w:rPr>
          <w:rFonts w:ascii="Times New Roman" w:hAnsi="Times New Roman"/>
          <w:b w:val="0"/>
        </w:rPr>
        <w:t xml:space="preserve">В доступном полном тексте приказа № 684 обнаруживается календарная несогласованность: пункт 9 устанавливает срок годовой уточнённой оценки не позднее 16 апреля, тогда как пункт 37 предусматривает предоставление годовых компонентов Росстата не позднее 27 апреля. Несогласованность не даёт оснований самостоятельно изменять официальные даты. Статус уточнения необходимо устанавливать по фактической публикации и её метаданным. Наступление календарной даты само по себе уточнения не подтверждает. Сам приказ не содержит отдельного положения о ретроактивном применении ко всем ранним месяцам 2026 года. </w:t>
      </w:r>
      <w:r>
        <w:rPr>
          <w:rStyle w:val="FootnoteReference"/>
        </w:rPr>
        <w:footnoteReference w:id="31"/>
      </w:r>
    </w:p>
    <w:p>
      <w:r>
        <w:rPr>
          <w:rFonts w:ascii="Times New Roman" w:hAnsi="Times New Roman"/>
          <w:b w:val="0"/>
        </w:rPr>
        <w:t>Для сопоставления территорий необходимо фиксировать их состав. Методика поездок содержит специальное правило об исключении статистики четырёх новых субъектов до предусмотренного нормативным актом момента. Национальный итог и сумма доступных региональных строк могут поэтому относиться к разным территориальным совокупностям. Пропуск, технический нуль, отсутствие утверждённого ориентира и измеренный нулевой результат следует хранить как разные состояния данных.</w:t>
      </w:r>
    </w:p>
    <w:p>
      <w:pPr>
        <w:pStyle w:val="Heading2"/>
      </w:pPr>
      <w:bookmarkStart w:id="16" w:name="sec_15"/>
      <w:r>
        <w:t>3.4 Номерной фонд и изменение реестрового охвата</w:t>
      </w:r>
      <w:bookmarkEnd w:id="16"/>
    </w:p>
    <w:p>
      <w:r>
        <w:rPr>
          <w:rFonts w:ascii="Times New Roman" w:hAnsi="Times New Roman"/>
          <w:b w:val="0"/>
        </w:rPr>
        <w:t xml:space="preserve">Приказ № 87 распространяется на правоотношения с 1 января 2026 года и действует по 31 декабря 2027 года. Показатель номерного фонда формирует Росаккредитация по единому реестру объектов классификации. Показатель отражает состояние на конец месяца и выражается в тысячах номеров. Месячные значения не суммируются. Годовое значение принимается равным декабрьскому. В состав включены комнаты классифицированных гостевых домов, а исключение прямо установлено для записей со статусами «прекращен» и «архивный». </w:t>
      </w:r>
      <w:r>
        <w:rPr>
          <w:rStyle w:val="FootnoteReference"/>
        </w:rPr>
        <w:footnoteReference w:id="32"/>
      </w:r>
    </w:p>
    <w:p>
      <w:r>
        <w:rPr>
          <w:rFonts w:ascii="Times New Roman" w:hAnsi="Times New Roman"/>
          <w:b w:val="0"/>
        </w:rPr>
        <w:t>При установленном порядке учёта зарегистрированное число номеров может отличаться от числа номеров, доступных туристу. Формулировка исключений не перечисляет статус приостановления классификации. Кроме того, объект может иметь сезонный режим, ремонт, ограничения использования помещений либо временно закрытые номера. Поэтому реестровый показатель следует сопровождать числом номеров в действующих объектах и количеством фактически доступных номеро-суток. Учёт действующих номеров и доступных номеро-суток позволяет оценивать предложение услуг, сохраняя официальный показатель в его установленном значении.</w:t>
      </w:r>
    </w:p>
    <w:p>
      <w:r>
        <w:rPr>
          <w:rFonts w:ascii="Times New Roman" w:hAnsi="Times New Roman"/>
          <w:b w:val="0"/>
        </w:rPr>
        <w:t xml:space="preserve">Реформа 2025–2026 годов изменяет саму наблюдаемую совокупность. Постановления Правительства от 27 декабря 2024 года № 1951 и № 1952 устанавливают положение о классификации, правила её проведения и ведения единого реестра. Федеральный закон от 7 июня 2025 года № 127-ФЗ вводит эксперимент по предоставлению услуг гостевых домов, а постановление от 30 августа 2025 года № 1345 регулирует их классификацию. Последний режим действует с 1 сентября 2025 года по 31 декабря 2027 года. Расширение учёта гостевых домов следует рассматривать отдельно от физического строительства нового фонда. </w:t>
      </w:r>
      <w:r>
        <w:rPr>
          <w:rStyle w:val="FootnoteReference"/>
        </w:rPr>
        <w:footnoteReference w:id="33"/>
      </w:r>
    </w:p>
    <w:p>
      <w:r>
        <w:rPr>
          <w:rFonts w:ascii="Times New Roman" w:hAnsi="Times New Roman"/>
          <w:b w:val="0"/>
        </w:rPr>
        <w:t>Для оценки прироста необходимо сформировать баланс изменений реестра: ввод новых зданий, расширение существующих объектов, включение ранее работавших средств размещения, изменение статуса, исправление сведений и прекращение деятельности. Одинаковый прирост общего числа номеров может быть получен при разном сочетании этих процессов. Рекомендуется сохранять стабильный идентификатор объекта и публиковать сопоставимый ряд по неизменной совокупности наряду с полным реестром. Для объектов поддержки следует дополнительно фиксировать фактическое открытие, дни работы, доступность бронирования и загрузку после ввода.</w:t>
      </w:r>
    </w:p>
    <w:p>
      <w:pPr>
        <w:pStyle w:val="Heading2"/>
      </w:pPr>
      <w:bookmarkStart w:id="17" w:name="sec_16"/>
      <w:r>
        <w:t>3.5 Доля туризма и измерение экономического результата</w:t>
      </w:r>
      <w:bookmarkEnd w:id="17"/>
    </w:p>
    <w:p>
      <w:r>
        <w:rPr>
          <w:rFonts w:ascii="Times New Roman" w:hAnsi="Times New Roman"/>
          <w:b w:val="0"/>
        </w:rPr>
        <w:t xml:space="preserve">Для интерпретации показателя доли туризма необходимо обратиться к формуле, поскольку его краткое название недостаточно точно передаёт знаменатель. Приложение 3 к приказу № 647 определяет уточнённую оценку как отношение валовой добавленной стоимости туристской индустрии к валовой добавленной стоимости всех отраслей экономики в текущих основных ценах. Следовательно, самостоятельная проверка делением на ВВП в рыночных ценах даст другой показатель. В аналитических таблицах необходимо указывать фактическую базу отношения, сохраняя официальное наименование показателя. </w:t>
      </w:r>
      <w:r>
        <w:rPr>
          <w:rStyle w:val="FootnoteReference"/>
        </w:rPr>
        <w:footnoteReference w:id="34"/>
      </w:r>
    </w:p>
    <w:p>
      <w:pPr>
        <w:keepNext/>
        <w:spacing w:line="240" w:lineRule="auto" w:before="180" w:after="180"/>
        <w:ind w:firstLine="0"/>
        <w:jc w:val="center"/>
      </w:pPr>
      <m:oMath>
        <m:r>
          <m:rPr>
            <m:sty m:val="p"/>
          </m:rPr>
          <m:t>D = </m:t>
        </m:r>
        <m:f>
          <m:num>
            <m:sSub>
              <m:e>
                <m:r>
                  <m:rPr>
                    <m:sty m:val="p"/>
                  </m:rPr>
                  <m:t>V</m:t>
                </m:r>
              </m:e>
              <m:sub>
                <m:r>
                  <m:rPr>
                    <m:sty m:val="p"/>
                  </m:rPr>
                  <m:t>тур</m:t>
                </m:r>
              </m:sub>
            </m:sSub>
          </m:num>
          <m:den>
            <m:sSub>
              <m:e>
                <m:r>
                  <m:rPr>
                    <m:sty m:val="p"/>
                  </m:rPr>
                  <m:t>V</m:t>
                </m:r>
              </m:e>
              <m:sub>
                <m:r>
                  <m:rPr>
                    <m:sty m:val="p"/>
                  </m:rPr>
                  <m:t>все</m:t>
                </m:r>
              </m:sub>
            </m:sSub>
          </m:den>
        </m:f>
        <m:r>
          <m:rPr>
            <m:sty m:val="p"/>
          </m:rPr>
          <m:t> × 100 %</m:t>
        </m:r>
      </m:oMath>
      <w:r>
        <w:t xml:space="preserve">    (1)</w:t>
      </w:r>
    </w:p>
    <w:p>
      <w:r>
        <w:rPr>
          <w:rFonts w:ascii="Times New Roman" w:hAnsi="Times New Roman"/>
          <w:b w:val="0"/>
        </w:rPr>
        <w:t>Здесь D – доля туристской индустрии, Vтур – её валовая добавленная стоимость, Vвсе – валовая добавленная стоимость всех отраслей. Обе стоимостные величины относятся к одному году и выражены в текущих основных ценах.</w:t>
      </w:r>
    </w:p>
    <w:p>
      <w:r>
        <w:rPr>
          <w:rFonts w:ascii="Times New Roman" w:hAnsi="Times New Roman"/>
          <w:b w:val="0"/>
        </w:rPr>
        <w:t xml:space="preserve">Показатель является годовым. Месячный прокси для него не установлен. Первая годовая оценка прямо приравнивается к плановому значению. Уточнение опирается на статистические компоненты Росстата. Поэтому совпадение ранней оценки с целью не представляет независимого свидетельства выполнения плана. Перед включением значения в итоговую оценку требуется установить, что использована статистическая уточнённая величина. Техническая месячная сетка публикации не превращает этот показатель в месячный ряд. </w:t>
      </w:r>
      <w:r>
        <w:rPr>
          <w:rStyle w:val="FootnoteReference"/>
        </w:rPr>
        <w:footnoteReference w:id="35"/>
      </w:r>
    </w:p>
    <w:p>
      <w:r>
        <w:rPr>
          <w:rFonts w:ascii="Times New Roman" w:hAnsi="Times New Roman"/>
          <w:b w:val="0"/>
        </w:rPr>
        <w:t xml:space="preserve">Приказ Росстата от 26 июня 2025 года № 310 заменил методологию, утверждённую приказом от 5 сентября 2024 года № 397, и предусмотрел расчёт за 2025 год с пересчётом 2017–2024 годов. ВДС туристской индустрии охватывает производство соответствующих экономических единиц независимо от того, предназначена ли вся их продукция посетителям. Поэтому её нельзя отождествлять с расходами туристов или с прямым вкладом туристского потребления. Сопоставлять исторические значения следует после проверки принадлежности к пересчитанному ряду. </w:t>
      </w:r>
      <w:r>
        <w:rPr>
          <w:rStyle w:val="FootnoteReference"/>
        </w:rPr>
        <w:footnoteReference w:id="36"/>
      </w:r>
    </w:p>
    <w:p>
      <w:r>
        <w:rPr>
          <w:rFonts w:ascii="Times New Roman" w:hAnsi="Times New Roman"/>
          <w:b w:val="0"/>
        </w:rPr>
        <w:t>Доля в текущих ценах может увеличиваться при опережающем росте цен туристских услуг либо при более слабой динамике остальных отраслей. Для оценки реального расширения деятельности её необходимо дополнять индексом физического объёма ВДС туристской индустрии, предусмотренным той же методологией. Для производительности предпочтительны реальная добавленная стоимость и трудозатраты, согласованные по кругу организаций. Выручка на размещение, доход на ночёвку и загрузка полезны как операционные характеристики, однако не заменяют добавленную стоимость и требуют отдельного контроля изменения цен.</w:t>
      </w:r>
    </w:p>
    <w:p>
      <w:pPr>
        <w:pStyle w:val="Heading2"/>
      </w:pPr>
      <w:bookmarkStart w:id="18" w:name="sec_17"/>
      <w:r>
        <w:t>3.6 Экспорт туристских услуг и иностранные размещения</w:t>
      </w:r>
      <w:bookmarkEnd w:id="18"/>
    </w:p>
    <w:p>
      <w:r>
        <w:rPr>
          <w:rFonts w:ascii="Times New Roman" w:hAnsi="Times New Roman"/>
          <w:b w:val="0"/>
        </w:rPr>
        <w:t xml:space="preserve">Экспорт по приложению 4 к приказу № 647 рассчитывается в миллиардах долларов США, ежеквартально и ежегодно нарастающим итогом. Для ранних квартальных оценок используется прошлогодний средний чек, связанный с экспортом и числом иностранных размещений, и текущая оценка размещённых иностранных граждан. Уточнённая годовая величина опирается на данные Банка России об экспорте туристских услуг, формируемые в рамках статьи «Поездки» платёжного баланса. Методика отсылает к публикации «Экспорт отдельных видов услуг по субъектам Российской Федерации». Автоматически заменять этот компонент всей статьёй «Поездки» нельзя. </w:t>
      </w:r>
      <w:r>
        <w:rPr>
          <w:rStyle w:val="FootnoteReference"/>
        </w:rPr>
        <w:footnoteReference w:id="37"/>
      </w:r>
    </w:p>
    <w:p>
      <w:r>
        <w:rPr>
          <w:rFonts w:ascii="Times New Roman" w:hAnsi="Times New Roman"/>
          <w:b w:val="0"/>
        </w:rPr>
        <w:t xml:space="preserve">Стадии оценки имеют существенное значение. Первая годовая оценка равна плану. Вторая опирается на первую оценку за четвёртый квартал. Уточнённая годовая оценка формируется по отдельному алгоритму. Квартальные значения также не являются четырьмя независимыми годовыми частями, если представлены нарастающим итогом. Суммирование таких значений завышает результат. Для оценки роста к 2023 году требуется одновременно проверить редакцию базового значения, единицу валюты и стадию оценки сопоставляемых величин. </w:t>
      </w:r>
      <w:r>
        <w:rPr>
          <w:rStyle w:val="FootnoteReference"/>
        </w:rPr>
        <w:footnoteReference w:id="38"/>
      </w:r>
    </w:p>
    <w:p>
      <w:r>
        <w:rPr>
          <w:rFonts w:ascii="Times New Roman" w:hAnsi="Times New Roman"/>
          <w:b w:val="0"/>
        </w:rPr>
        <w:t>Долларовая величина измеряет стоимостный результат и сама по себе не является индексом физического объёма. На неё воздействуют число поездок, продолжительность пребывания, структура расходов, внутренние цены и валютные пересчёты. Для содержательного анализа следует отдельно показывать экспорт в установленной валюте, расходы на поездку и ночёвку, а также оценку расходов в сопоставимых ценах при явно названном дефляторе. Использование общего потребительского индекса требует оговорки о его отличии от структуры потребления иностранного посетителя.</w:t>
      </w:r>
    </w:p>
    <w:p>
      <w:r>
        <w:rPr>
          <w:rFonts w:ascii="Times New Roman" w:hAnsi="Times New Roman"/>
          <w:b w:val="0"/>
        </w:rPr>
        <w:t xml:space="preserve">Методика иностранных размещений изложена заново приказом № 169, применяемым к правоотношениям с 1 марта 2026 года. Она устанавливает месячные и годовые накопленные значения в миллионах человек, раннюю и уточнённую месячные оценки, а также несколько стадий годового расчёта. Индивидуальное размещение исключено. Число иностранных размещений служит прокси экспорта, но не измеряет поступление денежных средств и не является числом уникальных иностранных туристов. Для совместного анализа с платёжным балансом необходимо также согласовать признаки гражданства и экономического резидентства. </w:t>
      </w:r>
      <w:r>
        <w:rPr>
          <w:rStyle w:val="FootnoteReference"/>
        </w:rPr>
        <w:footnoteReference w:id="39"/>
      </w:r>
    </w:p>
    <w:p>
      <w:pPr>
        <w:pStyle w:val="Heading2"/>
      </w:pPr>
      <w:bookmarkStart w:id="19" w:name="sec_18"/>
      <w:r>
        <w:t>3.7 Удовлетворённость туристов и цифровая посещаемость</w:t>
      </w:r>
      <w:bookmarkEnd w:id="19"/>
    </w:p>
    <w:p>
      <w:r>
        <w:rPr>
          <w:rFonts w:ascii="Times New Roman" w:hAnsi="Times New Roman"/>
          <w:b w:val="0"/>
        </w:rPr>
        <w:t xml:space="preserve">Индекс удовлетворённости по приложению 6 к приказу № 647 основан на электронном опросе и взвешивании оценок планирования поездки, перевозки, проживания, дополнительных услуг и соотношения цены и качества. Оценки выставляются по десятибалльной шкале. Для перевозки и проживания установлены веса по 0,3, для цены и качества – 0,2, для остальных компонентов – по 0,1. Итоговый процент представляет преобразованную оценку. Долю граждан, ответивших «доволен», он не измеряет. </w:t>
      </w:r>
      <w:r>
        <w:rPr>
          <w:rStyle w:val="FootnoteReference"/>
        </w:rPr>
        <w:footnoteReference w:id="40"/>
      </w:r>
    </w:p>
    <w:p>
      <w:r>
        <w:rPr>
          <w:rFonts w:ascii="Times New Roman" w:hAnsi="Times New Roman"/>
          <w:b w:val="0"/>
        </w:rPr>
        <w:t>Методика предусматривает месячную и годовую агрегацию и допускает использование планового значения при непредставлении компонентов. Для проверки фактической удовлетворённости необходимо раскрывать число ответов, долю завершённых анкет, каналы приглашения, географию и тип поездки. Следует отдельно анализировать самостоятельные и организованные путешествия, транспортную доступность и ценовые группы размещения. Сравнение индекса во времени желательно проводить при постоянной структуре респондентов либо после её стандартизации. Оценка туристов, уже совершивших поездку, не охватывает людей, отказавшихся от путешествия из-за стоимости или иных ограничений.</w:t>
      </w:r>
    </w:p>
    <w:p>
      <w:r>
        <w:rPr>
          <w:rFonts w:ascii="Times New Roman" w:hAnsi="Times New Roman"/>
          <w:b w:val="0"/>
        </w:rPr>
        <w:t xml:space="preserve">Посещаемость национального портала по приложению 7 включает основной ресурс, субдомены и внешние ресурсы, на которые осуществляются переходы. Единица учёта – визит. По умолчанию он завершается после тридцати минут отсутствия активности. Показатель накапливается с начала года, годовой итог равен декабрьскому. Он не равен числу уникальных пользователей, бронирований или состоявшихся поездок. Полезные дополнения – доля содержательных переходов, конверсия в подтверждённое бронирование и поездку, исключение технического трафика и стабильность состава учитываемых ресурсов. </w:t>
      </w:r>
      <w:r>
        <w:rPr>
          <w:rStyle w:val="FootnoteReference"/>
        </w:rPr>
        <w:footnoteReference w:id="41"/>
      </w:r>
    </w:p>
    <w:p>
      <w:pPr>
        <w:pStyle w:val="Heading2"/>
      </w:pPr>
      <w:bookmarkStart w:id="20" w:name="sec_19"/>
      <w:r>
        <w:t>3.8 Кадровые показатели и границы профессионального охвата</w:t>
      </w:r>
      <w:bookmarkEnd w:id="20"/>
    </w:p>
    <w:p>
      <w:r>
        <w:rPr>
          <w:rFonts w:ascii="Times New Roman" w:hAnsi="Times New Roman"/>
          <w:b w:val="0"/>
        </w:rPr>
        <w:t xml:space="preserve">Приказ № 550 заменяет приказ Минэкономразвития от 10 февраля 2025 года № 82. Годовая доля обученных рассчитывается нарастающим итогом, причём уточнённый числитель суммирует обучение начиная с 2024 года. Знаменатель представляет среднесписочную численность работников организаций по виду деятельности «Деятельность гостиниц и предприятий общественного питания». Знаменатель не охватывает всех занятых в видах деятельности, связанных с туризмом. Название отрасли в паспорте не должно приводить к расширительному толкованию знаменателя. </w:t>
      </w:r>
      <w:r>
        <w:rPr>
          <w:rStyle w:val="FootnoteReference"/>
        </w:rPr>
        <w:footnoteReference w:id="42"/>
      </w:r>
    </w:p>
    <w:p>
      <w:r>
        <w:rPr>
          <w:rFonts w:ascii="Times New Roman" w:hAnsi="Times New Roman"/>
          <w:b w:val="0"/>
        </w:rPr>
        <w:t>Накопление числителя при использовании текущего знаменателя создаёт риск интерпретации: обученные ранее могли сменить работодателя или отрасль, а один специалист мог пройти несколько программ. Без дополнительного подтверждения устранения повторного счёта показатель нельзя объявлять долей уникальных работников, сохраняющих соответствующие навыки в текущей занятости. Следует отдельно публиковать число завершений программ, число различных обученных лиц, охват действующего персонала и сохранение занятости через установленный интервал после обучения.</w:t>
      </w:r>
    </w:p>
    <w:p>
      <w:r>
        <w:rPr>
          <w:rFonts w:ascii="Times New Roman" w:hAnsi="Times New Roman"/>
          <w:b w:val="0"/>
        </w:rPr>
        <w:t xml:space="preserve">Месячный показатель числа специалистов относится к трём определённым федеральным ресурсным центрам и выражается в людях. Он накапливается в пределах отчётного года, начиная с нулевой исходной величины. Годовое значение равно декабрьскому. При непредставлении данных методика допускает плановую подстановку. Поэтому отчётность центров должна сопровождаться признаком фактического подтверждения документа об обучении. Для оценки полезности программ рекомендуется связывать обучение с проверкой навыков, изменением качества обслуживания, текучестью и трудоустройством, сохраняя сопоставимость должностей и сезонного состава работников. </w:t>
      </w:r>
      <w:r>
        <w:rPr>
          <w:rStyle w:val="FootnoteReference"/>
        </w:rPr>
        <w:footnoteReference w:id="43"/>
      </w:r>
    </w:p>
    <w:p>
      <w:pPr>
        <w:pStyle w:val="Heading2"/>
      </w:pPr>
      <w:bookmarkStart w:id="21" w:name="sec_20"/>
      <w:r>
        <w:t>3.9 Промышленное обеспечение и результаты курортных проектов</w:t>
      </w:r>
      <w:bookmarkEnd w:id="21"/>
    </w:p>
    <w:p>
      <w:r>
        <w:rPr>
          <w:rFonts w:ascii="Times New Roman" w:hAnsi="Times New Roman"/>
          <w:b w:val="0"/>
        </w:rPr>
        <w:t xml:space="preserve">Обеспеченность отечественной промышленной продукцией по приказу Минпромторга от 16 января 2025 года № 126 рассчитывается по определённой номенклатуре оборудования. Она включает туристические автобусы, ратраки, системы искусственного снегообразования, канатные дороги, аттракционы и суда. Сопоставляются взвешенные количества произведённой продукции и оценённой потребности. Для разных категорий предусмотрены разные коэффициенты. Показатель не характеризует долю всех российских товаров в закупках гостиниц или долю отечественного оборудования в уже установленном парке. </w:t>
      </w:r>
      <w:r>
        <w:rPr>
          <w:rStyle w:val="FootnoteReference"/>
        </w:rPr>
        <w:footnoteReference w:id="44"/>
      </w:r>
    </w:p>
    <w:p>
      <w:r>
        <w:rPr>
          <w:rFonts w:ascii="Times New Roman" w:hAnsi="Times New Roman"/>
          <w:b w:val="0"/>
        </w:rPr>
        <w:t>Для проверки динамики необходимо раскрывать производство и потребность по каждой категории. Рост сводного показателя может возникать при увеличении выпуска, снижении заявленной потребности либо изменении структуры категорий. Дополнительные данные должны показывать фактическую поставку, ввод оборудования в эксплуатацию, надёжность, стоимость обслуживания и доступность запасных частей. Применение таких характеристик позволяет связать промышленный выпуск с качеством туристских услуг, не приписывая производству результат, который ещё не возник у пользователя.</w:t>
      </w:r>
    </w:p>
    <w:p>
      <w:r>
        <w:rPr>
          <w:rFonts w:ascii="Times New Roman" w:hAnsi="Times New Roman"/>
          <w:b w:val="0"/>
        </w:rPr>
        <w:t xml:space="preserve">Для федерального проекта «Пять морей и озеро Байкал» паспорт устанавливает показатель поездок в новые современные круглогодичные гостиничные комплексы. В выбранной редакции числовые ориентиры начинаются с 2028 года. Отсутствие наблюдения за 2025–2026 годы поэтому нельзя трактовать как доказанный нулевой поток или невыполнение годового задания. Полный отдельный нормативный алгоритм этого показателя в доступных материалах не восстановлен. Отсутствие методики на этом основании не установлено. </w:t>
      </w:r>
      <w:r>
        <w:rPr>
          <w:rStyle w:val="FootnoteReference"/>
        </w:rPr>
        <w:footnoteReference w:id="45"/>
      </w:r>
    </w:p>
    <w:p>
      <w:r>
        <w:rPr>
          <w:rFonts w:ascii="Times New Roman" w:hAnsi="Times New Roman"/>
          <w:b w:val="0"/>
        </w:rPr>
        <w:t>При последующей оценке необходимо закрепить перечень учитываемых комплексов, момент начала учёта, правила регистрации повторных размещений и различие между поездкой в конкретный комплекс и дополнительной поездкой по стране. Посетитель нового курорта мог перенести туда поездку из другого региона. Для оценки чистого прироста нужны наблюдения по территории назначения и территориям возможного замещения, а также сопоставимые объекты без аналогичной поддержки. Круглогодичность следует подтверждать фактическими днями работы и использованием ёмкости в низкий сезон.</w:t>
      </w:r>
    </w:p>
    <w:p>
      <w:pPr>
        <w:pStyle w:val="Heading2"/>
      </w:pPr>
      <w:bookmarkStart w:id="22" w:name="sec_21"/>
      <w:r>
        <w:t>3.10 Дополнительные измерения сезонности, доступности и результата</w:t>
      </w:r>
      <w:bookmarkEnd w:id="22"/>
    </w:p>
    <w:p>
      <w:r>
        <w:rPr>
          <w:rFonts w:ascii="Times New Roman" w:hAnsi="Times New Roman"/>
          <w:b w:val="0"/>
        </w:rPr>
        <w:t>Измерение сезонности рекомендуется строить по полному сопоставимому месячному ряду ночёвок и доступной ёмкости. Для каждого региона следует рассчитывать доли месяцев в годовом объёме, концентрацию этих долей, загрузку в заранее определённый низкий сезон и среднее число ночёвок на день месяца. Изменение количества календарных дней и дат праздничных периодов необходимо учитывать отдельно. Одновременно следует показывать загрузку открытого фонда и использование всей годовой ёмкости: закрытие объектов вне сезона может повысить первый коэффициент без улучшения круглогодичной работы.</w:t>
      </w:r>
    </w:p>
    <w:p>
      <w:r>
        <w:rPr>
          <w:rFonts w:ascii="Times New Roman" w:hAnsi="Times New Roman"/>
          <w:b w:val="0"/>
        </w:rPr>
        <w:t>Для ценовой доступности целесообразен индекс стоимости стандартизированной поездки с фиксированными продолжительностью, качеством размещения, составом транспортных и сопутствующих услуг. Его необходимо соотносить с доходом сопоставимой группы населения. Общероссийской средней зарплаты для этого недостаточно. Сравнение по регионам отправления должно сохранять транспортную составляющую, сравнение во времени – постоянную структуру маршрутов. Дополнительное обследование домохозяйств должно фиксировать долю не путешествовавших и причины отказа. Учёт участия и причин отказа позволит отделить рост удовлетворённости действующих клиентов от расширения доступности отдыха.</w:t>
      </w:r>
    </w:p>
    <w:p>
      <w:r>
        <w:rPr>
          <w:rFonts w:ascii="Times New Roman" w:hAnsi="Times New Roman"/>
          <w:b w:val="0"/>
        </w:rPr>
        <w:t>Экономическая оценка требует совместного рассмотрения физического объёма услуг, добавленной стоимости, оплаты труда и эксплуатационных затрат. Для поддержанных объектов полезна наблюдаемая последовательность «ввод – открытие – доступная ёмкость – загрузка – доход – добавленная стоимость». Оценку воздействия следует проводить на сопоставимых объектах и территориях с учётом предшествующей динамики, сезонности, транспортных изменений и перераспределения спроса. Различия между участниками и неучастниками поддержки сами по себе не доказывают её результат, поскольку отбор проектов связан с исходной инвестиционной привлекательностью.</w:t>
      </w:r>
    </w:p>
    <w:p>
      <w:pPr>
        <w:pStyle w:val="Heading2"/>
      </w:pPr>
      <w:bookmarkStart w:id="23" w:name="sec_22"/>
      <w:r>
        <w:t>3.11 Статус наблюдений и условия доказательного вывода</w:t>
      </w:r>
      <w:bookmarkEnd w:id="23"/>
    </w:p>
    <w:p>
      <w:r>
        <w:rPr>
          <w:rFonts w:ascii="Times New Roman" w:hAnsi="Times New Roman"/>
          <w:b w:val="0"/>
        </w:rPr>
        <w:t>Для практического мониторинга необходимо разделять утверждённую цель, расчётную подстановку, предварительную статистическую оценку и уточнённый факт. Проверенные методики расчёта доли туризма, экспорта, удовлетворённости и подготовки специалистов содержат прямые правила использования плана либо предыдущих значений. Присутствие числа в информационной системе не определяет его доказательный статус. Метаданные должны позволять восстановить формулу, состав совокупности и редакцию исходных компонентов.</w:t>
      </w:r>
    </w:p>
    <w:p>
      <w:r>
        <w:rPr>
          <w:rFonts w:ascii="Times New Roman" w:hAnsi="Times New Roman"/>
          <w:b w:val="0"/>
        </w:rPr>
        <w:t>Паспорт устанавливает желаемый результат. Нормативный акт определяет способ его измерения. Организационный механизм описывает предполагаемую связь поддержки и результата. Причинный вывод возникает только после проверки этой связи на сопоставимых наблюдениях. Предлагаемый порядок оценки сохраняет официальные показатели и дополняет их проверками охвата, времени, качества и реальной экономической отдачи. Проверка перечисленных характеристик позволяет оценивать развитие туризма без смешения расширения регистрации, изменения методики и фактического улучшения условий поездок.</w:t>
      </w:r>
    </w:p>
    <w:p>
      <w:pPr>
        <w:pStyle w:val="Heading1"/>
      </w:pPr>
      <w:bookmarkStart w:id="24" w:name="sec_23"/>
      <w:r>
        <w:t>4 Статистические результаты, региональные различия и доступность отдыха</w:t>
      </w:r>
      <w:bookmarkEnd w:id="24"/>
    </w:p>
    <w:p>
      <w:pPr>
        <w:pStyle w:val="Heading2"/>
      </w:pPr>
      <w:bookmarkStart w:id="25" w:name="sec_24"/>
      <w:r>
        <w:t>4.1 Наблюдаемые результаты и границы статистической базы</w:t>
      </w:r>
      <w:bookmarkEnd w:id="25"/>
    </w:p>
    <w:p>
      <w:r>
        <w:rPr>
          <w:rFonts w:ascii="Times New Roman" w:hAnsi="Times New Roman"/>
          <w:b w:val="0"/>
        </w:rPr>
        <w:t xml:space="preserve">Статистика подтверждает значительный масштаб туристической деятельности, но пока не позволяет свести результаты национального проекта к единой оценке его эффективности. За 2025 год опубликовано 92,0428 млн туристических поездок. Региональные значения полностью согласуются с этим итогом, поэтому территориальная структура годового результата поддаётся проверке. Одновременно сохранившиеся оперативные значения за 2026 год расходятся с отдельными официальными сообщениями, а несколько показателей имеют предварительные оценки, повторяющиеся значения либо пока не обеспечены проверенным числовым результатом. Неоднородность данных требует различать состояние отрасли, выполнение выбранной редакции плана и самостоятельный эффект государственных мер. </w:t>
      </w:r>
      <w:r>
        <w:rPr>
          <w:rStyle w:val="FootnoteReference"/>
        </w:rPr>
        <w:footnoteReference w:id="46"/>
      </w:r>
    </w:p>
    <w:p>
      <w:r>
        <w:rPr>
          <w:rFonts w:ascii="Times New Roman" w:hAnsi="Times New Roman"/>
          <w:b w:val="0"/>
        </w:rPr>
        <w:t xml:space="preserve">Для анализа использованы шесть первичных статистических таблиц: поездки, классифицированный номерной фонд, доля туристской отрасли, экспорт туристских услуг, иностранные размещения и отечественная продукция для туризма. В сохранённой выгрузке содержится 1924 строки, полученные 15 октября 2026 года. Однако большое число строк не означает столь же большого числа независимых наблюдений. Региональный ряд поездок содержит 85 территорий и 21 накопительную месячную отметку. Остальные таблицы преимущественно общероссийские. Дата получения выгрузки фиксирует момент сохранения данных и сама по себе не удостоверяет дату обновления каждой исторической ячейки. </w:t>
      </w:r>
      <w:r>
        <w:rPr>
          <w:rStyle w:val="FootnoteReference"/>
        </w:rPr>
        <w:footnoteReference w:id="47"/>
      </w:r>
    </w:p>
    <w:p>
      <w:r>
        <w:rPr>
          <w:rFonts w:ascii="Times New Roman" w:hAnsi="Times New Roman"/>
          <w:b w:val="0"/>
        </w:rPr>
        <w:t xml:space="preserve">Дополнительное официальное сообщение Росстата характеризует масштаб размещения в 2025 году: 38,3 тыс. средств размещения, 3,5 млн мест и 395,4 млн ночёвок. Число объектов, мест и номеров описывает разные стороны предложения. Между ними нет постоянного коэффициента перевода, поэтому увеличение числа средств размещения нельзя автоматически считать таким же увеличением вместимости. Число ночёвок относится к использованию предложения и позволяет поставить вопрос о длительности пребывания, однако само по себе не показывает загрузку доступного фонда. Для неё нужен календарь работы объектов и число реально предлагаемых мест. </w:t>
      </w:r>
      <w:r>
        <w:rPr>
          <w:rStyle w:val="FootnoteReference"/>
        </w:rPr>
        <w:footnoteReference w:id="48"/>
      </w:r>
    </w:p>
    <w:p>
      <w:r>
        <w:rPr>
          <w:rFonts w:ascii="Times New Roman" w:hAnsi="Times New Roman"/>
          <w:b w:val="0"/>
        </w:rPr>
        <w:t>При анализе динамики за продолжительный период требуется также учитывать базу сравнения. Официальное сообщение сопоставляет часть итогов с 2020 годом. Период сравнения не совпадает с периодом нового национального проекта, начинающимся в 2025 году. Накопленное за несколько лет увеличение нельзя полностью приписать текущему проекту. Для оценки его самостоятельного вклада требуется отделить результат до начала программы, изменение правил учёта и последующие изменения. Денежные показатели услуг и инвестиций дополнительно нуждаются в разграничении текущих и сопоставимых цен: рост оборота в рублях не задаёт автоматически темп роста физического объёма.</w:t>
      </w:r>
    </w:p>
    <w:p>
      <w:r>
        <w:rPr>
          <w:rFonts w:ascii="Times New Roman" w:hAnsi="Times New Roman"/>
          <w:b w:val="0"/>
        </w:rPr>
        <w:t xml:space="preserve">Социальный вывод зависит от единицы наблюдения в туристической статистике. Показатель поездок связан с учётом размещений и предусмотренными методикой дополнениями. Один человек может совершить несколько поездок и неоднократно учитываться при размещении. Общероссийское число поездок поэтому нельзя делить на население и объявлять полученное отношение долей граждан, которым доступен отдых. По той же причине название ряда иностранных граждан не означает, что установленное число представляет уникальных посетителей страны. Территория размещения характеризует принимающую сторону, тогда как доступность путешествий для жителей требует наблюдения по месту их проживания. </w:t>
      </w:r>
      <w:r>
        <w:rPr>
          <w:rStyle w:val="FootnoteReference"/>
        </w:rPr>
        <w:footnoteReference w:id="49"/>
      </w:r>
    </w:p>
    <w:p>
      <w:r>
        <w:rPr>
          <w:rFonts w:ascii="Times New Roman" w:hAnsi="Times New Roman"/>
          <w:b w:val="0"/>
        </w:rPr>
        <w:t xml:space="preserve">В текущей системе предусмотрены первая и уточнённая оценки. Методика поездок №684 от 30 сентября 2026 года включает дополнительные компоненты гостевых домов и круизных судов. Распространять эти изменения на все прежние значения без сведений о версии расчёта нельзя. Отдельно Росстат утвердил методологию месячных показателей по полному кругу средств размещения с досчётом микропредприятий. Поэтому сходные названия таблиц ещё не обеспечивают тождество охвата. В данной главе сохранённые оценки, официальные сообщения и локальный пример месячной сезонности представлены с собственными периодами и ограничениями. </w:t>
      </w:r>
      <w:r>
        <w:rPr>
          <w:rStyle w:val="FootnoteReference"/>
        </w:rPr>
        <w:footnoteReference w:id="50"/>
      </w:r>
    </w:p>
    <w:p>
      <w:r>
        <w:rPr>
          <w:rFonts w:ascii="Times New Roman" w:hAnsi="Times New Roman"/>
          <w:b w:val="0"/>
        </w:rPr>
        <w:t>Число размещений помогает оценить нагрузку на принимающую инфраструктуру, число ночёвок характеризует длительность использования, номерной фонд описывает зарегистрированную вместимость, обследование населения показывает распространённость участия. Для оценки качества необходимы отдельные сведения о безопасности, удовлетворённости и доступности конкретного продукта. Замена этих измерений одним общим показателем способна скрыть ситуацию, когда оборот отрасли растёт преимущественно за счёт более частых поездок уже обеспеченных путешественников. Подобное объяснение роста рассматривается как возможное. Фактическая структура роста по этим данным не установлена.</w:t>
      </w:r>
    </w:p>
    <w:p>
      <w:pPr>
        <w:pStyle w:val="Heading2"/>
      </w:pPr>
      <w:bookmarkStart w:id="26" w:name="sec_25"/>
      <w:r>
        <w:t>4.2 Итоги 2025 года и допустимость сопоставления с целями</w:t>
      </w:r>
      <w:bookmarkEnd w:id="26"/>
    </w:p>
    <w:p>
      <w:r>
        <w:rPr>
          <w:rFonts w:ascii="Times New Roman" w:hAnsi="Times New Roman"/>
          <w:b w:val="0"/>
        </w:rPr>
        <w:t xml:space="preserve">Целевые значения в таблице сопоставлений относятся к выбранным редакциям паспортов, опубликованным 16 октября 2026 года. Они показывают, как результат 2025 года соотносится с доступным на дату экспертизы плановым рядом. Ретроспективное сопоставление не восстанавливает автоматически первоначальные обязательства, действовавшие в начале 2025 года. Изменение редакции цели и уточнение факта должны прослеживаться отдельно. Иначе даже арифметически правильный процент исполнения может отвечать на другой управленческий вопрос. </w:t>
      </w:r>
      <w:r>
        <w:rPr>
          <w:rStyle w:val="FootnoteReference"/>
        </w:rPr>
        <w:footnoteReference w:id="51"/>
      </w:r>
    </w:p>
    <w:p>
      <w:r>
        <w:rPr>
          <w:rFonts w:ascii="Times New Roman" w:hAnsi="Times New Roman"/>
          <w:b w:val="0"/>
        </w:rPr>
        <w:t xml:space="preserve">Для поездок годовая оценка 92,0428 млн ниже ориентира 98,2 млн на 6,1572 млн, или на 6,27%. Расчёт устанавливает величину отклонения от выбранной цели, однако не объясняет его причин: для их выяснения нужны сопоставимые изменения территориального спроса, транспортной доступности, цен, предложения и статистического охвата. Само наличие недовыполнения не позволяет распределить ответственность между федеральными мерами, региональными решениями и внешними обстоятельствами. Отклонение необходимо учитывать при оценке проекта, поскольку увеличение числа инфраструктурных проектов ещё не гарантирует соответствующего годового объёма спроса. </w:t>
      </w:r>
      <w:r>
        <w:rPr>
          <w:rStyle w:val="FootnoteReference"/>
        </w:rPr>
        <w:footnoteReference w:id="52"/>
      </w:r>
    </w:p>
    <w:p>
      <w:r>
        <w:rPr>
          <w:rFonts w:ascii="Times New Roman" w:hAnsi="Times New Roman"/>
          <w:b w:val="0"/>
        </w:rPr>
        <w:t xml:space="preserve">Классифицированный номерной фонд в декабре 2025 года составлял 1003,769 тыс. номеров при цели 962,3 тыс. Разность равна 41,469 тыс., или 4,31%. Показатель характеризует запас учтённых номеров. Из него не следует, что в течение года физически построено столько же новых номеров: изменение классификации, включение ранее действующих объектов и исключение записей также способны менять реестр. Поэтому превышение ориентира вместимости необходимо сопоставлять с загрузкой, продолжительностью работы объектов и доступностью предложения по ценам. Совместное наблюдение превышения цели по фонду и отставания по поездкам является основанием для дополнительной проверки согласованности спроса и предложения, но ещё не доказательством избыточного строительства. </w:t>
      </w:r>
      <w:r>
        <w:rPr>
          <w:rStyle w:val="FootnoteReference"/>
        </w:rPr>
        <w:footnoteReference w:id="53"/>
      </w:r>
    </w:p>
    <w:p>
      <w:r>
        <w:rPr>
          <w:rFonts w:ascii="Times New Roman" w:hAnsi="Times New Roman"/>
          <w:b w:val="0"/>
        </w:rPr>
        <w:t xml:space="preserve">По доле туристской отрасли источники дают разные стадии оценки. В сохранённой декабрьской ячейке за 2025 год стоит 3,0%, тогда как в осеннем сообщении Росстата за этот год опубликовано 3,1%. При ориентире 3,0% обновлённое сообщение даёт превышение на 0,1 процентного пункта. Методика определяет отношение ВДС туристской индустрии к ВДС всех отраслей в текущих основных ценах, хотя в названии присутствует ВВП. Кроме того, первая годовая оценка по установленному порядку приравнивается к плану. Следовательно, совпадение ранней оценки с целью не является независимым доказательством достижения результата. </w:t>
      </w:r>
      <w:r>
        <w:rPr>
          <w:rStyle w:val="FootnoteReference"/>
        </w:rPr>
        <w:footnoteReference w:id="54"/>
      </w:r>
    </w:p>
    <w:p>
      <w:r>
        <w:rPr>
          <w:rFonts w:ascii="Times New Roman" w:hAnsi="Times New Roman"/>
          <w:b w:val="0"/>
        </w:rPr>
        <w:t xml:space="preserve">Для экспорта в декабрьской строке опубликовано 8,75 млрд долларов при выбранной цели 4,6 млрд. Арифметическая разность составляет 4,15 млрд долларов, однако стадия уточнения сохранённой оценки не установлена. Экспорт является квартальным накопительным показателем. Его окончательные компоненты связаны с данными Банка России по экспорту туристских услуг. Промежуточное представление использует и физический прокси – иностранных граждан в средствах размещения. Поэтому связь таблицы 63347 с экспортным показателем нормативно обоснована, но число людей нельзя интерпретировать как долларовую стоимость. </w:t>
      </w:r>
      <w:r>
        <w:rPr>
          <w:rStyle w:val="FootnoteReference"/>
        </w:rPr>
        <w:footnoteReference w:id="55"/>
      </w:r>
    </w:p>
    <w:p>
      <w:r>
        <w:rPr>
          <w:rFonts w:ascii="Times New Roman" w:hAnsi="Times New Roman"/>
          <w:b w:val="0"/>
        </w:rPr>
        <w:t xml:space="preserve">Декабрьское значение иностранных размещений составляет 5,89 млн при цели 5,2 млн. Разность 0,69 млн также показана условно, поскольку окончательность этой оценки не удостоверена. Для отечественной продукции опубликовано 30,3%, совпадающее с целью, однако без исходных компонентов независимо проверить структуру рынка невозможно. Нули в ранних ячейках соответствующих рядов не интерпретируются как отсутствие иностранных гостей, экспорта или российского производства. </w:t>
      </w:r>
      <w:r>
        <w:rPr>
          <w:rStyle w:val="FootnoteReference"/>
        </w:rPr>
        <w:footnoteReference w:id="56"/>
      </w:r>
    </w:p>
    <w:p>
      <w:pPr>
        <w:pStyle w:val="Caption"/>
        <w:keepNext/>
      </w:pPr>
      <w:r>
        <w:rPr>
          <w:rFonts w:ascii="Times New Roman" w:hAnsi="Times New Roman"/>
          <w:b w:val="0"/>
        </w:rPr>
        <w:t>Таблица 3 – Показатели за 2025 год и ориентиры выбранной редакции паспортов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438"/>
        <w:gridCol w:w="822"/>
        <w:gridCol w:w="1191"/>
        <w:gridCol w:w="822"/>
        <w:gridCol w:w="1049"/>
        <w:gridCol w:w="3317"/>
      </w:tblGrid>
      <w:tr>
        <w:trPr>
          <w:cantSplit/>
          <w:tblHeader w:val="true"/>
        </w:trPr>
        <w:tc>
          <w:tcPr>
            <w:tcW w:type="dxa" w:w="2438"/>
            <w:vAlign w:val="center"/>
            <w:shd w:val="clear" w:fill="FFFFFF"/>
          </w:tcPr>
          <w:p>
            <w:pPr>
              <w:keepNext w:val="0"/>
              <w:keepLines w:val="0"/>
              <w:spacing w:line="240" w:lineRule="auto" w:before="20" w:after="20"/>
              <w:ind w:firstLine="0"/>
              <w:jc w:val="center"/>
            </w:pPr>
            <w:r>
              <w:rPr>
                <w:rFonts w:ascii="Times New Roman" w:hAnsi="Times New Roman"/>
                <w:b/>
                <w:sz w:val="21"/>
              </w:rPr>
              <w:t>Показатель</w:t>
            </w:r>
          </w:p>
        </w:tc>
        <w:tc>
          <w:tcPr>
            <w:tcW w:type="dxa" w:w="822"/>
            <w:vAlign w:val="center"/>
            <w:shd w:val="clear" w:fill="FFFFFF"/>
          </w:tcPr>
          <w:p>
            <w:pPr>
              <w:keepNext w:val="0"/>
              <w:keepLines w:val="0"/>
              <w:spacing w:line="240" w:lineRule="auto" w:before="20" w:after="20"/>
              <w:ind w:firstLine="0"/>
              <w:jc w:val="center"/>
            </w:pPr>
            <w:r>
              <w:rPr>
                <w:rFonts w:ascii="Times New Roman" w:hAnsi="Times New Roman"/>
                <w:b/>
                <w:sz w:val="21"/>
              </w:rPr>
              <w:t>Единица</w:t>
            </w:r>
          </w:p>
        </w:tc>
        <w:tc>
          <w:tcPr>
            <w:tcW w:type="dxa" w:w="1191"/>
            <w:vAlign w:val="center"/>
            <w:shd w:val="clear" w:fill="FFFFFF"/>
          </w:tcPr>
          <w:p>
            <w:pPr>
              <w:keepNext w:val="0"/>
              <w:keepLines w:val="0"/>
              <w:spacing w:line="240" w:lineRule="auto" w:before="20" w:after="20"/>
              <w:ind w:firstLine="0"/>
              <w:jc w:val="center"/>
            </w:pPr>
            <w:r>
              <w:rPr>
                <w:rFonts w:ascii="Times New Roman" w:hAnsi="Times New Roman"/>
                <w:b/>
                <w:sz w:val="21"/>
              </w:rPr>
              <w:t>Значение</w:t>
            </w:r>
          </w:p>
        </w:tc>
        <w:tc>
          <w:tcPr>
            <w:tcW w:type="dxa" w:w="822"/>
            <w:vAlign w:val="center"/>
            <w:shd w:val="clear" w:fill="FFFFFF"/>
          </w:tcPr>
          <w:p>
            <w:pPr>
              <w:keepNext w:val="0"/>
              <w:keepLines w:val="0"/>
              <w:spacing w:line="240" w:lineRule="auto" w:before="20" w:after="20"/>
              <w:ind w:firstLine="0"/>
              <w:jc w:val="center"/>
            </w:pPr>
            <w:r>
              <w:rPr>
                <w:rFonts w:ascii="Times New Roman" w:hAnsi="Times New Roman"/>
                <w:b/>
                <w:sz w:val="21"/>
              </w:rPr>
              <w:t>Цель</w:t>
            </w:r>
          </w:p>
        </w:tc>
        <w:tc>
          <w:tcPr>
            <w:tcW w:type="dxa" w:w="1049"/>
            <w:vAlign w:val="center"/>
            <w:shd w:val="clear" w:fill="FFFFFF"/>
          </w:tcPr>
          <w:p>
            <w:pPr>
              <w:keepNext w:val="0"/>
              <w:keepLines w:val="0"/>
              <w:spacing w:line="240" w:lineRule="auto" w:before="20" w:after="20"/>
              <w:ind w:firstLine="0"/>
              <w:jc w:val="center"/>
            </w:pPr>
            <w:r>
              <w:rPr>
                <w:rFonts w:ascii="Times New Roman" w:hAnsi="Times New Roman"/>
                <w:b/>
                <w:sz w:val="21"/>
              </w:rPr>
              <w:t>Разность</w:t>
            </w:r>
          </w:p>
        </w:tc>
        <w:tc>
          <w:tcPr>
            <w:tcW w:type="dxa" w:w="3317"/>
            <w:vAlign w:val="center"/>
            <w:shd w:val="clear" w:fill="FFFFFF"/>
          </w:tcPr>
          <w:p>
            <w:pPr>
              <w:keepNext w:val="0"/>
              <w:keepLines w:val="0"/>
              <w:spacing w:line="240" w:lineRule="auto" w:before="20" w:after="20"/>
              <w:ind w:firstLine="0"/>
              <w:jc w:val="center"/>
            </w:pPr>
            <w:r>
              <w:rPr>
                <w:rFonts w:ascii="Times New Roman" w:hAnsi="Times New Roman"/>
                <w:b/>
                <w:sz w:val="21"/>
              </w:rPr>
              <w:t>Статус сравнения</w:t>
            </w:r>
          </w:p>
        </w:tc>
      </w:tr>
      <w:tr>
        <w:trPr>
          <w:cantSplit/>
        </w:trPr>
        <w:tc>
          <w:tcPr>
            <w:tcW w:type="dxa" w:w="2438"/>
            <w:vAlign w:val="center"/>
          </w:tcPr>
          <w:p>
            <w:pPr>
              <w:keepNext w:val="0"/>
              <w:keepLines w:val="0"/>
              <w:spacing w:line="240" w:lineRule="auto" w:before="20" w:after="20"/>
              <w:ind w:firstLine="0"/>
              <w:jc w:val="left"/>
            </w:pPr>
            <w:r>
              <w:rPr>
                <w:rFonts w:ascii="Times New Roman" w:hAnsi="Times New Roman"/>
                <w:b w:val="0"/>
                <w:sz w:val="21"/>
              </w:rPr>
              <w:t>Туристические поездки</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млн</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92,0428</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98,2</w:t>
            </w:r>
          </w:p>
        </w:tc>
        <w:tc>
          <w:tcPr>
            <w:tcW w:type="dxa" w:w="1049"/>
            <w:vAlign w:val="center"/>
          </w:tcPr>
          <w:p>
            <w:pPr>
              <w:keepNext w:val="0"/>
              <w:keepLines w:val="0"/>
              <w:spacing w:line="240" w:lineRule="auto" w:before="20" w:after="20"/>
              <w:ind w:firstLine="0"/>
              <w:jc w:val="center"/>
            </w:pPr>
            <w:r>
              <w:rPr>
                <w:rFonts w:ascii="Times New Roman" w:hAnsi="Times New Roman"/>
                <w:b w:val="0"/>
                <w:sz w:val="21"/>
              </w:rPr>
              <w:t>−6,1572</w:t>
            </w:r>
          </w:p>
        </w:tc>
        <w:tc>
          <w:tcPr>
            <w:tcW w:type="dxa" w:w="3317"/>
            <w:vAlign w:val="center"/>
          </w:tcPr>
          <w:p>
            <w:pPr>
              <w:keepNext w:val="0"/>
              <w:keepLines w:val="0"/>
              <w:spacing w:line="240" w:lineRule="auto" w:before="20" w:after="20"/>
              <w:ind w:firstLine="0"/>
              <w:jc w:val="left"/>
            </w:pPr>
            <w:r>
              <w:rPr>
                <w:rFonts w:ascii="Times New Roman" w:hAnsi="Times New Roman"/>
                <w:b w:val="0"/>
                <w:sz w:val="21"/>
              </w:rPr>
              <w:t>Годовая оценка, −6,27% к выбранной цели</w:t>
            </w:r>
          </w:p>
        </w:tc>
      </w:tr>
      <w:tr>
        <w:trPr>
          <w:cantSplit/>
        </w:trPr>
        <w:tc>
          <w:tcPr>
            <w:tcW w:type="dxa" w:w="2438"/>
            <w:vAlign w:val="center"/>
          </w:tcPr>
          <w:p>
            <w:pPr>
              <w:keepNext w:val="0"/>
              <w:keepLines w:val="0"/>
              <w:spacing w:line="240" w:lineRule="auto" w:before="20" w:after="20"/>
              <w:ind w:firstLine="0"/>
              <w:jc w:val="left"/>
            </w:pPr>
            <w:r>
              <w:rPr>
                <w:rFonts w:ascii="Times New Roman" w:hAnsi="Times New Roman"/>
                <w:b w:val="0"/>
                <w:sz w:val="21"/>
              </w:rPr>
              <w:t>Классифицированные номера</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тыс.</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1003,769</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962,3</w:t>
            </w:r>
          </w:p>
        </w:tc>
        <w:tc>
          <w:tcPr>
            <w:tcW w:type="dxa" w:w="1049"/>
            <w:vAlign w:val="center"/>
          </w:tcPr>
          <w:p>
            <w:pPr>
              <w:keepNext w:val="0"/>
              <w:keepLines w:val="0"/>
              <w:spacing w:line="240" w:lineRule="auto" w:before="20" w:after="20"/>
              <w:ind w:firstLine="0"/>
              <w:jc w:val="center"/>
            </w:pPr>
            <w:r>
              <w:rPr>
                <w:rFonts w:ascii="Times New Roman" w:hAnsi="Times New Roman"/>
                <w:b w:val="0"/>
                <w:sz w:val="21"/>
              </w:rPr>
              <w:t>+41,469</w:t>
            </w:r>
          </w:p>
        </w:tc>
        <w:tc>
          <w:tcPr>
            <w:tcW w:type="dxa" w:w="3317"/>
            <w:vAlign w:val="center"/>
          </w:tcPr>
          <w:p>
            <w:pPr>
              <w:keepNext w:val="0"/>
              <w:keepLines w:val="0"/>
              <w:spacing w:line="240" w:lineRule="auto" w:before="20" w:after="20"/>
              <w:ind w:firstLine="0"/>
              <w:jc w:val="left"/>
            </w:pPr>
            <w:r>
              <w:rPr>
                <w:rFonts w:ascii="Times New Roman" w:hAnsi="Times New Roman"/>
                <w:b w:val="0"/>
                <w:sz w:val="21"/>
              </w:rPr>
              <w:t>Декабрьский запас, +4,31% к цели</w:t>
            </w:r>
          </w:p>
        </w:tc>
      </w:tr>
      <w:tr>
        <w:trPr>
          <w:cantSplit/>
        </w:trPr>
        <w:tc>
          <w:tcPr>
            <w:tcW w:type="dxa" w:w="2438"/>
            <w:vAlign w:val="center"/>
          </w:tcPr>
          <w:p>
            <w:pPr>
              <w:keepNext w:val="0"/>
              <w:keepLines w:val="0"/>
              <w:spacing w:line="240" w:lineRule="auto" w:before="20" w:after="20"/>
              <w:ind w:firstLine="0"/>
              <w:jc w:val="left"/>
            </w:pPr>
            <w:r>
              <w:rPr>
                <w:rFonts w:ascii="Times New Roman" w:hAnsi="Times New Roman"/>
                <w:b w:val="0"/>
                <w:sz w:val="21"/>
              </w:rPr>
              <w:t>Доля туристской отрасли</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3,1</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3,0</w:t>
            </w:r>
          </w:p>
        </w:tc>
        <w:tc>
          <w:tcPr>
            <w:tcW w:type="dxa" w:w="1049"/>
            <w:vAlign w:val="center"/>
          </w:tcPr>
          <w:p>
            <w:pPr>
              <w:keepNext w:val="0"/>
              <w:keepLines w:val="0"/>
              <w:spacing w:line="240" w:lineRule="auto" w:before="20" w:after="20"/>
              <w:ind w:firstLine="0"/>
              <w:jc w:val="center"/>
            </w:pPr>
            <w:r>
              <w:rPr>
                <w:rFonts w:ascii="Times New Roman" w:hAnsi="Times New Roman"/>
                <w:b w:val="0"/>
                <w:sz w:val="21"/>
              </w:rPr>
              <w:t>+0,1 п.п.</w:t>
            </w:r>
          </w:p>
        </w:tc>
        <w:tc>
          <w:tcPr>
            <w:tcW w:type="dxa" w:w="3317"/>
            <w:vAlign w:val="center"/>
          </w:tcPr>
          <w:p>
            <w:pPr>
              <w:keepNext w:val="0"/>
              <w:keepLines w:val="0"/>
              <w:spacing w:line="240" w:lineRule="auto" w:before="20" w:after="20"/>
              <w:ind w:firstLine="0"/>
              <w:jc w:val="left"/>
            </w:pPr>
            <w:r>
              <w:rPr>
                <w:rFonts w:ascii="Times New Roman" w:hAnsi="Times New Roman"/>
                <w:b w:val="0"/>
                <w:sz w:val="21"/>
              </w:rPr>
              <w:t>Обновлённое сообщение Росстата. В выгрузке 3,0</w:t>
            </w:r>
          </w:p>
        </w:tc>
      </w:tr>
      <w:tr>
        <w:trPr>
          <w:cantSplit/>
        </w:trPr>
        <w:tc>
          <w:tcPr>
            <w:tcW w:type="dxa" w:w="2438"/>
            <w:vAlign w:val="center"/>
          </w:tcPr>
          <w:p>
            <w:pPr>
              <w:keepNext w:val="0"/>
              <w:keepLines w:val="0"/>
              <w:spacing w:line="240" w:lineRule="auto" w:before="20" w:after="20"/>
              <w:ind w:firstLine="0"/>
              <w:jc w:val="left"/>
            </w:pPr>
            <w:r>
              <w:rPr>
                <w:rFonts w:ascii="Times New Roman" w:hAnsi="Times New Roman"/>
                <w:b w:val="0"/>
                <w:sz w:val="21"/>
              </w:rPr>
              <w:t>Экспорт туристских услуг</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млрд долл.</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8,75</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4,6</w:t>
            </w:r>
          </w:p>
        </w:tc>
        <w:tc>
          <w:tcPr>
            <w:tcW w:type="dxa" w:w="1049"/>
            <w:vAlign w:val="center"/>
          </w:tcPr>
          <w:p>
            <w:pPr>
              <w:keepNext w:val="0"/>
              <w:keepLines w:val="0"/>
              <w:spacing w:line="240" w:lineRule="auto" w:before="20" w:after="20"/>
              <w:ind w:firstLine="0"/>
              <w:jc w:val="center"/>
            </w:pPr>
            <w:r>
              <w:rPr>
                <w:rFonts w:ascii="Times New Roman" w:hAnsi="Times New Roman"/>
                <w:b w:val="0"/>
                <w:sz w:val="21"/>
              </w:rPr>
              <w:t>+4,15*</w:t>
            </w:r>
          </w:p>
        </w:tc>
        <w:tc>
          <w:tcPr>
            <w:tcW w:type="dxa" w:w="3317"/>
            <w:vAlign w:val="center"/>
          </w:tcPr>
          <w:p>
            <w:pPr>
              <w:keepNext w:val="0"/>
              <w:keepLines w:val="0"/>
              <w:spacing w:line="240" w:lineRule="auto" w:before="20" w:after="20"/>
              <w:ind w:firstLine="0"/>
              <w:jc w:val="left"/>
            </w:pPr>
            <w:r>
              <w:rPr>
                <w:rFonts w:ascii="Times New Roman" w:hAnsi="Times New Roman"/>
                <w:b w:val="0"/>
                <w:sz w:val="21"/>
              </w:rPr>
              <w:t>Декабрьская оценка, стадия уточнения не установлена</w:t>
            </w:r>
          </w:p>
        </w:tc>
      </w:tr>
      <w:tr>
        <w:trPr>
          <w:cantSplit/>
        </w:trPr>
        <w:tc>
          <w:tcPr>
            <w:tcW w:type="dxa" w:w="2438"/>
            <w:vAlign w:val="center"/>
          </w:tcPr>
          <w:p>
            <w:pPr>
              <w:keepNext w:val="0"/>
              <w:keepLines w:val="0"/>
              <w:spacing w:line="240" w:lineRule="auto" w:before="20" w:after="20"/>
              <w:ind w:firstLine="0"/>
              <w:jc w:val="left"/>
            </w:pPr>
            <w:r>
              <w:rPr>
                <w:rFonts w:ascii="Times New Roman" w:hAnsi="Times New Roman"/>
                <w:b w:val="0"/>
                <w:sz w:val="21"/>
              </w:rPr>
              <w:t>Иностранцы в средствах размещения</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млн</w:t>
            </w:r>
          </w:p>
        </w:tc>
        <w:tc>
          <w:tcPr>
            <w:tcW w:type="dxa" w:w="1191"/>
            <w:vAlign w:val="center"/>
          </w:tcPr>
          <w:p>
            <w:pPr>
              <w:keepNext w:val="0"/>
              <w:keepLines w:val="0"/>
              <w:spacing w:line="240" w:lineRule="auto" w:before="20" w:after="20"/>
              <w:ind w:firstLine="0"/>
              <w:jc w:val="center"/>
            </w:pPr>
            <w:r>
              <w:rPr>
                <w:rFonts w:ascii="Times New Roman" w:hAnsi="Times New Roman"/>
                <w:b w:val="0"/>
                <w:sz w:val="21"/>
              </w:rPr>
              <w:t>5,89</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5,2</w:t>
            </w:r>
          </w:p>
        </w:tc>
        <w:tc>
          <w:tcPr>
            <w:tcW w:type="dxa" w:w="1049"/>
            <w:vAlign w:val="center"/>
          </w:tcPr>
          <w:p>
            <w:pPr>
              <w:keepNext w:val="0"/>
              <w:keepLines w:val="0"/>
              <w:spacing w:line="240" w:lineRule="auto" w:before="20" w:after="20"/>
              <w:ind w:firstLine="0"/>
              <w:jc w:val="center"/>
            </w:pPr>
            <w:r>
              <w:rPr>
                <w:rFonts w:ascii="Times New Roman" w:hAnsi="Times New Roman"/>
                <w:b w:val="0"/>
                <w:sz w:val="21"/>
              </w:rPr>
              <w:t>+0,69*</w:t>
            </w:r>
          </w:p>
        </w:tc>
        <w:tc>
          <w:tcPr>
            <w:tcW w:type="dxa" w:w="3317"/>
            <w:vAlign w:val="center"/>
          </w:tcPr>
          <w:p>
            <w:pPr>
              <w:keepNext w:val="0"/>
              <w:keepLines w:val="0"/>
              <w:spacing w:line="240" w:lineRule="auto" w:before="20" w:after="20"/>
              <w:ind w:firstLine="0"/>
              <w:jc w:val="left"/>
            </w:pPr>
            <w:r>
              <w:rPr>
                <w:rFonts w:ascii="Times New Roman" w:hAnsi="Times New Roman"/>
                <w:b w:val="0"/>
                <w:sz w:val="21"/>
              </w:rPr>
              <w:t>Декабрьская оценка, стадия уточнения не установлена</w:t>
            </w:r>
          </w:p>
        </w:tc>
      </w:tr>
      <w:tr>
        <w:trPr>
          <w:cantSplit/>
        </w:trPr>
        <w:tc>
          <w:tcPr>
            <w:tcW w:type="dxa" w:w="2438"/>
            <w:vAlign w:val="center"/>
          </w:tcPr>
          <w:p>
            <w:pPr>
              <w:keepNext/>
              <w:keepLines w:val="0"/>
              <w:spacing w:line="240" w:lineRule="auto" w:before="20" w:after="20"/>
              <w:ind w:firstLine="0"/>
              <w:jc w:val="left"/>
            </w:pPr>
            <w:r>
              <w:rPr>
                <w:rFonts w:ascii="Times New Roman" w:hAnsi="Times New Roman"/>
                <w:b w:val="0"/>
                <w:sz w:val="21"/>
              </w:rPr>
              <w:t>Отечественная продукция для туризма</w:t>
            </w:r>
          </w:p>
        </w:tc>
        <w:tc>
          <w:tcPr>
            <w:tcW w:type="dxa" w:w="822"/>
            <w:vAlign w:val="center"/>
          </w:tcPr>
          <w:p>
            <w:pPr>
              <w:keepNext/>
              <w:keepLines w:val="0"/>
              <w:spacing w:line="240" w:lineRule="auto" w:before="20" w:after="20"/>
              <w:ind w:firstLine="0"/>
              <w:jc w:val="center"/>
            </w:pPr>
            <w:r>
              <w:rPr>
                <w:rFonts w:ascii="Times New Roman" w:hAnsi="Times New Roman"/>
                <w:b w:val="0"/>
                <w:sz w:val="21"/>
              </w:rPr>
              <w:t>%</w:t>
            </w:r>
          </w:p>
        </w:tc>
        <w:tc>
          <w:tcPr>
            <w:tcW w:type="dxa" w:w="1191"/>
            <w:vAlign w:val="center"/>
          </w:tcPr>
          <w:p>
            <w:pPr>
              <w:keepNext/>
              <w:keepLines w:val="0"/>
              <w:spacing w:line="240" w:lineRule="auto" w:before="20" w:after="20"/>
              <w:ind w:firstLine="0"/>
              <w:jc w:val="center"/>
            </w:pPr>
            <w:r>
              <w:rPr>
                <w:rFonts w:ascii="Times New Roman" w:hAnsi="Times New Roman"/>
                <w:b w:val="0"/>
                <w:sz w:val="21"/>
              </w:rPr>
              <w:t>30,3</w:t>
            </w:r>
          </w:p>
        </w:tc>
        <w:tc>
          <w:tcPr>
            <w:tcW w:type="dxa" w:w="822"/>
            <w:vAlign w:val="center"/>
          </w:tcPr>
          <w:p>
            <w:pPr>
              <w:keepNext/>
              <w:keepLines w:val="0"/>
              <w:spacing w:line="240" w:lineRule="auto" w:before="20" w:after="20"/>
              <w:ind w:firstLine="0"/>
              <w:jc w:val="center"/>
            </w:pPr>
            <w:r>
              <w:rPr>
                <w:rFonts w:ascii="Times New Roman" w:hAnsi="Times New Roman"/>
                <w:b w:val="0"/>
                <w:sz w:val="21"/>
              </w:rPr>
              <w:t>30,3</w:t>
            </w:r>
          </w:p>
        </w:tc>
        <w:tc>
          <w:tcPr>
            <w:tcW w:type="dxa" w:w="1049"/>
            <w:vAlign w:val="center"/>
          </w:tcPr>
          <w:p>
            <w:pPr>
              <w:keepNext/>
              <w:keepLines w:val="0"/>
              <w:spacing w:line="240" w:lineRule="auto" w:before="20" w:after="20"/>
              <w:ind w:firstLine="0"/>
              <w:jc w:val="center"/>
            </w:pPr>
            <w:r>
              <w:rPr>
                <w:rFonts w:ascii="Times New Roman" w:hAnsi="Times New Roman"/>
                <w:b w:val="0"/>
                <w:sz w:val="21"/>
              </w:rPr>
              <w:t>0</w:t>
            </w:r>
          </w:p>
        </w:tc>
        <w:tc>
          <w:tcPr>
            <w:tcW w:type="dxa" w:w="3317"/>
            <w:vAlign w:val="center"/>
          </w:tcPr>
          <w:p>
            <w:pPr>
              <w:keepNext/>
              <w:keepLines w:val="0"/>
              <w:spacing w:line="240" w:lineRule="auto" w:before="20" w:after="20"/>
              <w:ind w:firstLine="0"/>
              <w:jc w:val="left"/>
            </w:pPr>
            <w:r>
              <w:rPr>
                <w:rFonts w:ascii="Times New Roman" w:hAnsi="Times New Roman"/>
                <w:b w:val="0"/>
                <w:sz w:val="21"/>
              </w:rPr>
              <w:t>Опубликованное значение. Исходные компоненты не сверены</w:t>
            </w:r>
          </w:p>
        </w:tc>
      </w:tr>
    </w:tbl>
    <w:p>
      <w:pPr>
        <w:pStyle w:val="SourceNote"/>
        <w:keepLines/>
        <w:spacing w:before="80" w:after="120"/>
      </w:pPr>
      <w:r>
        <w:rPr>
          <w:rFonts w:ascii="Times New Roman" w:hAnsi="Times New Roman"/>
          <w:b w:val="0"/>
        </w:rPr>
        <w:t xml:space="preserve">Цели воспроизводят редакции паспортов, опубликованные 16.10.2026. Первоначальный план 2025 года по этим данным не восстанавливается. Разность рассчитана как значение минус цель. Звёздочкой отмечены условные арифметические сопоставления, не удостоверяющие окончательное исполнение. Для доли отрасли знаменатель по методике – ВДС всех отраслей в основных ценах. </w:t>
      </w:r>
      <w:r>
        <w:rPr>
          <w:rStyle w:val="FootnoteReference"/>
        </w:rPr>
        <w:footnoteReference w:id="57"/>
      </w:r>
    </w:p>
    <w:p>
      <w:r>
        <w:rPr>
          <w:rFonts w:ascii="Times New Roman" w:hAnsi="Times New Roman"/>
          <w:b w:val="0"/>
        </w:rPr>
        <w:t xml:space="preserve">Отдельно перечислены показатели без проверенной числовой оценки: индекс удовлетворённости граждан в сфере туризма и гостеприимства, посещения портала, доля обученных специалистов и поездки к новым морским курортам. У последних первая ненулевая паспортная цель относится к 2028 году, поэтому пустые ранние годы нельзя считать неисполнением. Дополнительная метрика количества подготовленных специалистов присутствует в паспорте, хотя отсутствует среди десяти кодов первоначального каталога. Её методика допускает использование плана при непредставлении сведений. Опубликованное число специалистов следует отличать от подтверждённого результата обучения. </w:t>
      </w:r>
      <w:r>
        <w:rPr>
          <w:rStyle w:val="FootnoteReference"/>
        </w:rPr>
        <w:footnoteReference w:id="58"/>
      </w:r>
    </w:p>
    <w:p>
      <w:pPr>
        <w:pStyle w:val="Caption"/>
        <w:keepNext/>
      </w:pPr>
      <w:r>
        <w:rPr>
          <w:rFonts w:ascii="Times New Roman" w:hAnsi="Times New Roman"/>
          <w:b w:val="0"/>
        </w:rPr>
        <w:t>Таблица 4 – Паспортные показатели без проверенной числовой оценки результата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3515"/>
        <w:gridCol w:w="1020"/>
        <w:gridCol w:w="1020"/>
        <w:gridCol w:w="4082"/>
      </w:tblGrid>
      <w:tr>
        <w:trPr>
          <w:cantSplit/>
          <w:tblHeader w:val="true"/>
        </w:trPr>
        <w:tc>
          <w:tcPr>
            <w:tcW w:type="dxa" w:w="3515"/>
            <w:vAlign w:val="center"/>
            <w:shd w:val="clear" w:fill="FFFFFF"/>
          </w:tcPr>
          <w:p>
            <w:pPr>
              <w:keepNext w:val="0"/>
              <w:keepLines w:val="0"/>
              <w:spacing w:line="240" w:lineRule="auto" w:before="20" w:after="20"/>
              <w:ind w:firstLine="0"/>
              <w:jc w:val="center"/>
            </w:pPr>
            <w:r>
              <w:rPr>
                <w:rFonts w:ascii="Times New Roman" w:hAnsi="Times New Roman"/>
                <w:b/>
                <w:sz w:val="21"/>
              </w:rPr>
              <w:t>Показатель</w:t>
            </w:r>
          </w:p>
        </w:tc>
        <w:tc>
          <w:tcPr>
            <w:tcW w:type="dxa" w:w="1020"/>
            <w:vAlign w:val="center"/>
            <w:shd w:val="clear" w:fill="FFFFFF"/>
          </w:tcPr>
          <w:p>
            <w:pPr>
              <w:keepNext w:val="0"/>
              <w:keepLines w:val="0"/>
              <w:spacing w:line="240" w:lineRule="auto" w:before="20" w:after="20"/>
              <w:ind w:firstLine="0"/>
              <w:jc w:val="center"/>
            </w:pPr>
            <w:r>
              <w:rPr>
                <w:rFonts w:ascii="Times New Roman" w:hAnsi="Times New Roman"/>
                <w:b/>
                <w:sz w:val="21"/>
              </w:rPr>
              <w:t>Цель 2025</w:t>
            </w:r>
          </w:p>
        </w:tc>
        <w:tc>
          <w:tcPr>
            <w:tcW w:type="dxa" w:w="1020"/>
            <w:vAlign w:val="center"/>
            <w:shd w:val="clear" w:fill="FFFFFF"/>
          </w:tcPr>
          <w:p>
            <w:pPr>
              <w:keepNext w:val="0"/>
              <w:keepLines w:val="0"/>
              <w:spacing w:line="240" w:lineRule="auto" w:before="20" w:after="20"/>
              <w:ind w:firstLine="0"/>
              <w:jc w:val="center"/>
            </w:pPr>
            <w:r>
              <w:rPr>
                <w:rFonts w:ascii="Times New Roman" w:hAnsi="Times New Roman"/>
                <w:b/>
                <w:sz w:val="21"/>
              </w:rPr>
              <w:t>Цель 2026</w:t>
            </w:r>
          </w:p>
        </w:tc>
        <w:tc>
          <w:tcPr>
            <w:tcW w:type="dxa" w:w="4082"/>
            <w:vAlign w:val="center"/>
            <w:shd w:val="clear" w:fill="FFFFFF"/>
          </w:tcPr>
          <w:p>
            <w:pPr>
              <w:keepNext w:val="0"/>
              <w:keepLines w:val="0"/>
              <w:spacing w:line="240" w:lineRule="auto" w:before="20" w:after="20"/>
              <w:ind w:firstLine="0"/>
              <w:jc w:val="center"/>
            </w:pPr>
            <w:r>
              <w:rPr>
                <w:rFonts w:ascii="Times New Roman" w:hAnsi="Times New Roman"/>
                <w:b/>
                <w:sz w:val="21"/>
              </w:rPr>
              <w:t>Что можно заключить</w:t>
            </w:r>
          </w:p>
        </w:tc>
      </w:tr>
      <w:tr>
        <w:trPr>
          <w:cantSplit/>
        </w:trPr>
        <w:tc>
          <w:tcPr>
            <w:tcW w:type="dxa" w:w="3515"/>
            <w:vAlign w:val="center"/>
          </w:tcPr>
          <w:p>
            <w:pPr>
              <w:keepNext w:val="0"/>
              <w:keepLines w:val="0"/>
              <w:spacing w:line="240" w:lineRule="auto" w:before="20" w:after="20"/>
              <w:ind w:firstLine="0"/>
              <w:jc w:val="left"/>
            </w:pPr>
            <w:r>
              <w:rPr>
                <w:rFonts w:ascii="Times New Roman" w:hAnsi="Times New Roman"/>
                <w:b w:val="0"/>
                <w:sz w:val="21"/>
              </w:rPr>
              <w:t>Индекс удовлетворённости граждан в сфере туризма и гостеприимства, %</w:t>
            </w:r>
          </w:p>
        </w:tc>
        <w:tc>
          <w:tcPr>
            <w:tcW w:type="dxa" w:w="1020"/>
            <w:vAlign w:val="center"/>
          </w:tcPr>
          <w:p>
            <w:pPr>
              <w:keepNext w:val="0"/>
              <w:keepLines w:val="0"/>
              <w:spacing w:line="240" w:lineRule="auto" w:before="20" w:after="20"/>
              <w:ind w:firstLine="0"/>
              <w:jc w:val="center"/>
            </w:pPr>
            <w:r>
              <w:rPr>
                <w:rFonts w:ascii="Times New Roman" w:hAnsi="Times New Roman"/>
                <w:b w:val="0"/>
                <w:sz w:val="21"/>
              </w:rPr>
              <w:t>52,5</w:t>
            </w:r>
          </w:p>
        </w:tc>
        <w:tc>
          <w:tcPr>
            <w:tcW w:type="dxa" w:w="1020"/>
            <w:vAlign w:val="center"/>
          </w:tcPr>
          <w:p>
            <w:pPr>
              <w:keepNext w:val="0"/>
              <w:keepLines w:val="0"/>
              <w:spacing w:line="240" w:lineRule="auto" w:before="20" w:after="20"/>
              <w:ind w:firstLine="0"/>
              <w:jc w:val="center"/>
            </w:pPr>
            <w:r>
              <w:rPr>
                <w:rFonts w:ascii="Times New Roman" w:hAnsi="Times New Roman"/>
                <w:b w:val="0"/>
                <w:sz w:val="21"/>
              </w:rPr>
              <w:t>61,0</w:t>
            </w:r>
          </w:p>
        </w:tc>
        <w:tc>
          <w:tcPr>
            <w:tcW w:type="dxa" w:w="4082"/>
            <w:vAlign w:val="center"/>
          </w:tcPr>
          <w:p>
            <w:pPr>
              <w:keepNext w:val="0"/>
              <w:keepLines w:val="0"/>
              <w:spacing w:line="240" w:lineRule="auto" w:before="20" w:after="20"/>
              <w:ind w:firstLine="0"/>
              <w:jc w:val="left"/>
            </w:pPr>
            <w:r>
              <w:rPr>
                <w:rFonts w:ascii="Times New Roman" w:hAnsi="Times New Roman"/>
                <w:b w:val="0"/>
                <w:sz w:val="21"/>
              </w:rPr>
              <w:t>Числовой результат в доступных связанных рядах не установлен</w:t>
            </w:r>
          </w:p>
        </w:tc>
      </w:tr>
      <w:tr>
        <w:trPr>
          <w:cantSplit/>
        </w:trPr>
        <w:tc>
          <w:tcPr>
            <w:tcW w:type="dxa" w:w="3515"/>
            <w:vAlign w:val="center"/>
          </w:tcPr>
          <w:p>
            <w:pPr>
              <w:keepNext w:val="0"/>
              <w:keepLines w:val="0"/>
              <w:spacing w:line="240" w:lineRule="auto" w:before="20" w:after="20"/>
              <w:ind w:firstLine="0"/>
              <w:jc w:val="left"/>
            </w:pPr>
            <w:r>
              <w:rPr>
                <w:rFonts w:ascii="Times New Roman" w:hAnsi="Times New Roman"/>
                <w:b w:val="0"/>
                <w:sz w:val="21"/>
              </w:rPr>
              <w:t>Посещения национального туристического портала, млн</w:t>
            </w:r>
          </w:p>
        </w:tc>
        <w:tc>
          <w:tcPr>
            <w:tcW w:type="dxa" w:w="1020"/>
            <w:vAlign w:val="center"/>
          </w:tcPr>
          <w:p>
            <w:pPr>
              <w:keepNext w:val="0"/>
              <w:keepLines w:val="0"/>
              <w:spacing w:line="240" w:lineRule="auto" w:before="20" w:after="20"/>
              <w:ind w:firstLine="0"/>
              <w:jc w:val="center"/>
            </w:pPr>
            <w:r>
              <w:rPr>
                <w:rFonts w:ascii="Times New Roman" w:hAnsi="Times New Roman"/>
                <w:b w:val="0"/>
                <w:sz w:val="21"/>
              </w:rPr>
              <w:t>6,8</w:t>
            </w:r>
          </w:p>
        </w:tc>
        <w:tc>
          <w:tcPr>
            <w:tcW w:type="dxa" w:w="1020"/>
            <w:vAlign w:val="center"/>
          </w:tcPr>
          <w:p>
            <w:pPr>
              <w:keepNext w:val="0"/>
              <w:keepLines w:val="0"/>
              <w:spacing w:line="240" w:lineRule="auto" w:before="20" w:after="20"/>
              <w:ind w:firstLine="0"/>
              <w:jc w:val="center"/>
            </w:pPr>
            <w:r>
              <w:rPr>
                <w:rFonts w:ascii="Times New Roman" w:hAnsi="Times New Roman"/>
                <w:b w:val="0"/>
                <w:sz w:val="21"/>
              </w:rPr>
              <w:t>7,5</w:t>
            </w:r>
          </w:p>
        </w:tc>
        <w:tc>
          <w:tcPr>
            <w:tcW w:type="dxa" w:w="4082"/>
            <w:vAlign w:val="center"/>
          </w:tcPr>
          <w:p>
            <w:pPr>
              <w:keepNext w:val="0"/>
              <w:keepLines w:val="0"/>
              <w:spacing w:line="240" w:lineRule="auto" w:before="20" w:after="20"/>
              <w:ind w:firstLine="0"/>
              <w:jc w:val="left"/>
            </w:pPr>
            <w:r>
              <w:rPr>
                <w:rFonts w:ascii="Times New Roman" w:hAnsi="Times New Roman"/>
                <w:b w:val="0"/>
                <w:sz w:val="21"/>
              </w:rPr>
              <w:t>Числовой результат не установлен. Посещение не равно туристической поездке</w:t>
            </w:r>
          </w:p>
        </w:tc>
      </w:tr>
      <w:tr>
        <w:trPr>
          <w:cantSplit/>
        </w:trPr>
        <w:tc>
          <w:tcPr>
            <w:tcW w:type="dxa" w:w="3515"/>
            <w:vAlign w:val="center"/>
          </w:tcPr>
          <w:p>
            <w:pPr>
              <w:keepNext w:val="0"/>
              <w:keepLines w:val="0"/>
              <w:spacing w:line="240" w:lineRule="auto" w:before="20" w:after="20"/>
              <w:ind w:firstLine="0"/>
              <w:jc w:val="left"/>
            </w:pPr>
            <w:r>
              <w:rPr>
                <w:rFonts w:ascii="Times New Roman" w:hAnsi="Times New Roman"/>
                <w:b w:val="0"/>
                <w:sz w:val="21"/>
              </w:rPr>
              <w:t>Доля специалистов, прошедших обучение, %</w:t>
            </w:r>
          </w:p>
        </w:tc>
        <w:tc>
          <w:tcPr>
            <w:tcW w:type="dxa" w:w="1020"/>
            <w:vAlign w:val="center"/>
          </w:tcPr>
          <w:p>
            <w:pPr>
              <w:keepNext w:val="0"/>
              <w:keepLines w:val="0"/>
              <w:spacing w:line="240" w:lineRule="auto" w:before="20" w:after="20"/>
              <w:ind w:firstLine="0"/>
              <w:jc w:val="center"/>
            </w:pPr>
            <w:r>
              <w:rPr>
                <w:rFonts w:ascii="Times New Roman" w:hAnsi="Times New Roman"/>
                <w:b w:val="0"/>
                <w:sz w:val="21"/>
              </w:rPr>
              <w:t>4,9</w:t>
            </w:r>
          </w:p>
        </w:tc>
        <w:tc>
          <w:tcPr>
            <w:tcW w:type="dxa" w:w="1020"/>
            <w:vAlign w:val="center"/>
          </w:tcPr>
          <w:p>
            <w:pPr>
              <w:keepNext w:val="0"/>
              <w:keepLines w:val="0"/>
              <w:spacing w:line="240" w:lineRule="auto" w:before="20" w:after="20"/>
              <w:ind w:firstLine="0"/>
              <w:jc w:val="center"/>
            </w:pPr>
            <w:r>
              <w:rPr>
                <w:rFonts w:ascii="Times New Roman" w:hAnsi="Times New Roman"/>
                <w:b w:val="0"/>
                <w:sz w:val="21"/>
              </w:rPr>
              <w:t>7,3</w:t>
            </w:r>
          </w:p>
        </w:tc>
        <w:tc>
          <w:tcPr>
            <w:tcW w:type="dxa" w:w="4082"/>
            <w:vAlign w:val="center"/>
          </w:tcPr>
          <w:p>
            <w:pPr>
              <w:keepNext w:val="0"/>
              <w:keepLines w:val="0"/>
              <w:spacing w:line="240" w:lineRule="auto" w:before="20" w:after="20"/>
              <w:ind w:firstLine="0"/>
              <w:jc w:val="left"/>
            </w:pPr>
            <w:r>
              <w:rPr>
                <w:rFonts w:ascii="Times New Roman" w:hAnsi="Times New Roman"/>
                <w:b w:val="0"/>
                <w:sz w:val="21"/>
              </w:rPr>
              <w:t>Числовой результат не установлен. Знаменатель требует проверки</w:t>
            </w:r>
          </w:p>
        </w:tc>
      </w:tr>
      <w:tr>
        <w:trPr>
          <w:cantSplit/>
        </w:trPr>
        <w:tc>
          <w:tcPr>
            <w:tcW w:type="dxa" w:w="3515"/>
            <w:vAlign w:val="center"/>
          </w:tcPr>
          <w:p>
            <w:pPr>
              <w:keepNext w:val="0"/>
              <w:keepLines w:val="0"/>
              <w:spacing w:line="240" w:lineRule="auto" w:before="20" w:after="20"/>
              <w:ind w:firstLine="0"/>
              <w:jc w:val="left"/>
            </w:pPr>
            <w:r>
              <w:rPr>
                <w:rFonts w:ascii="Times New Roman" w:hAnsi="Times New Roman"/>
                <w:b w:val="0"/>
                <w:sz w:val="21"/>
              </w:rPr>
              <w:t>Поездки к новым круглогодичным морским курортам, млн</w:t>
            </w:r>
          </w:p>
        </w:tc>
        <w:tc>
          <w:tcPr>
            <w:tcW w:type="dxa" w:w="1020"/>
            <w:vAlign w:val="center"/>
          </w:tcPr>
          <w:p>
            <w:pPr>
              <w:keepNext w:val="0"/>
              <w:keepLines w:val="0"/>
              <w:spacing w:line="240" w:lineRule="auto" w:before="20" w:after="20"/>
              <w:ind w:firstLine="0"/>
              <w:jc w:val="center"/>
            </w:pPr>
            <w:r>
              <w:rPr>
                <w:rFonts w:ascii="Times New Roman" w:hAnsi="Times New Roman"/>
                <w:b w:val="0"/>
                <w:sz w:val="21"/>
              </w:rPr>
              <w:t>Не задана</w:t>
            </w:r>
          </w:p>
        </w:tc>
        <w:tc>
          <w:tcPr>
            <w:tcW w:type="dxa" w:w="1020"/>
            <w:vAlign w:val="center"/>
          </w:tcPr>
          <w:p>
            <w:pPr>
              <w:keepNext w:val="0"/>
              <w:keepLines w:val="0"/>
              <w:spacing w:line="240" w:lineRule="auto" w:before="20" w:after="20"/>
              <w:ind w:firstLine="0"/>
              <w:jc w:val="center"/>
            </w:pPr>
            <w:r>
              <w:rPr>
                <w:rFonts w:ascii="Times New Roman" w:hAnsi="Times New Roman"/>
                <w:b w:val="0"/>
                <w:sz w:val="21"/>
              </w:rPr>
              <w:t>Не задана</w:t>
            </w:r>
          </w:p>
        </w:tc>
        <w:tc>
          <w:tcPr>
            <w:tcW w:type="dxa" w:w="4082"/>
            <w:vAlign w:val="center"/>
          </w:tcPr>
          <w:p>
            <w:pPr>
              <w:keepNext w:val="0"/>
              <w:keepLines w:val="0"/>
              <w:spacing w:line="240" w:lineRule="auto" w:before="20" w:after="20"/>
              <w:ind w:firstLine="0"/>
              <w:jc w:val="left"/>
            </w:pPr>
            <w:r>
              <w:rPr>
                <w:rFonts w:ascii="Times New Roman" w:hAnsi="Times New Roman"/>
                <w:b w:val="0"/>
                <w:sz w:val="21"/>
              </w:rPr>
              <w:t>Первая цель – 1,2 млн в 2028 году. Ранние пропуски не равны нулевому исполнению</w:t>
            </w:r>
          </w:p>
        </w:tc>
      </w:tr>
      <w:tr>
        <w:trPr>
          <w:cantSplit/>
        </w:trPr>
        <w:tc>
          <w:tcPr>
            <w:tcW w:type="dxa" w:w="3515"/>
            <w:vAlign w:val="center"/>
          </w:tcPr>
          <w:p>
            <w:pPr>
              <w:keepNext/>
              <w:keepLines w:val="0"/>
              <w:spacing w:line="240" w:lineRule="auto" w:before="20" w:after="20"/>
              <w:ind w:firstLine="0"/>
              <w:jc w:val="left"/>
            </w:pPr>
            <w:r>
              <w:rPr>
                <w:rFonts w:ascii="Times New Roman" w:hAnsi="Times New Roman"/>
                <w:b w:val="0"/>
                <w:sz w:val="21"/>
              </w:rPr>
              <w:t>Подготовленные специалисты, человек</w:t>
            </w:r>
          </w:p>
        </w:tc>
        <w:tc>
          <w:tcPr>
            <w:tcW w:type="dxa" w:w="1020"/>
            <w:vAlign w:val="center"/>
          </w:tcPr>
          <w:p>
            <w:pPr>
              <w:keepNext/>
              <w:keepLines w:val="0"/>
              <w:spacing w:line="240" w:lineRule="auto" w:before="20" w:after="20"/>
              <w:ind w:firstLine="0"/>
              <w:jc w:val="center"/>
            </w:pPr>
            <w:r>
              <w:rPr>
                <w:rFonts w:ascii="Times New Roman" w:hAnsi="Times New Roman"/>
                <w:b w:val="0"/>
                <w:sz w:val="21"/>
              </w:rPr>
              <w:t>Не задана</w:t>
            </w:r>
          </w:p>
        </w:tc>
        <w:tc>
          <w:tcPr>
            <w:tcW w:type="dxa" w:w="1020"/>
            <w:vAlign w:val="center"/>
          </w:tcPr>
          <w:p>
            <w:pPr>
              <w:keepNext/>
              <w:keepLines w:val="0"/>
              <w:spacing w:line="240" w:lineRule="auto" w:before="20" w:after="20"/>
              <w:ind w:firstLine="0"/>
              <w:jc w:val="center"/>
            </w:pPr>
            <w:r>
              <w:rPr>
                <w:rFonts w:ascii="Times New Roman" w:hAnsi="Times New Roman"/>
                <w:b w:val="0"/>
                <w:sz w:val="21"/>
              </w:rPr>
              <w:t>4193</w:t>
            </w:r>
          </w:p>
        </w:tc>
        <w:tc>
          <w:tcPr>
            <w:tcW w:type="dxa" w:w="4082"/>
            <w:vAlign w:val="center"/>
          </w:tcPr>
          <w:p>
            <w:pPr>
              <w:keepNext/>
              <w:keepLines w:val="0"/>
              <w:spacing w:line="240" w:lineRule="auto" w:before="20" w:after="20"/>
              <w:ind w:firstLine="0"/>
              <w:jc w:val="left"/>
            </w:pPr>
            <w:r>
              <w:rPr>
                <w:rFonts w:ascii="Times New Roman" w:hAnsi="Times New Roman"/>
                <w:b w:val="0"/>
                <w:sz w:val="21"/>
              </w:rPr>
              <w:t>Дополнительная паспортная метрика вне десяти кодов каталога. Отдельного ряда нет</w:t>
            </w:r>
          </w:p>
        </w:tc>
      </w:tr>
    </w:tbl>
    <w:p>
      <w:pPr>
        <w:pStyle w:val="SourceNote"/>
        <w:keepLines/>
        <w:spacing w:before="80" w:after="120"/>
      </w:pPr>
      <w:r>
        <w:rPr>
          <w:rFonts w:ascii="Times New Roman" w:hAnsi="Times New Roman"/>
          <w:b w:val="0"/>
        </w:rPr>
        <w:t xml:space="preserve">Отсутствие результата относится к доступному набору и не доказывает отсутствия деятельности. Показатель подготовленных специалистов введён в паспорт и имеет отдельную методику №550 от 03.08.2026. Её пункт 7 допускает использование плана при непредставлении сведений. </w:t>
      </w:r>
      <w:r>
        <w:rPr>
          <w:rStyle w:val="FootnoteReference"/>
        </w:rPr>
        <w:footnoteReference w:id="59"/>
      </w:r>
    </w:p>
    <w:p>
      <w:pPr>
        <w:pStyle w:val="Heading2"/>
      </w:pPr>
      <w:bookmarkStart w:id="27" w:name="sec_26"/>
      <w:r>
        <w:t>4.3 Оперативные сведения 2026 года и несогласованность версий</w:t>
      </w:r>
      <w:bookmarkEnd w:id="27"/>
    </w:p>
    <w:p>
      <w:r>
        <w:rPr>
          <w:rFonts w:ascii="Times New Roman" w:hAnsi="Times New Roman"/>
          <w:b w:val="0"/>
        </w:rPr>
        <w:t xml:space="preserve">В официальном сообщении Министерства транспорта от 5 августа 2026 года, воспроизводящем данные Росстата и выступления руководителей Правительства и Минэкономразвития, приведены сведения о 43,2 млн поездок за январь–июнь и росте на 4,3% к соответствующему периоду предыдущего года. В нём также указаны более 2,5 млн въездных поездок иностранных граждан и рост на 20,1%. Приведённые величины относятся к полугодию и не должны представляться как годовой итог. Причинные объяснения, содержащиеся в официальном выступлении, отражают позицию органов управления. Результатом отдельного исследования воздействия проекта они не являются. </w:t>
      </w:r>
      <w:r>
        <w:rPr>
          <w:rStyle w:val="FootnoteReference"/>
        </w:rPr>
        <w:footnoteReference w:id="60"/>
      </w:r>
    </w:p>
    <w:p>
      <w:r>
        <w:rPr>
          <w:rFonts w:ascii="Times New Roman" w:hAnsi="Times New Roman"/>
          <w:b w:val="0"/>
        </w:rPr>
        <w:t xml:space="preserve">Сохранённая таблица поездок показывает за июнь 2026 года 46,0857 млн нарастающим итогом, а за июнь 2025 года – 45,3285 млн. Отношение этих величин даёт рост лишь на 1,67%. По сравнению с официальным сообщением различаются и уровень, и темп. Округление не объясняет расхождений. Возможные объяснения связаны с версиями оценки и охватом компонентов, но конкретный механизм доступными метаданными не доказан. В частности, нельзя задним числом приписать разность гостевым домам только потому, что новая методика предусматривает их учёт. </w:t>
      </w:r>
      <w:r>
        <w:rPr>
          <w:rStyle w:val="FootnoteReference"/>
        </w:rPr>
        <w:footnoteReference w:id="61"/>
      </w:r>
    </w:p>
    <w:p>
      <w:r>
        <w:rPr>
          <w:rFonts w:ascii="Times New Roman" w:hAnsi="Times New Roman"/>
          <w:b w:val="0"/>
        </w:rPr>
        <w:t xml:space="preserve">Для описания опубликованного полугодового результата используется связная пара «43,2 млн и +4,3%» из одного сообщения. Каталожные величины сохраняются в таблице сверки, чтобы расхождение оставалось видимым. Разность между версиями не интерпретируется как экономический прирост или потери. Сентябрьская накопительная оценка 74,4464 млн также не используется для самостоятельного заключения об ухудшении конъюнктуры относительно сохранённой строки предыдущего года, пока не подтверждена сопоставимость обеих оценок. </w:t>
      </w:r>
      <w:r>
        <w:rPr>
          <w:rStyle w:val="FootnoteReference"/>
        </w:rPr>
        <w:footnoteReference w:id="62"/>
      </w:r>
    </w:p>
    <w:p>
      <w:pPr>
        <w:pStyle w:val="Caption"/>
        <w:keepNext/>
      </w:pPr>
      <w:r>
        <w:rPr>
          <w:rFonts w:ascii="Times New Roman" w:hAnsi="Times New Roman"/>
          <w:b w:val="0"/>
        </w:rPr>
        <w:t>Таблица 5 – Различия оперативных оценок и ограничения их сопоставления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381"/>
        <w:gridCol w:w="1757"/>
        <w:gridCol w:w="2494"/>
        <w:gridCol w:w="3005"/>
      </w:tblGrid>
      <w:tr>
        <w:trPr>
          <w:cantSplit/>
          <w:tblHeader w:val="true"/>
        </w:trPr>
        <w:tc>
          <w:tcPr>
            <w:tcW w:type="dxa" w:w="2381"/>
            <w:vAlign w:val="center"/>
            <w:shd w:val="clear" w:fill="FFFFFF"/>
          </w:tcPr>
          <w:p>
            <w:pPr>
              <w:keepNext w:val="0"/>
              <w:keepLines w:val="0"/>
              <w:spacing w:line="240" w:lineRule="auto" w:before="20" w:after="20"/>
              <w:ind w:firstLine="0"/>
              <w:jc w:val="center"/>
            </w:pPr>
            <w:r>
              <w:rPr>
                <w:rFonts w:ascii="Times New Roman" w:hAnsi="Times New Roman"/>
                <w:b/>
                <w:sz w:val="21"/>
              </w:rPr>
              <w:t>Показатель и период</w:t>
            </w:r>
          </w:p>
        </w:tc>
        <w:tc>
          <w:tcPr>
            <w:tcW w:type="dxa" w:w="1757"/>
            <w:vAlign w:val="center"/>
            <w:shd w:val="clear" w:fill="FFFFFF"/>
          </w:tcPr>
          <w:p>
            <w:pPr>
              <w:keepNext w:val="0"/>
              <w:keepLines w:val="0"/>
              <w:spacing w:line="240" w:lineRule="auto" w:before="20" w:after="20"/>
              <w:ind w:firstLine="0"/>
              <w:jc w:val="center"/>
            </w:pPr>
            <w:r>
              <w:rPr>
                <w:rFonts w:ascii="Times New Roman" w:hAnsi="Times New Roman"/>
                <w:b/>
                <w:sz w:val="21"/>
              </w:rPr>
              <w:t>Сохранённый ряд</w:t>
            </w:r>
          </w:p>
        </w:tc>
        <w:tc>
          <w:tcPr>
            <w:tcW w:type="dxa" w:w="2494"/>
            <w:vAlign w:val="center"/>
            <w:shd w:val="clear" w:fill="FFFFFF"/>
          </w:tcPr>
          <w:p>
            <w:pPr>
              <w:keepNext w:val="0"/>
              <w:keepLines w:val="0"/>
              <w:spacing w:line="240" w:lineRule="auto" w:before="20" w:after="20"/>
              <w:ind w:firstLine="0"/>
              <w:jc w:val="center"/>
            </w:pPr>
            <w:r>
              <w:rPr>
                <w:rFonts w:ascii="Times New Roman" w:hAnsi="Times New Roman"/>
                <w:b/>
                <w:sz w:val="21"/>
              </w:rPr>
              <w:t>Более позднее / отдельное сообщение</w:t>
            </w:r>
          </w:p>
        </w:tc>
        <w:tc>
          <w:tcPr>
            <w:tcW w:type="dxa" w:w="3005"/>
            <w:vAlign w:val="center"/>
            <w:shd w:val="clear" w:fill="FFFFFF"/>
          </w:tcPr>
          <w:p>
            <w:pPr>
              <w:keepNext w:val="0"/>
              <w:keepLines w:val="0"/>
              <w:spacing w:line="240" w:lineRule="auto" w:before="20" w:after="20"/>
              <w:ind w:firstLine="0"/>
              <w:jc w:val="center"/>
            </w:pPr>
            <w:r>
              <w:rPr>
                <w:rFonts w:ascii="Times New Roman" w:hAnsi="Times New Roman"/>
                <w:b/>
                <w:sz w:val="21"/>
              </w:rPr>
              <w:t>Вывод</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1"/>
              </w:rPr>
              <w:t>Поездки, январь–июнь 2026</w:t>
            </w:r>
          </w:p>
        </w:tc>
        <w:tc>
          <w:tcPr>
            <w:tcW w:type="dxa" w:w="1757"/>
            <w:vAlign w:val="center"/>
          </w:tcPr>
          <w:p>
            <w:pPr>
              <w:keepNext w:val="0"/>
              <w:keepLines w:val="0"/>
              <w:spacing w:line="240" w:lineRule="auto" w:before="20" w:after="20"/>
              <w:ind w:firstLine="0"/>
              <w:jc w:val="left"/>
            </w:pPr>
            <w:r>
              <w:rPr>
                <w:rFonts w:ascii="Times New Roman" w:hAnsi="Times New Roman"/>
                <w:b w:val="0"/>
                <w:sz w:val="21"/>
              </w:rPr>
              <w:t>46,0857 млн, +1,67% к строке 2025 года</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43,2 млн, +4,3%, сообщение 05.08.2026</w:t>
            </w:r>
          </w:p>
        </w:tc>
        <w:tc>
          <w:tcPr>
            <w:tcW w:type="dxa" w:w="3005"/>
            <w:vAlign w:val="center"/>
          </w:tcPr>
          <w:p>
            <w:pPr>
              <w:keepNext w:val="0"/>
              <w:keepLines w:val="0"/>
              <w:spacing w:line="240" w:lineRule="auto" w:before="20" w:after="20"/>
              <w:ind w:firstLine="0"/>
              <w:jc w:val="left"/>
            </w:pPr>
            <w:r>
              <w:rPr>
                <w:rFonts w:ascii="Times New Roman" w:hAnsi="Times New Roman"/>
                <w:b w:val="0"/>
                <w:sz w:val="21"/>
              </w:rPr>
              <w:t>Версии и охват не согласованы. Не строить общий темп из разных публикаций</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1"/>
              </w:rPr>
              <w:t>Доля туристской отрасли, 2025</w:t>
            </w:r>
          </w:p>
        </w:tc>
        <w:tc>
          <w:tcPr>
            <w:tcW w:type="dxa" w:w="1757"/>
            <w:vAlign w:val="center"/>
          </w:tcPr>
          <w:p>
            <w:pPr>
              <w:keepNext w:val="0"/>
              <w:keepLines w:val="0"/>
              <w:spacing w:line="240" w:lineRule="auto" w:before="20" w:after="20"/>
              <w:ind w:firstLine="0"/>
              <w:jc w:val="left"/>
            </w:pPr>
            <w:r>
              <w:rPr>
                <w:rFonts w:ascii="Times New Roman" w:hAnsi="Times New Roman"/>
                <w:b w:val="0"/>
                <w:sz w:val="21"/>
              </w:rPr>
              <w:t>3,0% в декабрьской строке</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3,1% в сообщении Росстата осенью 2026 года</w:t>
            </w:r>
          </w:p>
        </w:tc>
        <w:tc>
          <w:tcPr>
            <w:tcW w:type="dxa" w:w="3005"/>
            <w:vAlign w:val="center"/>
          </w:tcPr>
          <w:p>
            <w:pPr>
              <w:keepNext w:val="0"/>
              <w:keepLines w:val="0"/>
              <w:spacing w:line="240" w:lineRule="auto" w:before="20" w:after="20"/>
              <w:ind w:firstLine="0"/>
              <w:jc w:val="left"/>
            </w:pPr>
            <w:r>
              <w:rPr>
                <w:rFonts w:ascii="Times New Roman" w:hAnsi="Times New Roman"/>
                <w:b w:val="0"/>
                <w:sz w:val="21"/>
              </w:rPr>
              <w:t>Дата сохранения данных не гарантирует наиболее позднюю оценку каждого периода</w:t>
            </w:r>
          </w:p>
        </w:tc>
      </w:tr>
      <w:tr>
        <w:trPr>
          <w:cantSplit/>
        </w:trPr>
        <w:tc>
          <w:tcPr>
            <w:tcW w:type="dxa" w:w="2381"/>
            <w:vAlign w:val="center"/>
          </w:tcPr>
          <w:p>
            <w:pPr>
              <w:keepNext/>
              <w:keepLines w:val="0"/>
              <w:spacing w:line="240" w:lineRule="auto" w:before="20" w:after="20"/>
              <w:ind w:firstLine="0"/>
              <w:jc w:val="left"/>
            </w:pPr>
            <w:r>
              <w:rPr>
                <w:rFonts w:ascii="Times New Roman" w:hAnsi="Times New Roman"/>
                <w:b w:val="0"/>
                <w:sz w:val="21"/>
              </w:rPr>
              <w:t>Экспорт, начало 2025 / 2026</w:t>
            </w:r>
          </w:p>
        </w:tc>
        <w:tc>
          <w:tcPr>
            <w:tcW w:type="dxa" w:w="1757"/>
            <w:vAlign w:val="center"/>
          </w:tcPr>
          <w:p>
            <w:pPr>
              <w:keepNext/>
              <w:keepLines w:val="0"/>
              <w:spacing w:line="240" w:lineRule="auto" w:before="20" w:after="20"/>
              <w:ind w:firstLine="0"/>
              <w:jc w:val="left"/>
            </w:pPr>
            <w:r>
              <w:rPr>
                <w:rFonts w:ascii="Times New Roman" w:hAnsi="Times New Roman"/>
                <w:b w:val="0"/>
                <w:sz w:val="21"/>
              </w:rPr>
              <w:t>Нули в ранних месячных ячейках</w:t>
            </w:r>
          </w:p>
        </w:tc>
        <w:tc>
          <w:tcPr>
            <w:tcW w:type="dxa" w:w="2494"/>
            <w:vAlign w:val="center"/>
          </w:tcPr>
          <w:p>
            <w:pPr>
              <w:keepNext/>
              <w:keepLines w:val="0"/>
              <w:spacing w:line="240" w:lineRule="auto" w:before="20" w:after="20"/>
              <w:ind w:firstLine="0"/>
              <w:jc w:val="left"/>
            </w:pPr>
            <w:r>
              <w:rPr>
                <w:rFonts w:ascii="Times New Roman" w:hAnsi="Times New Roman"/>
                <w:b w:val="0"/>
                <w:sz w:val="21"/>
              </w:rPr>
              <w:t>Методикой установлен квартальный накопительный показатель</w:t>
            </w:r>
          </w:p>
        </w:tc>
        <w:tc>
          <w:tcPr>
            <w:tcW w:type="dxa" w:w="3005"/>
            <w:vAlign w:val="center"/>
          </w:tcPr>
          <w:p>
            <w:pPr>
              <w:keepNext/>
              <w:keepLines w:val="0"/>
              <w:spacing w:line="240" w:lineRule="auto" w:before="20" w:after="20"/>
              <w:ind w:firstLine="0"/>
              <w:jc w:val="left"/>
            </w:pPr>
            <w:r>
              <w:rPr>
                <w:rFonts w:ascii="Times New Roman" w:hAnsi="Times New Roman"/>
                <w:b w:val="0"/>
                <w:sz w:val="21"/>
              </w:rPr>
              <w:t>Нули не подтверждают отсутствие экспорта. Месячные изменения не рассчитываются</w:t>
            </w:r>
          </w:p>
        </w:tc>
      </w:tr>
    </w:tbl>
    <w:p>
      <w:pPr>
        <w:pStyle w:val="SourceNote"/>
        <w:keepLines/>
        <w:spacing w:before="80" w:after="120"/>
      </w:pPr>
      <w:r>
        <w:rPr>
          <w:rFonts w:ascii="Times New Roman" w:hAnsi="Times New Roman"/>
          <w:b w:val="0"/>
        </w:rPr>
        <w:t xml:space="preserve">Причины расхождений поездок требуют сверки компонентов и версий источника. Принадлежность различий конкретной методической поправке не доказана. </w:t>
      </w:r>
      <w:r>
        <w:rPr>
          <w:rStyle w:val="FootnoteReference"/>
        </w:rPr>
        <w:footnoteReference w:id="63"/>
      </w:r>
    </w:p>
    <w:p>
      <w:r>
        <w:rPr>
          <w:rFonts w:ascii="Times New Roman" w:hAnsi="Times New Roman"/>
          <w:b w:val="0"/>
        </w:rPr>
        <w:t xml:space="preserve">Для номерного фонда возможно более однородное описание внутри 2026 года, когда действует методика №87. С января по сентябрь опубликованный запас увеличился с 1056,692 до 1114,916 тыс. номеров, или на 5,51%. В августе он достигал 1123,208 тыс., после чего снизился на 8,292 тыс. номеров. На рисунке представлен индекс к январю. Изменение индекса не характеризует ввод новых номеров. Снижение реестрового запаса само по себе не доказывает закрытия действующих гостиниц: нужны сведения о движении объектов и основаниях изменения записей. </w:t>
      </w:r>
      <w:r>
        <w:rPr>
          <w:rStyle w:val="FootnoteReference"/>
        </w:rPr>
        <w:footnoteReference w:id="64"/>
      </w:r>
    </w:p>
    <w:p>
      <w:r>
        <w:rPr>
          <w:rFonts w:ascii="Times New Roman" w:hAnsi="Times New Roman"/>
          <w:b w:val="0"/>
        </w:rPr>
        <w:t>Для оперативного управления полезно публиковать одновременно дату оценки, период, перечень охваченных объектов и статус уточнения. Тогда обновление исторического значения можно отличить от нового наблюдения. Различие существенно при годовых целях: значение на конец сентября позволяет судить о текущем запасе, но не удостоверяет декабрьский результат. Прогноз достижения цели также должен учитывать как возможные исключения из реестра, так и добавления. На имеющейся базе надёжнее констатировать текущее положение, чем экстраполировать несколько месячных точек до конца года.</w:t>
      </w:r>
    </w:p>
    <w:p>
      <w:pPr>
        <w:keepNext/>
        <w:pageBreakBefore/>
        <w:spacing w:line="240" w:lineRule="auto" w:before="120" w:after="60"/>
        <w:ind w:firstLine="0"/>
        <w:jc w:val="center"/>
      </w:pPr>
      <w:r>
        <w:drawing>
          <wp:inline xmlns:a="http://schemas.openxmlformats.org/drawingml/2006/main" xmlns:pic="http://schemas.openxmlformats.org/drawingml/2006/picture">
            <wp:extent cx="5580000" cy="2710286"/>
            <wp:docPr id="2" name="Picture 2"/>
            <wp:cNvGraphicFramePr>
              <a:graphicFrameLocks noChangeAspect="1"/>
            </wp:cNvGraphicFramePr>
            <a:graphic>
              <a:graphicData uri="http://schemas.openxmlformats.org/drawingml/2006/picture">
                <pic:pic>
                  <pic:nvPicPr>
                    <pic:cNvPr id="0" name="classified_rooms_2026.png"/>
                    <pic:cNvPicPr/>
                  </pic:nvPicPr>
                  <pic:blipFill>
                    <a:blip r:embed="rId11"/>
                    <a:stretch>
                      <a:fillRect/>
                    </a:stretch>
                  </pic:blipFill>
                  <pic:spPr>
                    <a:xfrm>
                      <a:off x="0" y="0"/>
                      <a:ext cx="5580000" cy="2710286"/>
                    </a:xfrm>
                    <a:prstGeom prst="rect"/>
                  </pic:spPr>
                </pic:pic>
              </a:graphicData>
            </a:graphic>
          </wp:inline>
        </w:drawing>
      </w:r>
    </w:p>
    <w:p>
      <w:pPr>
        <w:pStyle w:val="Caption"/>
        <w:keepNext/>
        <w:spacing w:after="60"/>
      </w:pPr>
      <w:r>
        <w:rPr>
          <w:rFonts w:ascii="Times New Roman" w:hAnsi="Times New Roman"/>
          <w:b w:val="0"/>
        </w:rPr>
        <w:t>Рисунок 2 – Изменение зарегистрированного классифицированного номерного фонда в 2026 году</w:t>
      </w:r>
    </w:p>
    <w:p>
      <w:pPr>
        <w:pStyle w:val="SourceNote"/>
        <w:keepLines/>
        <w:spacing w:after="140"/>
      </w:pPr>
      <w:r>
        <w:rPr>
          <w:rFonts w:ascii="Times New Roman" w:hAnsi="Times New Roman"/>
          <w:b w:val="0"/>
        </w:rPr>
        <w:t xml:space="preserve">Индекс к январю 2026 года. Январь – 1056,692 тыс. номеров, август – 1123,208 тыс., сентябрь – 1114,916 тыс. Ось индекса ограничена диапазоном 98–108 для различимости месячных изменений. Показатель отражает запас учтённых номеров на конец месяца. Физический ввод новых объектов он не измеряет, поскольку рост может включать изменение охвата реестра. </w:t>
      </w:r>
      <w:r>
        <w:rPr>
          <w:rStyle w:val="FootnoteReference"/>
        </w:rPr>
        <w:footnoteReference w:id="65"/>
      </w:r>
    </w:p>
    <w:p>
      <w:pPr>
        <w:pStyle w:val="Heading2"/>
      </w:pPr>
      <w:bookmarkStart w:id="28" w:name="sec_27"/>
      <w:r>
        <w:t>4.4 Территориальная концентрация приёма поездок</w:t>
      </w:r>
      <w:bookmarkEnd w:id="28"/>
    </w:p>
    <w:p>
      <w:r>
        <w:rPr>
          <w:rFonts w:ascii="Times New Roman" w:hAnsi="Times New Roman"/>
          <w:b w:val="0"/>
        </w:rPr>
        <w:t xml:space="preserve">Региональный анализ 2025 года основан на 85 наблюдениях. Их сумма составляет 92,0428 млн и совпадает с общероссийской оценкой. Повторного прибавления автономных округов при таком агрегировании не возникает. Нулевых значений нет. Для четырёх территорий картографической основы – Донецкой и Луганской народных республик, Запорожской и Херсонской областей – наблюдения отсутствуют. Они показаны серым. В расчёт территории без наблюдений не включены, пропуски не заменены нулевыми значениями. Названия пяти субъектов, представленные в таблице в развёрнутой форме, сопоставлены с их обычными региональными обозначениями. </w:t>
      </w:r>
      <w:r>
        <w:rPr>
          <w:rStyle w:val="FootnoteReference"/>
        </w:rPr>
        <w:footnoteReference w:id="66"/>
      </w:r>
    </w:p>
    <w:p>
      <w:pPr>
        <w:keepNext/>
        <w:pageBreakBefore w:val="0"/>
        <w:spacing w:line="240" w:lineRule="auto" w:before="120" w:after="60"/>
        <w:ind w:firstLine="0"/>
        <w:jc w:val="center"/>
      </w:pPr>
      <w:r>
        <w:drawing>
          <wp:inline xmlns:a="http://schemas.openxmlformats.org/drawingml/2006/main" xmlns:pic="http://schemas.openxmlformats.org/drawingml/2006/picture">
            <wp:extent cx="6012000" cy="3864857"/>
            <wp:docPr id="3" name="Picture 3"/>
            <wp:cNvGraphicFramePr>
              <a:graphicFrameLocks noChangeAspect="1"/>
            </wp:cNvGraphicFramePr>
            <a:graphic>
              <a:graphicData uri="http://schemas.openxmlformats.org/drawingml/2006/picture">
                <pic:pic>
                  <pic:nvPicPr>
                    <pic:cNvPr id="0" name="map_trips_2025.png"/>
                    <pic:cNvPicPr/>
                  </pic:nvPicPr>
                  <pic:blipFill>
                    <a:blip r:embed="rId12"/>
                    <a:stretch>
                      <a:fillRect/>
                    </a:stretch>
                  </pic:blipFill>
                  <pic:spPr>
                    <a:xfrm>
                      <a:off x="0" y="0"/>
                      <a:ext cx="6012000" cy="3864857"/>
                    </a:xfrm>
                    <a:prstGeom prst="rect"/>
                  </pic:spPr>
                </pic:pic>
              </a:graphicData>
            </a:graphic>
          </wp:inline>
        </w:drawing>
      </w:r>
    </w:p>
    <w:p>
      <w:pPr>
        <w:pStyle w:val="Caption"/>
        <w:keepNext/>
        <w:spacing w:after="60"/>
      </w:pPr>
      <w:r>
        <w:rPr>
          <w:rFonts w:ascii="Times New Roman" w:hAnsi="Times New Roman"/>
          <w:b w:val="0"/>
        </w:rPr>
        <w:t>Рисунок 3 – Территориальное распределение туристических поездок, 2025 год</w:t>
      </w:r>
    </w:p>
    <w:p>
      <w:pPr>
        <w:pStyle w:val="SourceNote"/>
        <w:keepLines/>
        <w:spacing w:after="140"/>
      </w:pPr>
      <w:r>
        <w:rPr>
          <w:rFonts w:ascii="Times New Roman" w:hAnsi="Times New Roman"/>
          <w:b w:val="0"/>
        </w:rPr>
        <w:t xml:space="preserve">Млн поездок. Учтены 85 из 89 территорий картографической основы. Значения отсутствуют для Донецкой и Луганской народных республик, Запорожской и Херсонской областей. Пропуски показаны серым, нулевые значения отсутствуют. Сумма по 85 территориям равна 92,0428 млн. Границы и территориальный состав воспроизводят предоставленную основу. Расчёт по ЕМИСС, данные сохранены 15.10.2026. </w:t>
      </w:r>
      <w:r>
        <w:rPr>
          <w:rStyle w:val="FootnoteReference"/>
        </w:rPr>
        <w:footnoteReference w:id="67"/>
      </w:r>
    </w:p>
    <w:p>
      <w:r>
        <w:rPr>
          <w:rFonts w:ascii="Times New Roman" w:hAnsi="Times New Roman"/>
          <w:b w:val="0"/>
        </w:rPr>
        <w:t xml:space="preserve">Распределение выраженно концентрированное. Москва принимает 12,8746 млн поездок, Краснодарский край – 9,3062 млн, Санкт-Петербург – 6,9695 млн, Московская область – 6,3744 млн. На эти четыре территории приходится 38,60% совокупного числа поездок. На первую десятку приходится 52,71%, тогда как на 42 территории с наименьшими значениями – 13,33%. Медиана равна 0,5462 млн, межквартильный интервал составляет 0,3085–1,0057 млн. В 62 из 85 территорий показатель меньше миллиона поездок. Расчёты показывают масштаб асимметрии, не задавая нормативного требования к одинаковым объёмам приёма. </w:t>
      </w:r>
      <w:r>
        <w:rPr>
          <w:rStyle w:val="FootnoteReference"/>
        </w:rPr>
        <w:footnoteReference w:id="68"/>
      </w:r>
    </w:p>
    <w:p>
      <w:pPr>
        <w:keepNext/>
        <w:pageBreakBefore w:val="0"/>
        <w:spacing w:line="240" w:lineRule="auto" w:before="120" w:after="60"/>
        <w:ind w:firstLine="0"/>
        <w:jc w:val="center"/>
      </w:pPr>
      <w:r>
        <w:drawing>
          <wp:inline xmlns:a="http://schemas.openxmlformats.org/drawingml/2006/main" xmlns:pic="http://schemas.openxmlformats.org/drawingml/2006/picture">
            <wp:extent cx="5580000" cy="3507429"/>
            <wp:docPr id="4" name="Picture 4"/>
            <wp:cNvGraphicFramePr>
              <a:graphicFrameLocks noChangeAspect="1"/>
            </wp:cNvGraphicFramePr>
            <a:graphic>
              <a:graphicData uri="http://schemas.openxmlformats.org/drawingml/2006/picture">
                <pic:pic>
                  <pic:nvPicPr>
                    <pic:cNvPr id="0" name="regional_concentration_2025.png"/>
                    <pic:cNvPicPr/>
                  </pic:nvPicPr>
                  <pic:blipFill>
                    <a:blip r:embed="rId13"/>
                    <a:stretch>
                      <a:fillRect/>
                    </a:stretch>
                  </pic:blipFill>
                  <pic:spPr>
                    <a:xfrm>
                      <a:off x="0" y="0"/>
                      <a:ext cx="5580000" cy="3507429"/>
                    </a:xfrm>
                    <a:prstGeom prst="rect"/>
                  </pic:spPr>
                </pic:pic>
              </a:graphicData>
            </a:graphic>
          </wp:inline>
        </w:drawing>
      </w:r>
    </w:p>
    <w:p>
      <w:pPr>
        <w:pStyle w:val="Caption"/>
        <w:keepNext/>
        <w:spacing w:after="60"/>
      </w:pPr>
      <w:r>
        <w:rPr>
          <w:rFonts w:ascii="Times New Roman" w:hAnsi="Times New Roman"/>
          <w:b w:val="0"/>
        </w:rPr>
        <w:t>Рисунок 4 – Десять крупнейших территорий по числу принятых поездок в 2025 году</w:t>
      </w:r>
    </w:p>
    <w:p>
      <w:pPr>
        <w:pStyle w:val="SourceNote"/>
        <w:keepLines/>
        <w:spacing w:after="140"/>
      </w:pPr>
      <w:r>
        <w:rPr>
          <w:rFonts w:ascii="Times New Roman" w:hAnsi="Times New Roman"/>
          <w:b w:val="0"/>
        </w:rPr>
        <w:t xml:space="preserve">На десять территорий приходится 52,71% учтённых поездок, на первые четыре – 38,60%. Абсолютный объём приёма не является оценкой доступности путешествий для местных жителей или эффективности бюджетных расходов. Расчёты автора. </w:t>
      </w:r>
      <w:r>
        <w:rPr>
          <w:rStyle w:val="FootnoteReference"/>
        </w:rPr>
        <w:footnoteReference w:id="69"/>
      </w:r>
    </w:p>
    <w:p>
      <w:r>
        <w:rPr>
          <w:rFonts w:ascii="Times New Roman" w:hAnsi="Times New Roman"/>
          <w:b w:val="0"/>
        </w:rPr>
        <w:t xml:space="preserve">По федеральным округам выделяется Центральный округ с 27,9136 млн поездок. Далее следуют Южный с 15,9613 млн, Северо-Западный с 12,8751 млн и Приволжский с 12,5676 млн. При этом положение округа существенно зависит от отдельных крупных центров. Сравнивать окружные суммы как показатели эффективности управления было бы некорректно: число субъектов, плотность расселения, размер принимающих городов и характер туристического продукта различаются. Таблица округов позволяет оценить пространственное распределение нагрузки. Ранжировать округа по качеству государственной политики на её основе нельзя. </w:t>
      </w:r>
      <w:r>
        <w:rPr>
          <w:rStyle w:val="FootnoteReference"/>
        </w:rPr>
        <w:footnoteReference w:id="70"/>
      </w:r>
    </w:p>
    <w:p>
      <w:pPr>
        <w:pStyle w:val="Caption"/>
        <w:keepNext/>
      </w:pPr>
      <w:r>
        <w:rPr>
          <w:rFonts w:ascii="Times New Roman" w:hAnsi="Times New Roman"/>
          <w:b w:val="0"/>
        </w:rPr>
        <w:t>Таблица 6 – Распределение поездок 2025 года по федеральным округам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4252"/>
        <w:gridCol w:w="1417"/>
        <w:gridCol w:w="1984"/>
        <w:gridCol w:w="1984"/>
      </w:tblGrid>
      <w:tr>
        <w:trPr>
          <w:cantSplit/>
          <w:tblHeader w:val="true"/>
        </w:trPr>
        <w:tc>
          <w:tcPr>
            <w:tcW w:type="dxa" w:w="4252"/>
            <w:vAlign w:val="center"/>
            <w:shd w:val="clear" w:fill="FFFFFF"/>
          </w:tcPr>
          <w:p>
            <w:pPr>
              <w:keepNext w:val="0"/>
              <w:keepLines w:val="0"/>
              <w:spacing w:line="240" w:lineRule="auto" w:before="20" w:after="20"/>
              <w:ind w:firstLine="0"/>
              <w:jc w:val="center"/>
            </w:pPr>
            <w:r>
              <w:rPr>
                <w:rFonts w:ascii="Times New Roman" w:hAnsi="Times New Roman"/>
                <w:b/>
                <w:sz w:val="22"/>
              </w:rPr>
              <w:t>Федеральный округ</w:t>
            </w:r>
          </w:p>
        </w:tc>
        <w:tc>
          <w:tcPr>
            <w:tcW w:type="dxa" w:w="1417"/>
            <w:vAlign w:val="center"/>
            <w:shd w:val="clear" w:fill="FFFFFF"/>
          </w:tcPr>
          <w:p>
            <w:pPr>
              <w:keepNext w:val="0"/>
              <w:keepLines w:val="0"/>
              <w:spacing w:line="240" w:lineRule="auto" w:before="20" w:after="20"/>
              <w:ind w:firstLine="0"/>
              <w:jc w:val="center"/>
            </w:pPr>
            <w:r>
              <w:rPr>
                <w:rFonts w:ascii="Times New Roman" w:hAnsi="Times New Roman"/>
                <w:b/>
                <w:sz w:val="22"/>
              </w:rPr>
              <w:t>Территорий</w:t>
            </w:r>
          </w:p>
        </w:tc>
        <w:tc>
          <w:tcPr>
            <w:tcW w:type="dxa" w:w="1984"/>
            <w:vAlign w:val="center"/>
            <w:shd w:val="clear" w:fill="FFFFFF"/>
          </w:tcPr>
          <w:p>
            <w:pPr>
              <w:keepNext w:val="0"/>
              <w:keepLines w:val="0"/>
              <w:spacing w:line="240" w:lineRule="auto" w:before="20" w:after="20"/>
              <w:ind w:firstLine="0"/>
              <w:jc w:val="center"/>
            </w:pPr>
            <w:r>
              <w:rPr>
                <w:rFonts w:ascii="Times New Roman" w:hAnsi="Times New Roman"/>
                <w:b/>
                <w:sz w:val="22"/>
              </w:rPr>
              <w:t>Млн поездок</w:t>
            </w:r>
          </w:p>
        </w:tc>
        <w:tc>
          <w:tcPr>
            <w:tcW w:type="dxa" w:w="1984"/>
            <w:vAlign w:val="center"/>
            <w:shd w:val="clear" w:fill="FFFFFF"/>
          </w:tcPr>
          <w:p>
            <w:pPr>
              <w:keepNext w:val="0"/>
              <w:keepLines w:val="0"/>
              <w:spacing w:line="240" w:lineRule="auto" w:before="20" w:after="20"/>
              <w:ind w:firstLine="0"/>
              <w:jc w:val="center"/>
            </w:pPr>
            <w:r>
              <w:rPr>
                <w:rFonts w:ascii="Times New Roman" w:hAnsi="Times New Roman"/>
                <w:b/>
                <w:sz w:val="22"/>
              </w:rPr>
              <w:t>Доля, %</w:t>
            </w:r>
          </w:p>
        </w:tc>
      </w:tr>
      <w:tr>
        <w:trPr>
          <w:cantSplit/>
        </w:trPr>
        <w:tc>
          <w:tcPr>
            <w:tcW w:type="dxa" w:w="4252"/>
            <w:vAlign w:val="center"/>
          </w:tcPr>
          <w:p>
            <w:pPr>
              <w:keepNext w:val="0"/>
              <w:keepLines w:val="0"/>
              <w:spacing w:line="240" w:lineRule="auto" w:before="20" w:after="20"/>
              <w:ind w:firstLine="0"/>
              <w:jc w:val="left"/>
            </w:pPr>
            <w:r>
              <w:rPr>
                <w:rFonts w:ascii="Times New Roman" w:hAnsi="Times New Roman"/>
                <w:b w:val="0"/>
                <w:sz w:val="22"/>
              </w:rPr>
              <w:t>Центральный</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18</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27,9136</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30,33</w:t>
            </w:r>
          </w:p>
        </w:tc>
      </w:tr>
      <w:tr>
        <w:trPr>
          <w:cantSplit/>
        </w:trPr>
        <w:tc>
          <w:tcPr>
            <w:tcW w:type="dxa" w:w="4252"/>
            <w:vAlign w:val="center"/>
          </w:tcPr>
          <w:p>
            <w:pPr>
              <w:keepNext w:val="0"/>
              <w:keepLines w:val="0"/>
              <w:spacing w:line="240" w:lineRule="auto" w:before="20" w:after="20"/>
              <w:ind w:firstLine="0"/>
              <w:jc w:val="left"/>
            </w:pPr>
            <w:r>
              <w:rPr>
                <w:rFonts w:ascii="Times New Roman" w:hAnsi="Times New Roman"/>
                <w:b w:val="0"/>
                <w:sz w:val="22"/>
              </w:rPr>
              <w:t>Южный</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8</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15,9613</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17,34</w:t>
            </w:r>
          </w:p>
        </w:tc>
      </w:tr>
      <w:tr>
        <w:trPr>
          <w:cantSplit/>
        </w:trPr>
        <w:tc>
          <w:tcPr>
            <w:tcW w:type="dxa" w:w="4252"/>
            <w:vAlign w:val="center"/>
          </w:tcPr>
          <w:p>
            <w:pPr>
              <w:keepNext w:val="0"/>
              <w:keepLines w:val="0"/>
              <w:spacing w:line="240" w:lineRule="auto" w:before="20" w:after="20"/>
              <w:ind w:firstLine="0"/>
              <w:jc w:val="left"/>
            </w:pPr>
            <w:r>
              <w:rPr>
                <w:rFonts w:ascii="Times New Roman" w:hAnsi="Times New Roman"/>
                <w:b w:val="0"/>
                <w:sz w:val="22"/>
              </w:rPr>
              <w:t>Северо-Западный</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11</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12,8751</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13,99</w:t>
            </w:r>
          </w:p>
        </w:tc>
      </w:tr>
      <w:tr>
        <w:trPr>
          <w:cantSplit/>
        </w:trPr>
        <w:tc>
          <w:tcPr>
            <w:tcW w:type="dxa" w:w="4252"/>
            <w:vAlign w:val="center"/>
          </w:tcPr>
          <w:p>
            <w:pPr>
              <w:keepNext w:val="0"/>
              <w:keepLines w:val="0"/>
              <w:spacing w:line="240" w:lineRule="auto" w:before="20" w:after="20"/>
              <w:ind w:firstLine="0"/>
              <w:jc w:val="left"/>
            </w:pPr>
            <w:r>
              <w:rPr>
                <w:rFonts w:ascii="Times New Roman" w:hAnsi="Times New Roman"/>
                <w:b w:val="0"/>
                <w:sz w:val="22"/>
              </w:rPr>
              <w:t>Приволжский</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14</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12,5676</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13,65</w:t>
            </w:r>
          </w:p>
        </w:tc>
      </w:tr>
      <w:tr>
        <w:trPr>
          <w:cantSplit/>
        </w:trPr>
        <w:tc>
          <w:tcPr>
            <w:tcW w:type="dxa" w:w="4252"/>
            <w:vAlign w:val="center"/>
          </w:tcPr>
          <w:p>
            <w:pPr>
              <w:keepNext w:val="0"/>
              <w:keepLines w:val="0"/>
              <w:spacing w:line="240" w:lineRule="auto" w:before="20" w:after="20"/>
              <w:ind w:firstLine="0"/>
              <w:jc w:val="left"/>
            </w:pPr>
            <w:r>
              <w:rPr>
                <w:rFonts w:ascii="Times New Roman" w:hAnsi="Times New Roman"/>
                <w:b w:val="0"/>
                <w:sz w:val="22"/>
              </w:rPr>
              <w:t>Сибирский</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10</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7,9768</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8,67</w:t>
            </w:r>
          </w:p>
        </w:tc>
      </w:tr>
      <w:tr>
        <w:trPr>
          <w:cantSplit/>
        </w:trPr>
        <w:tc>
          <w:tcPr>
            <w:tcW w:type="dxa" w:w="4252"/>
            <w:vAlign w:val="center"/>
          </w:tcPr>
          <w:p>
            <w:pPr>
              <w:keepNext w:val="0"/>
              <w:keepLines w:val="0"/>
              <w:spacing w:line="240" w:lineRule="auto" w:before="20" w:after="20"/>
              <w:ind w:firstLine="0"/>
              <w:jc w:val="left"/>
            </w:pPr>
            <w:r>
              <w:rPr>
                <w:rFonts w:ascii="Times New Roman" w:hAnsi="Times New Roman"/>
                <w:b w:val="0"/>
                <w:sz w:val="22"/>
              </w:rPr>
              <w:t>Уральский</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6</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6,2040</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6,74</w:t>
            </w:r>
          </w:p>
        </w:tc>
      </w:tr>
      <w:tr>
        <w:trPr>
          <w:cantSplit/>
        </w:trPr>
        <w:tc>
          <w:tcPr>
            <w:tcW w:type="dxa" w:w="4252"/>
            <w:vAlign w:val="center"/>
          </w:tcPr>
          <w:p>
            <w:pPr>
              <w:keepNext w:val="0"/>
              <w:keepLines w:val="0"/>
              <w:spacing w:line="240" w:lineRule="auto" w:before="20" w:after="20"/>
              <w:ind w:firstLine="0"/>
              <w:jc w:val="left"/>
            </w:pPr>
            <w:r>
              <w:rPr>
                <w:rFonts w:ascii="Times New Roman" w:hAnsi="Times New Roman"/>
                <w:b w:val="0"/>
                <w:sz w:val="22"/>
              </w:rPr>
              <w:t>Дальневосточный</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11</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4,9563</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5,38</w:t>
            </w:r>
          </w:p>
        </w:tc>
      </w:tr>
      <w:tr>
        <w:trPr>
          <w:cantSplit/>
        </w:trPr>
        <w:tc>
          <w:tcPr>
            <w:tcW w:type="dxa" w:w="4252"/>
            <w:vAlign w:val="center"/>
          </w:tcPr>
          <w:p>
            <w:pPr>
              <w:keepNext w:val="0"/>
              <w:keepLines w:val="0"/>
              <w:spacing w:line="240" w:lineRule="auto" w:before="20" w:after="20"/>
              <w:ind w:firstLine="0"/>
              <w:jc w:val="left"/>
            </w:pPr>
            <w:r>
              <w:rPr>
                <w:rFonts w:ascii="Times New Roman" w:hAnsi="Times New Roman"/>
                <w:b w:val="0"/>
                <w:sz w:val="22"/>
              </w:rPr>
              <w:t>Северо-Кавказский</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7</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3,5881</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3,90</w:t>
            </w:r>
          </w:p>
        </w:tc>
      </w:tr>
      <w:tr>
        <w:trPr>
          <w:cantSplit/>
        </w:trPr>
        <w:tc>
          <w:tcPr>
            <w:tcW w:type="dxa" w:w="4252"/>
            <w:vAlign w:val="center"/>
          </w:tcPr>
          <w:p>
            <w:pPr>
              <w:keepNext/>
              <w:keepLines w:val="0"/>
              <w:spacing w:line="240" w:lineRule="auto" w:before="20" w:after="20"/>
              <w:ind w:firstLine="0"/>
              <w:jc w:val="left"/>
            </w:pPr>
            <w:r>
              <w:rPr>
                <w:rFonts w:ascii="Times New Roman" w:hAnsi="Times New Roman"/>
                <w:b w:val="0"/>
                <w:sz w:val="22"/>
              </w:rPr>
              <w:t>Всего по наблюдаемым территориям</w:t>
            </w:r>
          </w:p>
        </w:tc>
        <w:tc>
          <w:tcPr>
            <w:tcW w:type="dxa" w:w="1417"/>
            <w:vAlign w:val="center"/>
          </w:tcPr>
          <w:p>
            <w:pPr>
              <w:keepNext/>
              <w:keepLines w:val="0"/>
              <w:spacing w:line="240" w:lineRule="auto" w:before="20" w:after="20"/>
              <w:ind w:firstLine="0"/>
              <w:jc w:val="center"/>
            </w:pPr>
            <w:r>
              <w:rPr>
                <w:rFonts w:ascii="Times New Roman" w:hAnsi="Times New Roman"/>
                <w:b w:val="0"/>
                <w:sz w:val="22"/>
              </w:rPr>
              <w:t>85</w:t>
            </w:r>
          </w:p>
        </w:tc>
        <w:tc>
          <w:tcPr>
            <w:tcW w:type="dxa" w:w="1984"/>
            <w:vAlign w:val="center"/>
          </w:tcPr>
          <w:p>
            <w:pPr>
              <w:keepNext/>
              <w:keepLines w:val="0"/>
              <w:spacing w:line="240" w:lineRule="auto" w:before="20" w:after="20"/>
              <w:ind w:firstLine="0"/>
              <w:jc w:val="center"/>
            </w:pPr>
            <w:r>
              <w:rPr>
                <w:rFonts w:ascii="Times New Roman" w:hAnsi="Times New Roman"/>
                <w:b w:val="0"/>
                <w:sz w:val="22"/>
              </w:rPr>
              <w:t>92,0428</w:t>
            </w:r>
          </w:p>
        </w:tc>
        <w:tc>
          <w:tcPr>
            <w:tcW w:type="dxa" w:w="1984"/>
            <w:vAlign w:val="center"/>
          </w:tcPr>
          <w:p>
            <w:pPr>
              <w:keepNext/>
              <w:keepLines w:val="0"/>
              <w:spacing w:line="240" w:lineRule="auto" w:before="20" w:after="20"/>
              <w:ind w:firstLine="0"/>
              <w:jc w:val="center"/>
            </w:pPr>
            <w:r>
              <w:rPr>
                <w:rFonts w:ascii="Times New Roman" w:hAnsi="Times New Roman"/>
                <w:b w:val="0"/>
                <w:sz w:val="22"/>
              </w:rPr>
              <w:t>100,00</w:t>
            </w:r>
          </w:p>
        </w:tc>
      </w:tr>
    </w:tbl>
    <w:p>
      <w:pPr>
        <w:pStyle w:val="SourceNote"/>
        <w:keepLines/>
        <w:spacing w:before="80" w:after="120"/>
      </w:pPr>
      <w:r>
        <w:rPr>
          <w:rFonts w:ascii="Times New Roman" w:hAnsi="Times New Roman"/>
          <w:b w:val="0"/>
        </w:rPr>
        <w:t xml:space="preserve">Агрегирование 85 территориальных наблюдений. Сумма совпадает с общероссийским итогом без остатка и без повторного включения автономных округов. Неоценённые территории не добавлены как нулевые. Собственные расчёты по ЕМИСС. </w:t>
      </w:r>
      <w:r>
        <w:rPr>
          <w:rStyle w:val="FootnoteReference"/>
        </w:rPr>
        <w:footnoteReference w:id="71"/>
      </w:r>
    </w:p>
    <w:p>
      <w:r>
        <w:rPr>
          <w:rFonts w:ascii="Times New Roman" w:hAnsi="Times New Roman"/>
          <w:b w:val="0"/>
        </w:rPr>
        <w:t>Концентрация поездок означает, что изменение в нескольких крупнейших центрах способно заметно сдвинуть национальный итог, даже если большинство регионов сохраняет прежний масштаб. Высокий объём приёма туристов на территории не свидетельствует об одинаковой доступности поездок для её жителей. Одинаковое число прибытий может создавать различную нагрузку при разной длительности пребывания и сезонном распределении. Для оценки инфраструктурной обеспеченности полезнее сопоставлять ночёвки с доступной вместимостью по месяцам, а для оценки социальной доступности – поездки жителей с их доходами и жизненными обстоятельствами.</w:t>
      </w:r>
    </w:p>
    <w:p>
      <w:r>
        <w:rPr>
          <w:rFonts w:ascii="Times New Roman" w:hAnsi="Times New Roman"/>
          <w:b w:val="0"/>
        </w:rPr>
        <w:t>В настоящем наборе имеется только один достаточно полный сопоставимый региональный признак. Поэтому построение многомерной типологии, главных компонент или кластеров не имело бы содержательного основания. Разбиение субъектов по величине одного показателя лишь переименовало бы интервалы объёма приёма. Дополнение ряда несогласованными по времени переменными затруднило бы интерпретацию. По имеющимся данным можно оценить распределение поездок и их концентрацию, а также определить необходимые дополнительные сведения. Показатели на душу населения не рассчитаны: использование старой численности населения из картографической основы в качестве современного знаменателя создало бы ещё одну несопоставимость.</w:t>
      </w:r>
    </w:p>
    <w:p>
      <w:pPr>
        <w:pStyle w:val="Heading2"/>
      </w:pPr>
      <w:bookmarkStart w:id="29" w:name="sec_28"/>
      <w:r>
        <w:t>4.5 Оценка сезонности по сопоставимым данным</w:t>
      </w:r>
      <w:bookmarkEnd w:id="29"/>
    </w:p>
    <w:p>
      <w:r>
        <w:rPr>
          <w:rFonts w:ascii="Times New Roman" w:hAnsi="Times New Roman"/>
          <w:b w:val="0"/>
        </w:rPr>
        <w:t xml:space="preserve">Накопительные значения позволяют получить отдельный месяц вычитанием соседних итогов лишь при одинаковых правилах и согласованных версиях. В сохранённом ряду 2025 года декабрьский прирост формально составил бы всего 2,0879 млн поездок, поскольку годовой итог 92,0428 млн сопоставляется с ноябрьской оценкой 89,9549 млн. Интерпретировать разность как доказательство резкого зимнего спада нельзя. Методика предусматривает оценочные процедуры и последующие уточнения. Сохранение исторических месячных оценок рядом с более поздним годовым итогом способно искажать полученный остаток. Конкретный механизм такого расхождения в рассматриваемой выгрузке не установлен. </w:t>
      </w:r>
      <w:r>
        <w:rPr>
          <w:rStyle w:val="FootnoteReference"/>
        </w:rPr>
        <w:footnoteReference w:id="72"/>
      </w:r>
    </w:p>
    <w:p>
      <w:r>
        <w:rPr>
          <w:rFonts w:ascii="Times New Roman" w:hAnsi="Times New Roman"/>
          <w:b w:val="0"/>
        </w:rPr>
        <w:t xml:space="preserve">В качестве ограниченного примера использована единая месячная таблица Амурстата за 2025 год по коллективным средствам размещения без субъектов малого предпринимательства. В январе учтено 3165 размещённых лиц, в августе – 5125. Максимум выше январского уровня в 1,62 раза. На июнь–август приходится 27,34% суммы месячных размещений. Ночёвки достигают максимума в августе – 24 415. При этом число отражённых объектов меняется от 30 до 35. Рисунок показывает сезонное распределение показателей опубликованной совокупности. Изменение спроса в неизменной панели гостиниц по нему установить нельзя. </w:t>
      </w:r>
      <w:r>
        <w:rPr>
          <w:rStyle w:val="FootnoteReference"/>
        </w:rPr>
        <w:footnoteReference w:id="73"/>
      </w:r>
    </w:p>
    <w:p>
      <w:pPr>
        <w:keepNext/>
        <w:pageBreakBefore w:val="0"/>
        <w:spacing w:line="240" w:lineRule="auto" w:before="120" w:after="60"/>
        <w:ind w:firstLine="0"/>
        <w:jc w:val="center"/>
      </w:pPr>
      <w:r>
        <w:drawing>
          <wp:inline xmlns:a="http://schemas.openxmlformats.org/drawingml/2006/main" xmlns:pic="http://schemas.openxmlformats.org/drawingml/2006/picture">
            <wp:extent cx="6012000" cy="4509000"/>
            <wp:docPr id="5" name="Picture 5"/>
            <wp:cNvGraphicFramePr>
              <a:graphicFrameLocks noChangeAspect="1"/>
            </wp:cNvGraphicFramePr>
            <a:graphic>
              <a:graphicData uri="http://schemas.openxmlformats.org/drawingml/2006/picture">
                <pic:pic>
                  <pic:nvPicPr>
                    <pic:cNvPr id="0" name="seasonality_amur_2025.png"/>
                    <pic:cNvPicPr/>
                  </pic:nvPicPr>
                  <pic:blipFill>
                    <a:blip r:embed="rId14"/>
                    <a:stretch>
                      <a:fillRect/>
                    </a:stretch>
                  </pic:blipFill>
                  <pic:spPr>
                    <a:xfrm>
                      <a:off x="0" y="0"/>
                      <a:ext cx="6012000" cy="4509000"/>
                    </a:xfrm>
                    <a:prstGeom prst="rect"/>
                  </pic:spPr>
                </pic:pic>
              </a:graphicData>
            </a:graphic>
          </wp:inline>
        </w:drawing>
      </w:r>
    </w:p>
    <w:p>
      <w:pPr>
        <w:pStyle w:val="Caption"/>
        <w:keepNext/>
        <w:spacing w:after="60"/>
      </w:pPr>
      <w:r>
        <w:rPr>
          <w:rFonts w:ascii="Times New Roman" w:hAnsi="Times New Roman"/>
          <w:b w:val="0"/>
        </w:rPr>
        <w:t>Рисунок 5 – Месячная сезонность размещений и ночёвок в Амурской области, 2025 год</w:t>
      </w:r>
    </w:p>
    <w:p>
      <w:pPr>
        <w:pStyle w:val="SourceNote"/>
        <w:keepLines/>
        <w:spacing w:after="140"/>
      </w:pPr>
      <w:r>
        <w:rPr>
          <w:rFonts w:ascii="Times New Roman" w:hAnsi="Times New Roman"/>
          <w:b w:val="0"/>
        </w:rPr>
        <w:t xml:space="preserve">Коллективные средства размещения, за исключением субъектов малого предпринимательства. Число отражённых средств размещения менялось от 30 до 35. Панель объектов непостоянна. Показаны отдельные месяцы одного опубликованного ряда, без вычитания накопительных оценок. Пример не характеризует сезонность всей России. </w:t>
      </w:r>
      <w:r>
        <w:rPr>
          <w:rStyle w:val="FootnoteReference"/>
        </w:rPr>
        <w:footnoteReference w:id="74"/>
      </w:r>
    </w:p>
    <w:p>
      <w:r>
        <w:rPr>
          <w:rFonts w:ascii="Times New Roman" w:hAnsi="Times New Roman"/>
          <w:b w:val="0"/>
        </w:rPr>
        <w:t>Локальный пример позволяет уточнить требования к данным. Рост прибытий не обязан сопровождаться пропорциональным ростом ночёвок, поскольку меняется продолжительность пребывания. Для гостиничного бизнеса и коммунальной инфраструктуры эти различия существенны: короткие заезды увеличивают число операций приёма, тогда как длинные – длительность использования мест. Однако из приведённого примера нельзя вывести сезонность России, всех средств размещения Амурской области или морских курортов. Малые объекты исключены, а география и структура путешествий ограничены одним субъектом.</w:t>
      </w:r>
    </w:p>
    <w:p>
      <w:r>
        <w:rPr>
          <w:rFonts w:ascii="Times New Roman" w:hAnsi="Times New Roman"/>
          <w:b w:val="0"/>
        </w:rPr>
        <w:t>Цель круглогодичного использования инфраструктуры требует нескольких лет месячных данных с устойчивым охватом. Её достижение можно проверять по доле ночёвок вне пикового сезона, загрузке доступных мест и числу месяцев фактической работы объектов. Увеличение зимнего предложения без соответствующего спроса не тождественно росту круглогодичной устойчивости. Равным образом рост межсезонных прибытий может отражать короткие деловые поездки и не компенсировать потерю длительных летних размещений. Предположения о загрузке и составе межсезонного спроса требуют проверки в последующем мониторинге. По одному годовому итогу их подтвердить нельзя.</w:t>
      </w:r>
    </w:p>
    <w:p>
      <w:pPr>
        <w:pStyle w:val="Heading2"/>
      </w:pPr>
      <w:bookmarkStart w:id="30" w:name="sec_29"/>
      <w:r>
        <w:t>4.6 Доступность путешествий и демографическое измерение</w:t>
      </w:r>
      <w:bookmarkEnd w:id="30"/>
    </w:p>
    <w:p>
      <w:r>
        <w:rPr>
          <w:rFonts w:ascii="Times New Roman" w:hAnsi="Times New Roman"/>
          <w:b w:val="0"/>
        </w:rPr>
        <w:t xml:space="preserve">Опрос ФОМ в июле 2026 года даёт отдельное представление об участии населения: 23% взрослых сообщили о поездке на отдых в другой регион России менее года назад, 47% – более года назад, 29% никогда таких поездок не совершали. Финансовые причины отсутствия поездок назвали 34% всех опрошенных. Вопрос о причинах задавался только соответствующей части выборки, однако опубликованный знаменатель – все респонденты. Опрос охватывает взрослых и межрегиональный отдых, поэтому его результат не измеряет все виды путешествий и не подменяет паспортный индекс удовлетворённости граждан в сфере туризма и гостеприимства. </w:t>
      </w:r>
      <w:r>
        <w:rPr>
          <w:rStyle w:val="FootnoteReference"/>
        </w:rPr>
        <w:footnoteReference w:id="75"/>
      </w:r>
    </w:p>
    <w:p>
      <w:r>
        <w:rPr>
          <w:rFonts w:ascii="Times New Roman" w:hAnsi="Times New Roman"/>
          <w:b w:val="0"/>
        </w:rPr>
        <w:t xml:space="preserve">Динамика опубликованных июльских волн показывает 20% недавних участников в 2022 году, 21% в 2023 и 2024 годах и 23% в 2026 году. В таблице источника нет волны 2025 года. Небольшую разность последних значений не следует объявлять статистически доказанным улучшением: заявленная максимальная погрешность опроса 2026 года составляет 3,6 процентного пункта, а полноценная проверка различий требует параметров каждой волны. Приведённые значения также не обеспечивают причинного вывода о воздействии проекта, начавшегося в 2025 году. </w:t>
      </w:r>
      <w:r>
        <w:rPr>
          <w:rStyle w:val="FootnoteReference"/>
        </w:rPr>
        <w:footnoteReference w:id="76"/>
      </w:r>
    </w:p>
    <w:p>
      <w:pPr>
        <w:keepNext/>
        <w:pageBreakBefore w:val="0"/>
        <w:spacing w:line="240" w:lineRule="auto" w:before="120" w:after="60"/>
        <w:ind w:firstLine="0"/>
        <w:jc w:val="center"/>
      </w:pPr>
      <w:r>
        <w:drawing>
          <wp:inline xmlns:a="http://schemas.openxmlformats.org/drawingml/2006/main" xmlns:pic="http://schemas.openxmlformats.org/drawingml/2006/picture">
            <wp:extent cx="6012000" cy="3134829"/>
            <wp:docPr id="6" name="Picture 6"/>
            <wp:cNvGraphicFramePr>
              <a:graphicFrameLocks noChangeAspect="1"/>
            </wp:cNvGraphicFramePr>
            <a:graphic>
              <a:graphicData uri="http://schemas.openxmlformats.org/drawingml/2006/picture">
                <pic:pic>
                  <pic:nvPicPr>
                    <pic:cNvPr id="0" name="travel_participation_survey.png"/>
                    <pic:cNvPicPr/>
                  </pic:nvPicPr>
                  <pic:blipFill>
                    <a:blip r:embed="rId15"/>
                    <a:stretch>
                      <a:fillRect/>
                    </a:stretch>
                  </pic:blipFill>
                  <pic:spPr>
                    <a:xfrm>
                      <a:off x="0" y="0"/>
                      <a:ext cx="6012000" cy="3134829"/>
                    </a:xfrm>
                    <a:prstGeom prst="rect"/>
                  </pic:spPr>
                </pic:pic>
              </a:graphicData>
            </a:graphic>
          </wp:inline>
        </w:drawing>
      </w:r>
    </w:p>
    <w:p>
      <w:pPr>
        <w:pStyle w:val="Caption"/>
        <w:keepNext/>
        <w:spacing w:after="60"/>
      </w:pPr>
      <w:r>
        <w:rPr>
          <w:rFonts w:ascii="Times New Roman" w:hAnsi="Times New Roman"/>
          <w:b w:val="0"/>
        </w:rPr>
        <w:t>Рисунок 6 – Участие взрослых в межрегиональных поездках на отдых: опубликованные волны опроса ФОМ</w:t>
      </w:r>
    </w:p>
    <w:p>
      <w:pPr>
        <w:pStyle w:val="SourceNote"/>
        <w:keepLines/>
        <w:spacing w:after="140"/>
      </w:pPr>
      <w:r>
        <w:rPr>
          <w:rFonts w:ascii="Times New Roman" w:hAnsi="Times New Roman"/>
          <w:b w:val="0"/>
        </w:rPr>
        <w:t xml:space="preserve">Доли опрошенных 18 лет и старше. Поездки на отдых в другие регионы России. Опрос июля 2026 года: 1500 человек, максимальная заявленная погрешность 3,6 процентного пункта. Волна 2025 года отсутствует. Малые различия между волнами не доказывают статистически значимого изменения. </w:t>
      </w:r>
      <w:r>
        <w:rPr>
          <w:rStyle w:val="FootnoteReference"/>
        </w:rPr>
        <w:footnoteReference w:id="77"/>
      </w:r>
    </w:p>
    <w:p>
      <w:r>
        <w:rPr>
          <w:rFonts w:ascii="Times New Roman" w:hAnsi="Times New Roman"/>
          <w:b w:val="0"/>
        </w:rPr>
        <w:t xml:space="preserve">Демографический анализ требует аккуратного выбора знаменателя. В опросе ФОМ июня 2025 года 77% респондентов старше 60 лет сообщили, что не работают и не имеют отпуска как такового. Среди людей 31–45 лет эта доля составляла 14%. Различие описывает трудовой статус и институт оплачиваемого отпуска. Оно не означает, что 77% старших респондентов лишены возможности путешествовать. Показатель трудового отпуска нельзя применять ко всему населению как универсальный индикатор доступа к отдыху. </w:t>
      </w:r>
      <w:r>
        <w:rPr>
          <w:rStyle w:val="FootnoteReference"/>
        </w:rPr>
        <w:footnoteReference w:id="78"/>
      </w:r>
    </w:p>
    <w:p>
      <w:r>
        <w:rPr>
          <w:rFonts w:ascii="Times New Roman" w:hAnsi="Times New Roman"/>
          <w:b w:val="0"/>
        </w:rPr>
        <w:t>Для семей с детьми важны совместимость дат поездки с учебным календарём, общая стоимость нескольких билетов и наличие подходящего размещения. Для старших возрастов существенными могут быть состояние здоровья, удобство маршрута и сопровождение. Для сельских жителей и удалённых населённых пунктов путь до места отправления может составлять самостоятельную часть путешествия. Перечисленные обстоятельства требуют проверки, но имеющиеся агрегаты не позволяют ранжировать группы по степени ограничений. Следовательно, рекомендации по субсидиям конкретным категориям должны опираться на обследование потребностей и фактического использования. Предположения о типичном туристе для этого недостаточны.</w:t>
      </w:r>
    </w:p>
    <w:p>
      <w:r>
        <w:rPr>
          <w:rFonts w:ascii="Times New Roman" w:hAnsi="Times New Roman"/>
          <w:b w:val="0"/>
        </w:rPr>
        <w:t>Доступность целесообразно оценивать через стоимость сопоставимой поездки относительно располагаемых ресурсов домохозяйства. В такую корзину должны входить дорога, размещение, питание и обязательные расходы, а период и состав путешественников необходимо фиксировать. Средняя стоимость проданных туров без поправки на длительность и качество продукта неоднозначна: она может вырасти вследствие удорожания одинаковой услуги либо выбора более дорогих поездок. Аналогично средняя цена номера не описывает полную стоимость семейного отдыха. В исследуемых рядах сопоставимой корзины нет, поэтому утверждение о снижении или повышении общей доступности по отраслевому обороту не делается.</w:t>
      </w:r>
    </w:p>
    <w:p>
      <w:r>
        <w:rPr>
          <w:rFonts w:ascii="Times New Roman" w:hAnsi="Times New Roman"/>
          <w:b w:val="0"/>
        </w:rPr>
        <w:t>Наблюдаемая доля никогда не ездивших в другие регионы также требует уточнения состава группы. В неё могут входить люди, предпочитающие отдых рядом с домом, имеющие ограничения здоровья, недостаток денег или иные обстоятельства. Сам вопрос не отделяет вынужденное исключение от свободного выбора. Для социальной оценки полезно наблюдать желание совершить поездку, причины отказа и возможность воспользоваться подходящим предложением. Тогда можно отличить расширение реальных возможностей от увеличения числа поездок у уже мобильной части населения. Наблюдение за потребностями и причинами отказа дополнило бы показатели отраслевого объёма без механического смешения их единиц.</w:t>
      </w:r>
    </w:p>
    <w:p>
      <w:pPr>
        <w:pStyle w:val="Heading2"/>
      </w:pPr>
      <w:bookmarkStart w:id="31" w:name="sec_30"/>
      <w:r>
        <w:t>4.7 Курортные риски и интерпретация территориальных изменений</w:t>
      </w:r>
      <w:bookmarkEnd w:id="31"/>
    </w:p>
    <w:p>
      <w:r>
        <w:rPr>
          <w:rFonts w:ascii="Times New Roman" w:hAnsi="Times New Roman"/>
          <w:b w:val="0"/>
        </w:rPr>
        <w:t xml:space="preserve">Результаты 2025–2026 годов формировались в условиях локальных рисков, которые общероссийский ряд способен сглаживать. В официальном сообщении августа 2026 года Минэкономразвития отмечено восстановление Анапы после спада предыдущего года. В сентябре агентство «Прайм» со ссылкой на Правительство сообщило о разрешительных документах Роспотребнадзора для 115 пляжей Анапы в сезоне 2026 года после работ по ликвидации последствий крушения танкеров. Опубликованные сведения подтверждают существенность санитарной и экологической доступности курорта, но не устанавливают величину потерь поездок или вклад конкретного инструмента национального проекта в восстановление. </w:t>
      </w:r>
      <w:r>
        <w:rPr>
          <w:rStyle w:val="FootnoteReference"/>
        </w:rPr>
        <w:footnoteReference w:id="79"/>
      </w:r>
    </w:p>
    <w:p>
      <w:r>
        <w:rPr>
          <w:rFonts w:ascii="Times New Roman" w:hAnsi="Times New Roman"/>
          <w:b w:val="0"/>
        </w:rPr>
        <w:t>Разрешение на эксплуатацию, фактическое открытие объекта и возвращение спроса представляют разные события. Даже при устранении ограничений могут сохраняться изменения ожиданий путешественников, сроков бронирования и выбора направления. Возможные изменения необходимо проверять по данным. Совпадение дат само по себе их не подтверждает. Для курортной территории полезны месячные сведения о действующих объектах, отменах бронирований, длительности пребывания и ночёвках. Годовой показатель по всему Краснодарскому краю слишком широк, чтобы самостоятельно выделить эффект ситуации в одном муниципалитете.</w:t>
      </w:r>
    </w:p>
    <w:p>
      <w:r>
        <w:rPr>
          <w:rFonts w:ascii="Times New Roman" w:hAnsi="Times New Roman"/>
          <w:b w:val="0"/>
        </w:rPr>
        <w:t>Перераспределение путешественников между направлениями также требует особой интерпретации. Рост в принимающем регионе может сопровождаться потерями другого региона, не увеличивая общую доступность отдыха и совокупное число путешествующих людей. Для проектов новых точек притяжения необходимо различать дополнительный спрос и его территориальный перенос. Новая локальная занятость или снижение нагрузки на перегруженный курорт могут быть самостоятельными результатами регионального развития. Их следует оценивать собственными показателями. Каждая новая поездка не обязательно увеличивает совокупный объём национального туризма.</w:t>
      </w:r>
    </w:p>
    <w:p>
      <w:pPr>
        <w:pStyle w:val="Heading2"/>
      </w:pPr>
      <w:bookmarkStart w:id="32" w:name="sec_31"/>
      <w:r>
        <w:t>4.8 Выводы и требования к оценке воздействия</w:t>
      </w:r>
      <w:bookmarkEnd w:id="32"/>
    </w:p>
    <w:p>
      <w:r>
        <w:rPr>
          <w:rFonts w:ascii="Times New Roman" w:hAnsi="Times New Roman"/>
          <w:b w:val="0"/>
        </w:rPr>
        <w:t>Доступная база позволяет проверить годовой объём поездок, распределение приёма по 85 территориям, опубликованный запас классифицированных номеров и несколько условных сопоставлений с выбранной редакцией целей. Она также обнаруживает конкретные проблемы согласования версий и показывает, почему рост отраслевых объёмов недостаточен для вывода о всеобщем расширении возможностей путешествовать. Наиболее устойчивыми результатами анализа являются территориальная концентрация годового приёма и различие между физическими объёмами, зарегистрированным предложением и участием населения.</w:t>
      </w:r>
    </w:p>
    <w:p>
      <w:r>
        <w:rPr>
          <w:rFonts w:ascii="Times New Roman" w:hAnsi="Times New Roman"/>
          <w:b w:val="0"/>
        </w:rPr>
        <w:t>Для оценки воздействия национального проекта нужны сведения о получателях поддержки, сроках ввода и фактической эксплуатации объектов, величине помощи и сопоставимых территориях либо организациях без поддержки. Временная последовательность «мера – рост» сама по себе не определяет причинность. Программа может направлять ресурсы туда, где спрос уже рос, либо, наоборот, туда, где ожидался спад. Без учёта такого отбора простая корреляция финансирования и поездок будет неоднозначна. Наблюдение до начала поддержки и после неё, проверка предшествующих тенденций и прозрачное описание сравниваемых групп сделали бы оценку существенно убедительнее.</w:t>
      </w:r>
    </w:p>
    <w:p>
      <w:r>
        <w:rPr>
          <w:rFonts w:ascii="Times New Roman" w:hAnsi="Times New Roman"/>
          <w:b w:val="0"/>
        </w:rPr>
        <w:t>Приоритет ближайшего мониторинга – согласование версий факта, восстановление месячной сезонности в едином охвате и добавление измерений доступности по группам населения. Для инфраструктуры нужны работающая вместимость и использование по сезонам, для социальных результатов – участие уникальных людей и причины отказа от желаемой поездки, для территорий – различение приёма и путешествий местных жителей. Дополнение мониторинга позволит установить, какие государственные меры расширяют предложение, кому они помогают воспользоваться отдыхом и насколько устойчив полученный эффект.</w:t>
      </w:r>
    </w:p>
    <w:p>
      <w:pPr>
        <w:pStyle w:val="Heading1"/>
      </w:pPr>
      <w:bookmarkStart w:id="33" w:name="sec_32"/>
      <w:r>
        <w:t>5 Финансовое обеспечение и стоимость дополнительных результатов</w:t>
      </w:r>
      <w:bookmarkEnd w:id="33"/>
    </w:p>
    <w:p>
      <w:pPr>
        <w:pStyle w:val="Heading2"/>
      </w:pPr>
      <w:bookmarkStart w:id="34" w:name="sec_33"/>
      <w:r>
        <w:t>5.1 Состав учитываемых расходов</w:t>
      </w:r>
      <w:bookmarkEnd w:id="34"/>
    </w:p>
    <w:p>
      <w:r>
        <w:rPr>
          <w:rFonts w:ascii="Times New Roman" w:hAnsi="Times New Roman"/>
          <w:b w:val="0"/>
        </w:rPr>
        <w:t xml:space="preserve">Финансирование национального проекта «Туризм и гостеприимство» включает федеральные субсидии, региональные расходы, капитализацию институтов развития и предполагаемые внебюджетные вложения. Поэтому его стоимость нельзя определять единственным числом без указания состава источников и правил консолидации. В открытом представлении паспорта арифметическая сумма финансовых строк на 2025–2030 годы составляет 1 787,964 млрд рублей. Однако проверка первичного паспорта выявляет включение федеральных трансфертов в региональные бюджетные строки. Названная сумма характеризует опубликованную совокупность стоимостных записей. Она не удостоверяет объём консолидированных расходов и тем более фактически осуществлённых инвестиций. </w:t>
      </w:r>
      <w:r>
        <w:rPr>
          <w:rStyle w:val="FootnoteReference"/>
        </w:rPr>
        <w:footnoteReference w:id="80"/>
      </w:r>
    </w:p>
    <w:p>
      <w:r>
        <w:rPr>
          <w:rFonts w:ascii="Times New Roman" w:hAnsi="Times New Roman"/>
          <w:b w:val="0"/>
        </w:rPr>
        <w:t xml:space="preserve">Оценка выполнена по состоянию на 29 октября 2026 года. Для анализа структуры использованы представления паспорта НП версии 26.23 и пяти федеральных проектов, обновлённые 16 октября 2026 года. Дата обновления веб-представления не приравнивается к дате утверждения паспорта. Для бюджетной динамики использована пояснительная записка к законопроекту № 615-9: колонка 2026 года отражает сводную бюджетную роспись на 1 сентября, а колонки 2027–2029 годов – бюджетные предложения. Для исполнения применено предварительное сообщение Минфина на 1 октября 2026 года. Паспорт, законопроект и сообщение об исполнении относятся к различным стадиям бюджетного процесса и не образуют взаимозаменяемые оценки одной величины. </w:t>
      </w:r>
      <w:r>
        <w:rPr>
          <w:rStyle w:val="FootnoteReference"/>
        </w:rPr>
        <w:footnoteReference w:id="81"/>
      </w:r>
    </w:p>
    <w:p>
      <w:r>
        <w:rPr>
          <w:rFonts w:ascii="Times New Roman" w:hAnsi="Times New Roman"/>
          <w:b w:val="0"/>
        </w:rPr>
        <w:t>Предмет экономической экспертизы шире проверки арифметики. Необходимо установить, какой дополнительный результат приобретается за государственные средства, как распределяются инвестиционные риски и какие обязательства сохраняются после ввода объектов. Бюджетная выплата, предоставленный банком кредит, вклад инвестора в проект и стоимость построенного имущества представляют разные операции. Их сложение без прослеживания движения средств создаёт повторный счёт. Аналогично перечисление субсидии подтверждает финансовую операцию, но само по себе не доказывает появление дополнительных ночёвок, рост производительности или увеличение добавленной стоимости туризма.</w:t>
      </w:r>
    </w:p>
    <w:p>
      <w:pPr>
        <w:pStyle w:val="Heading2"/>
      </w:pPr>
      <w:bookmarkStart w:id="35" w:name="sec_34"/>
      <w:r>
        <w:t>5.2 Межбюджетные трансферты и границы консолидации</w:t>
      </w:r>
      <w:bookmarkEnd w:id="35"/>
    </w:p>
    <w:p>
      <w:r>
        <w:rPr>
          <w:rFonts w:ascii="Times New Roman" w:hAnsi="Times New Roman"/>
          <w:b w:val="0"/>
        </w:rPr>
        <w:t xml:space="preserve">Принцип исключения трансфертов непосредственно виден в первичном PDF паспорта, опубликованном Поволжским государственным университетом физической культуры, спорта и туризма. В этой ранней редакции по проекту создания номерного фонда указаны 308,8718541 млрд рублей федерального финансирования, 121,2519172 млрд региональных бюджетов и 162,8571426 млрд внебюджетных источников. Простая сумма равна 592,9809139 млрд. Опубликованный итог проекта составляет 475,2106768 млрд: разница 117,7702371 млрд точно соответствует межбюджетным трансфертам, выделенным внутри федеральной строки. Они обеспечивают региональные расходы и исключаются при переходе к консолидированному итогу. </w:t>
      </w:r>
      <w:r>
        <w:rPr>
          <w:rStyle w:val="FootnoteReference"/>
        </w:rPr>
        <w:footnoteReference w:id="82"/>
      </w:r>
    </w:p>
    <w:p>
      <w:r>
        <w:rPr>
          <w:rFonts w:ascii="Times New Roman" w:hAnsi="Times New Roman"/>
          <w:b w:val="0"/>
        </w:rPr>
        <w:t xml:space="preserve">Та же проверка воспроизводится на уровне всего национального проекта этой редакции. Федеральная строка равна 444,8534541 млрд рублей, региональная – 174,2519172 млрд, внебюджетная – 162,8571426 млрд. Арифметическая сумма 781,9625139 млрд превышает опубликованный итог 612,1922768 млрд на 169,7702371 млрд. Вычет складывается из 117,7702371 млрд трансфертов по номерному фонду и 52 млрд по морским курортам. Следовательно, региональную строку нельзя интерпретировать как собственное софинансирование субъектов Федерации. Для такого вывода требуется предварительно убрать поступающие из федерального бюджета средства. </w:t>
      </w:r>
      <w:r>
        <w:rPr>
          <w:rStyle w:val="FootnoteReference"/>
        </w:rPr>
        <w:footnoteReference w:id="83"/>
      </w:r>
    </w:p>
    <w:p>
      <w:r>
        <w:rPr>
          <w:rFonts w:ascii="Times New Roman" w:hAnsi="Times New Roman"/>
          <w:b w:val="0"/>
        </w:rPr>
        <w:t xml:space="preserve">Сопоставимый частный пример присутствует и в редакции 2026 года. По модульным средствам размещения на 2026 год раскрыты 5,6162505 млрд рублей консолидированных региональных бюджетов и 5,3499455 млрд в подстроке перечислений бюджетам субъектов. Остаток собственных региональных средств составляет 0,266305 млрд. Сложение первых двух сумм дало бы 10,966196 млрд и повторно включило бы федеральный трансферт. Корректная бюджетная стоимость рассмотренной операции составляет 5,6162505 млрд. Полную стоимость инвестиционных проектов с учётом частных средств по ней определить нельзя. </w:t>
      </w:r>
      <w:r>
        <w:rPr>
          <w:rStyle w:val="FootnoteReference"/>
        </w:rPr>
        <w:footnoteReference w:id="84"/>
      </w:r>
    </w:p>
    <w:p>
      <w:r>
        <w:rPr>
          <w:rFonts w:ascii="Times New Roman" w:hAnsi="Times New Roman"/>
          <w:b w:val="0"/>
        </w:rPr>
        <w:t>Расчёт по модульным средствам размещения доказывает необходимость консолидации, но не позволяет автоматически вычислить чистый итог текущего национального проекта. Полная сопоставимая ведомость исключаемых трансфертов за 2025–2030 годы в открытом представлении не раскрыта. В частности, отдельные подстроки результатов содержат значения только для части лет, а в некоторых случаях их суммы не согласуются с соседними агрегатами. Вычитать из редакции 2026 года трансферты раннего PDF означало бы объединить сведения о разных редакциях бюджета. Поэтому текущий консолидированный итог здесь не оценивается, а все доли, рассчитанные от 1 787,964 млрд, обозначаются как условная структура опубликованной арифметической суммы.</w:t>
      </w:r>
    </w:p>
    <w:p>
      <w:pPr>
        <w:pStyle w:val="Caption"/>
        <w:keepNext/>
      </w:pPr>
      <w:r>
        <w:rPr>
          <w:rFonts w:ascii="Times New Roman" w:hAnsi="Times New Roman"/>
          <w:b w:val="0"/>
        </w:rPr>
        <w:t>Таблица 7 – Исключение межбюджетных оборотов: два документально проверяемых примера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4195"/>
        <w:gridCol w:w="2721"/>
        <w:gridCol w:w="2721"/>
      </w:tblGrid>
      <w:tr>
        <w:trPr>
          <w:cantSplit/>
          <w:tblHeader w:val="true"/>
        </w:trPr>
        <w:tc>
          <w:tcPr>
            <w:tcW w:type="dxa" w:w="4195"/>
            <w:vAlign w:val="center"/>
            <w:shd w:val="clear" w:fill="FFFFFF"/>
          </w:tcPr>
          <w:p>
            <w:pPr>
              <w:keepNext w:val="0"/>
              <w:keepLines w:val="0"/>
              <w:spacing w:line="240" w:lineRule="auto" w:before="20" w:after="20"/>
              <w:ind w:firstLine="0"/>
              <w:jc w:val="center"/>
            </w:pPr>
            <w:r>
              <w:rPr>
                <w:rFonts w:ascii="Times New Roman" w:hAnsi="Times New Roman"/>
                <w:b/>
                <w:sz w:val="22"/>
              </w:rPr>
              <w:t>Операция, млрд руб.</w:t>
            </w:r>
          </w:p>
        </w:tc>
        <w:tc>
          <w:tcPr>
            <w:tcW w:type="dxa" w:w="2721"/>
            <w:vAlign w:val="center"/>
            <w:shd w:val="clear" w:fill="FFFFFF"/>
          </w:tcPr>
          <w:p>
            <w:pPr>
              <w:keepNext w:val="0"/>
              <w:keepLines w:val="0"/>
              <w:spacing w:line="240" w:lineRule="auto" w:before="20" w:after="20"/>
              <w:ind w:firstLine="0"/>
              <w:jc w:val="center"/>
            </w:pPr>
            <w:r>
              <w:rPr>
                <w:rFonts w:ascii="Times New Roman" w:hAnsi="Times New Roman"/>
                <w:b/>
                <w:sz w:val="22"/>
              </w:rPr>
              <w:t>НП, ранний PDF: 2025–2030</w:t>
            </w:r>
          </w:p>
        </w:tc>
        <w:tc>
          <w:tcPr>
            <w:tcW w:type="dxa" w:w="2721"/>
            <w:vAlign w:val="center"/>
            <w:shd w:val="clear" w:fill="FFFFFF"/>
          </w:tcPr>
          <w:p>
            <w:pPr>
              <w:keepNext w:val="0"/>
              <w:keepLines w:val="0"/>
              <w:spacing w:line="240" w:lineRule="auto" w:before="20" w:after="20"/>
              <w:ind w:firstLine="0"/>
              <w:jc w:val="center"/>
            </w:pPr>
            <w:r>
              <w:rPr>
                <w:rFonts w:ascii="Times New Roman" w:hAnsi="Times New Roman"/>
                <w:b/>
                <w:sz w:val="22"/>
              </w:rPr>
              <w:t>Модульные гостиницы, версия 26.28: 2026</w:t>
            </w:r>
          </w:p>
        </w:tc>
      </w:tr>
      <w:tr>
        <w:trPr>
          <w:cantSplit/>
        </w:trPr>
        <w:tc>
          <w:tcPr>
            <w:tcW w:type="dxa" w:w="4195"/>
            <w:vAlign w:val="center"/>
          </w:tcPr>
          <w:p>
            <w:pPr>
              <w:keepNext w:val="0"/>
              <w:keepLines w:val="0"/>
              <w:spacing w:line="240" w:lineRule="auto" w:before="20" w:after="20"/>
              <w:ind w:firstLine="0"/>
              <w:jc w:val="left"/>
            </w:pPr>
            <w:r>
              <w:rPr>
                <w:rFonts w:ascii="Times New Roman" w:hAnsi="Times New Roman"/>
                <w:b w:val="0"/>
                <w:sz w:val="22"/>
              </w:rPr>
              <w:t>Федеральный бюджет</w:t>
            </w:r>
          </w:p>
        </w:tc>
        <w:tc>
          <w:tcPr>
            <w:tcW w:type="dxa" w:w="2721"/>
            <w:vAlign w:val="center"/>
          </w:tcPr>
          <w:p>
            <w:pPr>
              <w:keepNext w:val="0"/>
              <w:keepLines w:val="0"/>
              <w:spacing w:line="240" w:lineRule="auto" w:before="20" w:after="20"/>
              <w:ind w:firstLine="0"/>
              <w:jc w:val="center"/>
            </w:pPr>
            <w:r>
              <w:rPr>
                <w:rFonts w:ascii="Times New Roman" w:hAnsi="Times New Roman"/>
                <w:b w:val="0"/>
                <w:sz w:val="22"/>
              </w:rPr>
              <w:t>444,8534541</w:t>
            </w:r>
          </w:p>
        </w:tc>
        <w:tc>
          <w:tcPr>
            <w:tcW w:type="dxa" w:w="2721"/>
            <w:vAlign w:val="center"/>
          </w:tcPr>
          <w:p>
            <w:pPr>
              <w:keepNext w:val="0"/>
              <w:keepLines w:val="0"/>
              <w:spacing w:line="240" w:lineRule="auto" w:before="20" w:after="20"/>
              <w:ind w:firstLine="0"/>
              <w:jc w:val="center"/>
            </w:pPr>
            <w:r>
              <w:rPr>
                <w:rFonts w:ascii="Times New Roman" w:hAnsi="Times New Roman"/>
                <w:b w:val="0"/>
                <w:sz w:val="22"/>
              </w:rPr>
              <w:t>5,3499455</w:t>
            </w:r>
          </w:p>
        </w:tc>
      </w:tr>
      <w:tr>
        <w:trPr>
          <w:cantSplit/>
        </w:trPr>
        <w:tc>
          <w:tcPr>
            <w:tcW w:type="dxa" w:w="4195"/>
            <w:vAlign w:val="center"/>
          </w:tcPr>
          <w:p>
            <w:pPr>
              <w:keepNext w:val="0"/>
              <w:keepLines w:val="0"/>
              <w:spacing w:line="240" w:lineRule="auto" w:before="20" w:after="20"/>
              <w:ind w:firstLine="0"/>
              <w:jc w:val="left"/>
            </w:pPr>
            <w:r>
              <w:rPr>
                <w:rFonts w:ascii="Times New Roman" w:hAnsi="Times New Roman"/>
                <w:b w:val="0"/>
                <w:sz w:val="22"/>
              </w:rPr>
              <w:t>Региональные бюджеты, включая трансферты</w:t>
            </w:r>
          </w:p>
        </w:tc>
        <w:tc>
          <w:tcPr>
            <w:tcW w:type="dxa" w:w="2721"/>
            <w:vAlign w:val="center"/>
          </w:tcPr>
          <w:p>
            <w:pPr>
              <w:keepNext w:val="0"/>
              <w:keepLines w:val="0"/>
              <w:spacing w:line="240" w:lineRule="auto" w:before="20" w:after="20"/>
              <w:ind w:firstLine="0"/>
              <w:jc w:val="center"/>
            </w:pPr>
            <w:r>
              <w:rPr>
                <w:rFonts w:ascii="Times New Roman" w:hAnsi="Times New Roman"/>
                <w:b w:val="0"/>
                <w:sz w:val="22"/>
              </w:rPr>
              <w:t>174,2519172</w:t>
            </w:r>
          </w:p>
        </w:tc>
        <w:tc>
          <w:tcPr>
            <w:tcW w:type="dxa" w:w="2721"/>
            <w:vAlign w:val="center"/>
          </w:tcPr>
          <w:p>
            <w:pPr>
              <w:keepNext w:val="0"/>
              <w:keepLines w:val="0"/>
              <w:spacing w:line="240" w:lineRule="auto" w:before="20" w:after="20"/>
              <w:ind w:firstLine="0"/>
              <w:jc w:val="center"/>
            </w:pPr>
            <w:r>
              <w:rPr>
                <w:rFonts w:ascii="Times New Roman" w:hAnsi="Times New Roman"/>
                <w:b w:val="0"/>
                <w:sz w:val="22"/>
              </w:rPr>
              <w:t>5,6162505</w:t>
            </w:r>
          </w:p>
        </w:tc>
      </w:tr>
      <w:tr>
        <w:trPr>
          <w:cantSplit/>
        </w:trPr>
        <w:tc>
          <w:tcPr>
            <w:tcW w:type="dxa" w:w="4195"/>
            <w:vAlign w:val="center"/>
          </w:tcPr>
          <w:p>
            <w:pPr>
              <w:keepNext w:val="0"/>
              <w:keepLines w:val="0"/>
              <w:spacing w:line="240" w:lineRule="auto" w:before="20" w:after="20"/>
              <w:ind w:firstLine="0"/>
              <w:jc w:val="left"/>
            </w:pPr>
            <w:r>
              <w:rPr>
                <w:rFonts w:ascii="Times New Roman" w:hAnsi="Times New Roman"/>
                <w:b w:val="0"/>
                <w:sz w:val="22"/>
              </w:rPr>
              <w:t>Арифметическая сумма двух бюджетных строк</w:t>
            </w:r>
          </w:p>
        </w:tc>
        <w:tc>
          <w:tcPr>
            <w:tcW w:type="dxa" w:w="2721"/>
            <w:vAlign w:val="center"/>
          </w:tcPr>
          <w:p>
            <w:pPr>
              <w:keepNext w:val="0"/>
              <w:keepLines w:val="0"/>
              <w:spacing w:line="240" w:lineRule="auto" w:before="20" w:after="20"/>
              <w:ind w:firstLine="0"/>
              <w:jc w:val="center"/>
            </w:pPr>
            <w:r>
              <w:rPr>
                <w:rFonts w:ascii="Times New Roman" w:hAnsi="Times New Roman"/>
                <w:b w:val="0"/>
                <w:sz w:val="22"/>
              </w:rPr>
              <w:t>619,1053713</w:t>
            </w:r>
          </w:p>
        </w:tc>
        <w:tc>
          <w:tcPr>
            <w:tcW w:type="dxa" w:w="2721"/>
            <w:vAlign w:val="center"/>
          </w:tcPr>
          <w:p>
            <w:pPr>
              <w:keepNext w:val="0"/>
              <w:keepLines w:val="0"/>
              <w:spacing w:line="240" w:lineRule="auto" w:before="20" w:after="20"/>
              <w:ind w:firstLine="0"/>
              <w:jc w:val="center"/>
            </w:pPr>
            <w:r>
              <w:rPr>
                <w:rFonts w:ascii="Times New Roman" w:hAnsi="Times New Roman"/>
                <w:b w:val="0"/>
                <w:sz w:val="22"/>
              </w:rPr>
              <w:t>10,9661960</w:t>
            </w:r>
          </w:p>
        </w:tc>
      </w:tr>
      <w:tr>
        <w:trPr>
          <w:cantSplit/>
        </w:trPr>
        <w:tc>
          <w:tcPr>
            <w:tcW w:type="dxa" w:w="4195"/>
            <w:vAlign w:val="center"/>
          </w:tcPr>
          <w:p>
            <w:pPr>
              <w:keepNext w:val="0"/>
              <w:keepLines w:val="0"/>
              <w:spacing w:line="240" w:lineRule="auto" w:before="20" w:after="20"/>
              <w:ind w:firstLine="0"/>
              <w:jc w:val="left"/>
            </w:pPr>
            <w:r>
              <w:rPr>
                <w:rFonts w:ascii="Times New Roman" w:hAnsi="Times New Roman"/>
                <w:b w:val="0"/>
                <w:sz w:val="22"/>
              </w:rPr>
              <w:t>Исключаемый межбюджетный трансферт</w:t>
            </w:r>
          </w:p>
        </w:tc>
        <w:tc>
          <w:tcPr>
            <w:tcW w:type="dxa" w:w="2721"/>
            <w:vAlign w:val="center"/>
          </w:tcPr>
          <w:p>
            <w:pPr>
              <w:keepNext w:val="0"/>
              <w:keepLines w:val="0"/>
              <w:spacing w:line="240" w:lineRule="auto" w:before="20" w:after="20"/>
              <w:ind w:firstLine="0"/>
              <w:jc w:val="center"/>
            </w:pPr>
            <w:r>
              <w:rPr>
                <w:rFonts w:ascii="Times New Roman" w:hAnsi="Times New Roman"/>
                <w:b w:val="0"/>
                <w:sz w:val="22"/>
              </w:rPr>
              <w:t>169,7702371</w:t>
            </w:r>
          </w:p>
        </w:tc>
        <w:tc>
          <w:tcPr>
            <w:tcW w:type="dxa" w:w="2721"/>
            <w:vAlign w:val="center"/>
          </w:tcPr>
          <w:p>
            <w:pPr>
              <w:keepNext w:val="0"/>
              <w:keepLines w:val="0"/>
              <w:spacing w:line="240" w:lineRule="auto" w:before="20" w:after="20"/>
              <w:ind w:firstLine="0"/>
              <w:jc w:val="center"/>
            </w:pPr>
            <w:r>
              <w:rPr>
                <w:rFonts w:ascii="Times New Roman" w:hAnsi="Times New Roman"/>
                <w:b w:val="0"/>
                <w:sz w:val="22"/>
              </w:rPr>
              <w:t>5,3499455</w:t>
            </w:r>
          </w:p>
        </w:tc>
      </w:tr>
      <w:tr>
        <w:trPr>
          <w:cantSplit/>
        </w:trPr>
        <w:tc>
          <w:tcPr>
            <w:tcW w:type="dxa" w:w="4195"/>
            <w:vAlign w:val="center"/>
          </w:tcPr>
          <w:p>
            <w:pPr>
              <w:keepNext w:val="0"/>
              <w:keepLines w:val="0"/>
              <w:spacing w:line="240" w:lineRule="auto" w:before="20" w:after="20"/>
              <w:ind w:firstLine="0"/>
              <w:jc w:val="left"/>
            </w:pPr>
            <w:r>
              <w:rPr>
                <w:rFonts w:ascii="Times New Roman" w:hAnsi="Times New Roman"/>
                <w:b w:val="0"/>
                <w:sz w:val="22"/>
              </w:rPr>
              <w:t>Бюджетный ресурс после исключения оборота</w:t>
            </w:r>
          </w:p>
        </w:tc>
        <w:tc>
          <w:tcPr>
            <w:tcW w:type="dxa" w:w="2721"/>
            <w:vAlign w:val="center"/>
          </w:tcPr>
          <w:p>
            <w:pPr>
              <w:keepNext w:val="0"/>
              <w:keepLines w:val="0"/>
              <w:spacing w:line="240" w:lineRule="auto" w:before="20" w:after="20"/>
              <w:ind w:firstLine="0"/>
              <w:jc w:val="center"/>
            </w:pPr>
            <w:r>
              <w:rPr>
                <w:rFonts w:ascii="Times New Roman" w:hAnsi="Times New Roman"/>
                <w:b w:val="0"/>
                <w:sz w:val="22"/>
              </w:rPr>
              <w:t>449,3351342</w:t>
            </w:r>
          </w:p>
        </w:tc>
        <w:tc>
          <w:tcPr>
            <w:tcW w:type="dxa" w:w="2721"/>
            <w:vAlign w:val="center"/>
          </w:tcPr>
          <w:p>
            <w:pPr>
              <w:keepNext w:val="0"/>
              <w:keepLines w:val="0"/>
              <w:spacing w:line="240" w:lineRule="auto" w:before="20" w:after="20"/>
              <w:ind w:firstLine="0"/>
              <w:jc w:val="center"/>
            </w:pPr>
            <w:r>
              <w:rPr>
                <w:rFonts w:ascii="Times New Roman" w:hAnsi="Times New Roman"/>
                <w:b w:val="0"/>
                <w:sz w:val="22"/>
              </w:rPr>
              <w:t>5,6162505</w:t>
            </w:r>
          </w:p>
        </w:tc>
      </w:tr>
      <w:tr>
        <w:trPr>
          <w:cantSplit/>
        </w:trPr>
        <w:tc>
          <w:tcPr>
            <w:tcW w:type="dxa" w:w="4195"/>
            <w:vAlign w:val="center"/>
          </w:tcPr>
          <w:p>
            <w:pPr>
              <w:keepNext w:val="0"/>
              <w:keepLines w:val="0"/>
              <w:spacing w:line="240" w:lineRule="auto" w:before="20" w:after="20"/>
              <w:ind w:firstLine="0"/>
              <w:jc w:val="left"/>
            </w:pPr>
            <w:r>
              <w:rPr>
                <w:rFonts w:ascii="Times New Roman" w:hAnsi="Times New Roman"/>
                <w:b w:val="0"/>
                <w:sz w:val="22"/>
              </w:rPr>
              <w:t>Внебюджетные источники</w:t>
            </w:r>
          </w:p>
        </w:tc>
        <w:tc>
          <w:tcPr>
            <w:tcW w:type="dxa" w:w="2721"/>
            <w:vAlign w:val="center"/>
          </w:tcPr>
          <w:p>
            <w:pPr>
              <w:keepNext w:val="0"/>
              <w:keepLines w:val="0"/>
              <w:spacing w:line="240" w:lineRule="auto" w:before="20" w:after="20"/>
              <w:ind w:firstLine="0"/>
              <w:jc w:val="center"/>
            </w:pPr>
            <w:r>
              <w:rPr>
                <w:rFonts w:ascii="Times New Roman" w:hAnsi="Times New Roman"/>
                <w:b w:val="0"/>
                <w:sz w:val="22"/>
              </w:rPr>
              <w:t>162,8571426</w:t>
            </w:r>
          </w:p>
        </w:tc>
        <w:tc>
          <w:tcPr>
            <w:tcW w:type="dxa" w:w="2721"/>
            <w:vAlign w:val="center"/>
          </w:tcPr>
          <w:p>
            <w:pPr>
              <w:keepNext w:val="0"/>
              <w:keepLines w:val="0"/>
              <w:spacing w:line="240" w:lineRule="auto" w:before="20" w:after="20"/>
              <w:ind w:firstLine="0"/>
              <w:jc w:val="center"/>
            </w:pPr>
            <w:r>
              <w:rPr>
                <w:rFonts w:ascii="Times New Roman" w:hAnsi="Times New Roman"/>
                <w:b w:val="0"/>
                <w:sz w:val="22"/>
              </w:rPr>
              <w:t>Не раскрыты за 2026 год</w:t>
            </w:r>
          </w:p>
        </w:tc>
      </w:tr>
      <w:tr>
        <w:trPr>
          <w:cantSplit/>
        </w:trPr>
        <w:tc>
          <w:tcPr>
            <w:tcW w:type="dxa" w:w="4195"/>
            <w:vAlign w:val="center"/>
          </w:tcPr>
          <w:p>
            <w:pPr>
              <w:keepNext/>
              <w:keepLines w:val="0"/>
              <w:spacing w:line="240" w:lineRule="auto" w:before="20" w:after="20"/>
              <w:ind w:firstLine="0"/>
              <w:jc w:val="left"/>
            </w:pPr>
            <w:r>
              <w:rPr>
                <w:rFonts w:ascii="Times New Roman" w:hAnsi="Times New Roman"/>
                <w:b w:val="0"/>
                <w:sz w:val="22"/>
              </w:rPr>
              <w:t>Опубликованный итог НП всех источников</w:t>
            </w:r>
          </w:p>
        </w:tc>
        <w:tc>
          <w:tcPr>
            <w:tcW w:type="dxa" w:w="2721"/>
            <w:vAlign w:val="center"/>
          </w:tcPr>
          <w:p>
            <w:pPr>
              <w:keepNext/>
              <w:keepLines w:val="0"/>
              <w:spacing w:line="240" w:lineRule="auto" w:before="20" w:after="20"/>
              <w:ind w:firstLine="0"/>
              <w:jc w:val="center"/>
            </w:pPr>
            <w:r>
              <w:rPr>
                <w:rFonts w:ascii="Times New Roman" w:hAnsi="Times New Roman"/>
                <w:b w:val="0"/>
                <w:sz w:val="22"/>
              </w:rPr>
              <w:t>612,1922768</w:t>
            </w:r>
          </w:p>
        </w:tc>
        <w:tc>
          <w:tcPr>
            <w:tcW w:type="dxa" w:w="2721"/>
            <w:vAlign w:val="center"/>
          </w:tcPr>
          <w:p>
            <w:pPr>
              <w:keepNext/>
              <w:keepLines w:val="0"/>
              <w:spacing w:line="240" w:lineRule="auto" w:before="20" w:after="20"/>
              <w:ind w:firstLine="0"/>
              <w:jc w:val="center"/>
            </w:pPr>
            <w:r>
              <w:rPr>
                <w:rFonts w:ascii="Times New Roman" w:hAnsi="Times New Roman"/>
                <w:b w:val="0"/>
                <w:sz w:val="22"/>
              </w:rPr>
              <w:t>Не применимо</w:t>
            </w:r>
          </w:p>
        </w:tc>
      </w:tr>
    </w:tbl>
    <w:p>
      <w:pPr>
        <w:pStyle w:val="SourceNote"/>
        <w:keepLines/>
        <w:spacing w:before="80" w:after="120"/>
      </w:pPr>
      <w:r>
        <w:rPr>
          <w:rFonts w:ascii="Times New Roman" w:hAnsi="Times New Roman"/>
          <w:b w:val="0"/>
        </w:rPr>
        <w:t xml:space="preserve">Две колонки относятся к разным редакциям и объектам и не суммируются. В раннем PDF вычет 169,7702371 млрд состоит из 117,7702371 млрд по П1 и 52 млрд по П2. По модулям показано устранение одного подтверждённого оборота. Общий консолидированный итог НП версии 26.23 не восстановлен. </w:t>
      </w:r>
      <w:r>
        <w:rPr>
          <w:rStyle w:val="FootnoteReference"/>
        </w:rPr>
        <w:footnoteReference w:id="85"/>
      </w:r>
    </w:p>
    <w:p>
      <w:pPr>
        <w:pStyle w:val="Heading2"/>
      </w:pPr>
      <w:bookmarkStart w:id="36" w:name="sec_35"/>
      <w:r>
        <w:t>5.3 Периоды и структура опубликованных финансовых строк</w:t>
      </w:r>
      <w:bookmarkEnd w:id="36"/>
    </w:p>
    <w:p>
      <w:r>
        <w:rPr>
          <w:rFonts w:ascii="Times New Roman" w:hAnsi="Times New Roman"/>
          <w:b w:val="0"/>
        </w:rPr>
        <w:t xml:space="preserve">После приведения к периоду 2025–2030 годов раскрытая сумма по «Пяти морям и озеру Байкал» составляет 1 177,363 млрд рублей, по созданию номерного фонда – 581,378 млрд, по туристической привлекательности – 20,913 млрд, по кадрам – 4,272 млрд, по промышленному обеспечению – 4,038 млрд. Их сумма совпадает с агрегатом национального проекта. Условные доли первых двух направлений составляют 65,85% и 32,52%. Вместе они занимают 98,37% этой стоимостной совокупности. Концентрация характеризует объём средств, отражённых по инфраструктурным направлениям, но не является доказательством их доли в чистых бюджетных расходах или достигнутых эффектах. </w:t>
      </w:r>
      <w:r>
        <w:rPr>
          <w:rStyle w:val="FootnoteReference"/>
        </w:rPr>
        <w:footnoteReference w:id="86"/>
      </w:r>
    </w:p>
    <w:p>
      <w:r>
        <w:rPr>
          <w:rFonts w:ascii="Times New Roman" w:hAnsi="Times New Roman"/>
          <w:b w:val="0"/>
        </w:rPr>
        <w:t xml:space="preserve">Сравнение заголовочных сумм без проверки годовых строк создаёт дополнительную ошибку. Заголовок проекта номерного фонда содержит 730,838 млрд рублей, включая 149,460 млрд за 2031–2036 годы. В кадровом проекте за пределами 2030 года раскрыты ещё 0,060 млрд. Сложение сумм из полных заголовков пяти проектов дало бы 1 937,484 млрд, завысив сопоставимую сумму на 149,520 млрд. При этом формальный срок реализации в карточках заканчивается 2030 годом. Финансовые строки последующих лет важны как указание на продолжение обязательств, но не должны включаться в структуру шестилетнего периода. </w:t>
      </w:r>
      <w:r>
        <w:rPr>
          <w:rStyle w:val="FootnoteReference"/>
        </w:rPr>
        <w:footnoteReference w:id="87"/>
      </w:r>
    </w:p>
    <w:p>
      <w:r>
        <w:rPr>
          <w:rFonts w:ascii="Times New Roman" w:hAnsi="Times New Roman"/>
          <w:b w:val="0"/>
        </w:rPr>
        <w:t xml:space="preserve">В промышленном проекте отдельная финансовая строка 2025 года отсутствует. Сумма раскрытых строк 2026–2030 годов равна его опубликованному полному итогу 4,038 млрд рублей. Для сопоставления используется опубликованный итог, а отсутствие строки 2025 года сохраняется как ограничение раскрытия. На уровне годовой проверки 2026–2030 годы полностью согласуются между НП и пятью ФП. В 2025 году сумма четырёх доступных строк также совпадает с агрегатом НП, однако такое арифметическое совпадение не превращает отсутствующее наблюдение в документально установленный ноль. </w:t>
      </w:r>
      <w:r>
        <w:rPr>
          <w:rStyle w:val="FootnoteReference"/>
        </w:rPr>
        <w:footnoteReference w:id="88"/>
      </w:r>
    </w:p>
    <w:p>
      <w:r>
        <w:rPr>
          <w:rFonts w:ascii="Times New Roman" w:hAnsi="Times New Roman"/>
          <w:b w:val="0"/>
        </w:rPr>
        <w:t xml:space="preserve">За 2025–2030 годы федеральный ряд национального проекта составляет 438,073 млрд рублей, региональный валовой ряд – 180,114 млрд, внебюджетный – 1 169,777 млрд. Отдельное изображение этих рядов показывает изменение финансовой модели без предположения о возможности их сложения. Внебюджетный план возрастает со 104,120 млрд в 2026 году до 290,021 млрд в 2030 году. Региональные суммы отражают как собственное финансирование, так и расходование поступивших трансфертов. Для оценки бюджетной нагрузки субъектов требуется их разделение, а для оценки частного участия – проверка договоров, финансового закрытия и фактической оплаты работ. </w:t>
      </w:r>
      <w:r>
        <w:rPr>
          <w:rStyle w:val="FootnoteReference"/>
        </w:rPr>
        <w:footnoteReference w:id="89"/>
      </w:r>
    </w:p>
    <w:p>
      <w:pPr>
        <w:pStyle w:val="Caption"/>
        <w:keepNext/>
      </w:pPr>
      <w:r>
        <w:rPr>
          <w:rFonts w:ascii="Times New Roman" w:hAnsi="Times New Roman"/>
          <w:b w:val="0"/>
        </w:rPr>
        <w:t>Таблица 8 – Раскрытые источники финансового обеспечения НП на 2025⁠–⁠2030 годы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134"/>
        <w:gridCol w:w="1871"/>
        <w:gridCol w:w="2324"/>
        <w:gridCol w:w="1928"/>
        <w:gridCol w:w="2381"/>
      </w:tblGrid>
      <w:tr>
        <w:trPr>
          <w:cantSplit/>
          <w:tblHeader w:val="true"/>
        </w:trPr>
        <w:tc>
          <w:tcPr>
            <w:tcW w:type="dxa" w:w="1134"/>
            <w:vAlign w:val="center"/>
            <w:shd w:val="clear" w:fill="FFFFFF"/>
          </w:tcPr>
          <w:p>
            <w:pPr>
              <w:keepNext w:val="0"/>
              <w:keepLines w:val="0"/>
              <w:spacing w:line="240" w:lineRule="auto" w:before="20" w:after="20"/>
              <w:ind w:firstLine="0"/>
              <w:jc w:val="center"/>
            </w:pPr>
            <w:r>
              <w:rPr>
                <w:rFonts w:ascii="Times New Roman" w:hAnsi="Times New Roman"/>
                <w:b/>
                <w:sz w:val="22"/>
              </w:rPr>
              <w:t>Год</w:t>
            </w:r>
          </w:p>
        </w:tc>
        <w:tc>
          <w:tcPr>
            <w:tcW w:type="dxa" w:w="1871"/>
            <w:vAlign w:val="center"/>
            <w:shd w:val="clear" w:fill="FFFFFF"/>
          </w:tcPr>
          <w:p>
            <w:pPr>
              <w:keepNext w:val="0"/>
              <w:keepLines w:val="0"/>
              <w:spacing w:line="240" w:lineRule="auto" w:before="20" w:after="20"/>
              <w:ind w:firstLine="0"/>
              <w:jc w:val="center"/>
            </w:pPr>
            <w:r>
              <w:rPr>
                <w:rFonts w:ascii="Times New Roman" w:hAnsi="Times New Roman"/>
                <w:b/>
                <w:sz w:val="22"/>
              </w:rPr>
              <w:t>Федеральный бюджет</w:t>
            </w:r>
          </w:p>
        </w:tc>
        <w:tc>
          <w:tcPr>
            <w:tcW w:type="dxa" w:w="2324"/>
            <w:vAlign w:val="center"/>
            <w:shd w:val="clear" w:fill="FFFFFF"/>
          </w:tcPr>
          <w:p>
            <w:pPr>
              <w:keepNext w:val="0"/>
              <w:keepLines w:val="0"/>
              <w:spacing w:line="240" w:lineRule="auto" w:before="20" w:after="20"/>
              <w:ind w:firstLine="0"/>
              <w:jc w:val="center"/>
            </w:pPr>
            <w:r>
              <w:rPr>
                <w:rFonts w:ascii="Times New Roman" w:hAnsi="Times New Roman"/>
                <w:b/>
                <w:sz w:val="22"/>
              </w:rPr>
              <w:t>Региональные бюджеты, валовой ряд</w:t>
            </w:r>
          </w:p>
        </w:tc>
        <w:tc>
          <w:tcPr>
            <w:tcW w:type="dxa" w:w="1928"/>
            <w:vAlign w:val="center"/>
            <w:shd w:val="clear" w:fill="FFFFFF"/>
          </w:tcPr>
          <w:p>
            <w:pPr>
              <w:keepNext w:val="0"/>
              <w:keepLines w:val="0"/>
              <w:spacing w:line="240" w:lineRule="auto" w:before="20" w:after="20"/>
              <w:ind w:firstLine="0"/>
              <w:jc w:val="center"/>
            </w:pPr>
            <w:r>
              <w:rPr>
                <w:rFonts w:ascii="Times New Roman" w:hAnsi="Times New Roman"/>
                <w:b/>
                <w:sz w:val="22"/>
              </w:rPr>
              <w:t>Внебюджетный план</w:t>
            </w:r>
          </w:p>
        </w:tc>
        <w:tc>
          <w:tcPr>
            <w:tcW w:type="dxa" w:w="2381"/>
            <w:vAlign w:val="center"/>
            <w:shd w:val="clear" w:fill="FFFFFF"/>
          </w:tcPr>
          <w:p>
            <w:pPr>
              <w:keepNext w:val="0"/>
              <w:keepLines w:val="0"/>
              <w:spacing w:line="240" w:lineRule="auto" w:before="20" w:after="20"/>
              <w:ind w:firstLine="0"/>
              <w:jc w:val="center"/>
            </w:pPr>
            <w:r>
              <w:rPr>
                <w:rFonts w:ascii="Times New Roman" w:hAnsi="Times New Roman"/>
                <w:b/>
                <w:sz w:val="22"/>
              </w:rPr>
              <w:t>Арифметическая сумма</w:t>
            </w:r>
          </w:p>
        </w:tc>
      </w:tr>
      <w:tr>
        <w:trPr>
          <w:cantSplit/>
        </w:trPr>
        <w:tc>
          <w:tcPr>
            <w:tcW w:type="dxa" w:w="1134"/>
            <w:vAlign w:val="center"/>
          </w:tcPr>
          <w:p>
            <w:pPr>
              <w:keepNext w:val="0"/>
              <w:keepLines w:val="0"/>
              <w:spacing w:line="240" w:lineRule="auto" w:before="20" w:after="20"/>
              <w:ind w:firstLine="0"/>
              <w:jc w:val="left"/>
            </w:pPr>
            <w:r>
              <w:rPr>
                <w:rFonts w:ascii="Times New Roman" w:hAnsi="Times New Roman"/>
                <w:b w:val="0"/>
                <w:sz w:val="22"/>
              </w:rPr>
              <w:t>2025</w:t>
            </w:r>
          </w:p>
        </w:tc>
        <w:tc>
          <w:tcPr>
            <w:tcW w:type="dxa" w:w="1871"/>
            <w:vAlign w:val="center"/>
          </w:tcPr>
          <w:p>
            <w:pPr>
              <w:keepNext w:val="0"/>
              <w:keepLines w:val="0"/>
              <w:spacing w:line="240" w:lineRule="auto" w:before="20" w:after="20"/>
              <w:ind w:firstLine="0"/>
              <w:jc w:val="center"/>
            </w:pPr>
            <w:r>
              <w:rPr>
                <w:rFonts w:ascii="Times New Roman" w:hAnsi="Times New Roman"/>
                <w:b w:val="0"/>
                <w:sz w:val="22"/>
              </w:rPr>
              <w:t>48,310</w:t>
            </w:r>
          </w:p>
        </w:tc>
        <w:tc>
          <w:tcPr>
            <w:tcW w:type="dxa" w:w="2324"/>
            <w:vAlign w:val="center"/>
          </w:tcPr>
          <w:p>
            <w:pPr>
              <w:keepNext w:val="0"/>
              <w:keepLines w:val="0"/>
              <w:spacing w:line="240" w:lineRule="auto" w:before="20" w:after="20"/>
              <w:ind w:firstLine="0"/>
              <w:jc w:val="center"/>
            </w:pPr>
            <w:r>
              <w:rPr>
                <w:rFonts w:ascii="Times New Roman" w:hAnsi="Times New Roman"/>
                <w:b w:val="0"/>
                <w:sz w:val="22"/>
              </w:rPr>
              <w:t>15,524</w:t>
            </w:r>
          </w:p>
        </w:tc>
        <w:tc>
          <w:tcPr>
            <w:tcW w:type="dxa" w:w="1928"/>
            <w:vAlign w:val="center"/>
          </w:tcPr>
          <w:p>
            <w:pPr>
              <w:keepNext w:val="0"/>
              <w:keepLines w:val="0"/>
              <w:spacing w:line="240" w:lineRule="auto" w:before="20" w:after="20"/>
              <w:ind w:firstLine="0"/>
              <w:jc w:val="center"/>
            </w:pPr>
            <w:r>
              <w:rPr>
                <w:rFonts w:ascii="Times New Roman" w:hAnsi="Times New Roman"/>
                <w:b w:val="0"/>
                <w:sz w:val="22"/>
              </w:rPr>
              <w:t>194,348</w:t>
            </w:r>
          </w:p>
        </w:tc>
        <w:tc>
          <w:tcPr>
            <w:tcW w:type="dxa" w:w="2381"/>
            <w:vAlign w:val="center"/>
          </w:tcPr>
          <w:p>
            <w:pPr>
              <w:keepNext w:val="0"/>
              <w:keepLines w:val="0"/>
              <w:spacing w:line="240" w:lineRule="auto" w:before="20" w:after="20"/>
              <w:ind w:firstLine="0"/>
              <w:jc w:val="center"/>
            </w:pPr>
            <w:r>
              <w:rPr>
                <w:rFonts w:ascii="Times New Roman" w:hAnsi="Times New Roman"/>
                <w:b w:val="0"/>
                <w:sz w:val="22"/>
              </w:rPr>
              <w:t>258,182</w:t>
            </w:r>
          </w:p>
        </w:tc>
      </w:tr>
      <w:tr>
        <w:trPr>
          <w:cantSplit/>
        </w:trPr>
        <w:tc>
          <w:tcPr>
            <w:tcW w:type="dxa" w:w="1134"/>
            <w:vAlign w:val="center"/>
          </w:tcPr>
          <w:p>
            <w:pPr>
              <w:keepNext w:val="0"/>
              <w:keepLines w:val="0"/>
              <w:spacing w:line="240" w:lineRule="auto" w:before="20" w:after="20"/>
              <w:ind w:firstLine="0"/>
              <w:jc w:val="left"/>
            </w:pPr>
            <w:r>
              <w:rPr>
                <w:rFonts w:ascii="Times New Roman" w:hAnsi="Times New Roman"/>
                <w:b w:val="0"/>
                <w:sz w:val="22"/>
              </w:rPr>
              <w:t>2026</w:t>
            </w:r>
          </w:p>
        </w:tc>
        <w:tc>
          <w:tcPr>
            <w:tcW w:type="dxa" w:w="1871"/>
            <w:vAlign w:val="center"/>
          </w:tcPr>
          <w:p>
            <w:pPr>
              <w:keepNext w:val="0"/>
              <w:keepLines w:val="0"/>
              <w:spacing w:line="240" w:lineRule="auto" w:before="20" w:after="20"/>
              <w:ind w:firstLine="0"/>
              <w:jc w:val="center"/>
            </w:pPr>
            <w:r>
              <w:rPr>
                <w:rFonts w:ascii="Times New Roman" w:hAnsi="Times New Roman"/>
                <w:b w:val="0"/>
                <w:sz w:val="22"/>
              </w:rPr>
              <w:t>65,312</w:t>
            </w:r>
          </w:p>
        </w:tc>
        <w:tc>
          <w:tcPr>
            <w:tcW w:type="dxa" w:w="2324"/>
            <w:vAlign w:val="center"/>
          </w:tcPr>
          <w:p>
            <w:pPr>
              <w:keepNext w:val="0"/>
              <w:keepLines w:val="0"/>
              <w:spacing w:line="240" w:lineRule="auto" w:before="20" w:after="20"/>
              <w:ind w:firstLine="0"/>
              <w:jc w:val="center"/>
            </w:pPr>
            <w:r>
              <w:rPr>
                <w:rFonts w:ascii="Times New Roman" w:hAnsi="Times New Roman"/>
                <w:b w:val="0"/>
                <w:sz w:val="22"/>
              </w:rPr>
              <w:t>23,435</w:t>
            </w:r>
          </w:p>
        </w:tc>
        <w:tc>
          <w:tcPr>
            <w:tcW w:type="dxa" w:w="1928"/>
            <w:vAlign w:val="center"/>
          </w:tcPr>
          <w:p>
            <w:pPr>
              <w:keepNext w:val="0"/>
              <w:keepLines w:val="0"/>
              <w:spacing w:line="240" w:lineRule="auto" w:before="20" w:after="20"/>
              <w:ind w:firstLine="0"/>
              <w:jc w:val="center"/>
            </w:pPr>
            <w:r>
              <w:rPr>
                <w:rFonts w:ascii="Times New Roman" w:hAnsi="Times New Roman"/>
                <w:b w:val="0"/>
                <w:sz w:val="22"/>
              </w:rPr>
              <w:t>104,120</w:t>
            </w:r>
          </w:p>
        </w:tc>
        <w:tc>
          <w:tcPr>
            <w:tcW w:type="dxa" w:w="2381"/>
            <w:vAlign w:val="center"/>
          </w:tcPr>
          <w:p>
            <w:pPr>
              <w:keepNext w:val="0"/>
              <w:keepLines w:val="0"/>
              <w:spacing w:line="240" w:lineRule="auto" w:before="20" w:after="20"/>
              <w:ind w:firstLine="0"/>
              <w:jc w:val="center"/>
            </w:pPr>
            <w:r>
              <w:rPr>
                <w:rFonts w:ascii="Times New Roman" w:hAnsi="Times New Roman"/>
                <w:b w:val="0"/>
                <w:sz w:val="22"/>
              </w:rPr>
              <w:t>192,867</w:t>
            </w:r>
          </w:p>
        </w:tc>
      </w:tr>
      <w:tr>
        <w:trPr>
          <w:cantSplit/>
        </w:trPr>
        <w:tc>
          <w:tcPr>
            <w:tcW w:type="dxa" w:w="1134"/>
            <w:vAlign w:val="center"/>
          </w:tcPr>
          <w:p>
            <w:pPr>
              <w:keepNext w:val="0"/>
              <w:keepLines w:val="0"/>
              <w:spacing w:line="240" w:lineRule="auto" w:before="20" w:after="20"/>
              <w:ind w:firstLine="0"/>
              <w:jc w:val="left"/>
            </w:pPr>
            <w:r>
              <w:rPr>
                <w:rFonts w:ascii="Times New Roman" w:hAnsi="Times New Roman"/>
                <w:b w:val="0"/>
                <w:sz w:val="22"/>
              </w:rPr>
              <w:t>2027</w:t>
            </w:r>
          </w:p>
        </w:tc>
        <w:tc>
          <w:tcPr>
            <w:tcW w:type="dxa" w:w="1871"/>
            <w:vAlign w:val="center"/>
          </w:tcPr>
          <w:p>
            <w:pPr>
              <w:keepNext w:val="0"/>
              <w:keepLines w:val="0"/>
              <w:spacing w:line="240" w:lineRule="auto" w:before="20" w:after="20"/>
              <w:ind w:firstLine="0"/>
              <w:jc w:val="center"/>
            </w:pPr>
            <w:r>
              <w:rPr>
                <w:rFonts w:ascii="Times New Roman" w:hAnsi="Times New Roman"/>
                <w:b w:val="0"/>
                <w:sz w:val="22"/>
              </w:rPr>
              <w:t>76,670</w:t>
            </w:r>
          </w:p>
        </w:tc>
        <w:tc>
          <w:tcPr>
            <w:tcW w:type="dxa" w:w="2324"/>
            <w:vAlign w:val="center"/>
          </w:tcPr>
          <w:p>
            <w:pPr>
              <w:keepNext w:val="0"/>
              <w:keepLines w:val="0"/>
              <w:spacing w:line="240" w:lineRule="auto" w:before="20" w:after="20"/>
              <w:ind w:firstLine="0"/>
              <w:jc w:val="center"/>
            </w:pPr>
            <w:r>
              <w:rPr>
                <w:rFonts w:ascii="Times New Roman" w:hAnsi="Times New Roman"/>
                <w:b w:val="0"/>
                <w:sz w:val="22"/>
              </w:rPr>
              <w:t>31,063</w:t>
            </w:r>
          </w:p>
        </w:tc>
        <w:tc>
          <w:tcPr>
            <w:tcW w:type="dxa" w:w="1928"/>
            <w:vAlign w:val="center"/>
          </w:tcPr>
          <w:p>
            <w:pPr>
              <w:keepNext w:val="0"/>
              <w:keepLines w:val="0"/>
              <w:spacing w:line="240" w:lineRule="auto" w:before="20" w:after="20"/>
              <w:ind w:firstLine="0"/>
              <w:jc w:val="center"/>
            </w:pPr>
            <w:r>
              <w:rPr>
                <w:rFonts w:ascii="Times New Roman" w:hAnsi="Times New Roman"/>
                <w:b w:val="0"/>
                <w:sz w:val="22"/>
              </w:rPr>
              <w:t>120,126</w:t>
            </w:r>
          </w:p>
        </w:tc>
        <w:tc>
          <w:tcPr>
            <w:tcW w:type="dxa" w:w="2381"/>
            <w:vAlign w:val="center"/>
          </w:tcPr>
          <w:p>
            <w:pPr>
              <w:keepNext w:val="0"/>
              <w:keepLines w:val="0"/>
              <w:spacing w:line="240" w:lineRule="auto" w:before="20" w:after="20"/>
              <w:ind w:firstLine="0"/>
              <w:jc w:val="center"/>
            </w:pPr>
            <w:r>
              <w:rPr>
                <w:rFonts w:ascii="Times New Roman" w:hAnsi="Times New Roman"/>
                <w:b w:val="0"/>
                <w:sz w:val="22"/>
              </w:rPr>
              <w:t>227,859</w:t>
            </w:r>
          </w:p>
        </w:tc>
      </w:tr>
      <w:tr>
        <w:trPr>
          <w:cantSplit/>
        </w:trPr>
        <w:tc>
          <w:tcPr>
            <w:tcW w:type="dxa" w:w="1134"/>
            <w:vAlign w:val="center"/>
          </w:tcPr>
          <w:p>
            <w:pPr>
              <w:keepNext w:val="0"/>
              <w:keepLines w:val="0"/>
              <w:spacing w:line="240" w:lineRule="auto" w:before="20" w:after="20"/>
              <w:ind w:firstLine="0"/>
              <w:jc w:val="left"/>
            </w:pPr>
            <w:r>
              <w:rPr>
                <w:rFonts w:ascii="Times New Roman" w:hAnsi="Times New Roman"/>
                <w:b w:val="0"/>
                <w:sz w:val="22"/>
              </w:rPr>
              <w:t>2028</w:t>
            </w:r>
          </w:p>
        </w:tc>
        <w:tc>
          <w:tcPr>
            <w:tcW w:type="dxa" w:w="1871"/>
            <w:vAlign w:val="center"/>
          </w:tcPr>
          <w:p>
            <w:pPr>
              <w:keepNext w:val="0"/>
              <w:keepLines w:val="0"/>
              <w:spacing w:line="240" w:lineRule="auto" w:before="20" w:after="20"/>
              <w:ind w:firstLine="0"/>
              <w:jc w:val="center"/>
            </w:pPr>
            <w:r>
              <w:rPr>
                <w:rFonts w:ascii="Times New Roman" w:hAnsi="Times New Roman"/>
                <w:b w:val="0"/>
                <w:sz w:val="22"/>
              </w:rPr>
              <w:t>84,300</w:t>
            </w:r>
          </w:p>
        </w:tc>
        <w:tc>
          <w:tcPr>
            <w:tcW w:type="dxa" w:w="2324"/>
            <w:vAlign w:val="center"/>
          </w:tcPr>
          <w:p>
            <w:pPr>
              <w:keepNext w:val="0"/>
              <w:keepLines w:val="0"/>
              <w:spacing w:line="240" w:lineRule="auto" w:before="20" w:after="20"/>
              <w:ind w:firstLine="0"/>
              <w:jc w:val="center"/>
            </w:pPr>
            <w:r>
              <w:rPr>
                <w:rFonts w:ascii="Times New Roman" w:hAnsi="Times New Roman"/>
                <w:b w:val="0"/>
                <w:sz w:val="22"/>
              </w:rPr>
              <w:t>40,309</w:t>
            </w:r>
          </w:p>
        </w:tc>
        <w:tc>
          <w:tcPr>
            <w:tcW w:type="dxa" w:w="1928"/>
            <w:vAlign w:val="center"/>
          </w:tcPr>
          <w:p>
            <w:pPr>
              <w:keepNext w:val="0"/>
              <w:keepLines w:val="0"/>
              <w:spacing w:line="240" w:lineRule="auto" w:before="20" w:after="20"/>
              <w:ind w:firstLine="0"/>
              <w:jc w:val="center"/>
            </w:pPr>
            <w:r>
              <w:rPr>
                <w:rFonts w:ascii="Times New Roman" w:hAnsi="Times New Roman"/>
                <w:b w:val="0"/>
                <w:sz w:val="22"/>
              </w:rPr>
              <w:t>219,300</w:t>
            </w:r>
          </w:p>
        </w:tc>
        <w:tc>
          <w:tcPr>
            <w:tcW w:type="dxa" w:w="2381"/>
            <w:vAlign w:val="center"/>
          </w:tcPr>
          <w:p>
            <w:pPr>
              <w:keepNext w:val="0"/>
              <w:keepLines w:val="0"/>
              <w:spacing w:line="240" w:lineRule="auto" w:before="20" w:after="20"/>
              <w:ind w:firstLine="0"/>
              <w:jc w:val="center"/>
            </w:pPr>
            <w:r>
              <w:rPr>
                <w:rFonts w:ascii="Times New Roman" w:hAnsi="Times New Roman"/>
                <w:b w:val="0"/>
                <w:sz w:val="22"/>
              </w:rPr>
              <w:t>343,909</w:t>
            </w:r>
          </w:p>
        </w:tc>
      </w:tr>
      <w:tr>
        <w:trPr>
          <w:cantSplit/>
        </w:trPr>
        <w:tc>
          <w:tcPr>
            <w:tcW w:type="dxa" w:w="1134"/>
            <w:vAlign w:val="center"/>
          </w:tcPr>
          <w:p>
            <w:pPr>
              <w:keepNext w:val="0"/>
              <w:keepLines w:val="0"/>
              <w:spacing w:line="240" w:lineRule="auto" w:before="20" w:after="20"/>
              <w:ind w:firstLine="0"/>
              <w:jc w:val="left"/>
            </w:pPr>
            <w:r>
              <w:rPr>
                <w:rFonts w:ascii="Times New Roman" w:hAnsi="Times New Roman"/>
                <w:b w:val="0"/>
                <w:sz w:val="22"/>
              </w:rPr>
              <w:t>2029</w:t>
            </w:r>
          </w:p>
        </w:tc>
        <w:tc>
          <w:tcPr>
            <w:tcW w:type="dxa" w:w="1871"/>
            <w:vAlign w:val="center"/>
          </w:tcPr>
          <w:p>
            <w:pPr>
              <w:keepNext w:val="0"/>
              <w:keepLines w:val="0"/>
              <w:spacing w:line="240" w:lineRule="auto" w:before="20" w:after="20"/>
              <w:ind w:firstLine="0"/>
              <w:jc w:val="center"/>
            </w:pPr>
            <w:r>
              <w:rPr>
                <w:rFonts w:ascii="Times New Roman" w:hAnsi="Times New Roman"/>
                <w:b w:val="0"/>
                <w:sz w:val="22"/>
              </w:rPr>
              <w:t>78,380</w:t>
            </w:r>
          </w:p>
        </w:tc>
        <w:tc>
          <w:tcPr>
            <w:tcW w:type="dxa" w:w="2324"/>
            <w:vAlign w:val="center"/>
          </w:tcPr>
          <w:p>
            <w:pPr>
              <w:keepNext w:val="0"/>
              <w:keepLines w:val="0"/>
              <w:spacing w:line="240" w:lineRule="auto" w:before="20" w:after="20"/>
              <w:ind w:firstLine="0"/>
              <w:jc w:val="center"/>
            </w:pPr>
            <w:r>
              <w:rPr>
                <w:rFonts w:ascii="Times New Roman" w:hAnsi="Times New Roman"/>
                <w:b w:val="0"/>
                <w:sz w:val="22"/>
              </w:rPr>
              <w:t>36,950</w:t>
            </w:r>
          </w:p>
        </w:tc>
        <w:tc>
          <w:tcPr>
            <w:tcW w:type="dxa" w:w="1928"/>
            <w:vAlign w:val="center"/>
          </w:tcPr>
          <w:p>
            <w:pPr>
              <w:keepNext w:val="0"/>
              <w:keepLines w:val="0"/>
              <w:spacing w:line="240" w:lineRule="auto" w:before="20" w:after="20"/>
              <w:ind w:firstLine="0"/>
              <w:jc w:val="center"/>
            </w:pPr>
            <w:r>
              <w:rPr>
                <w:rFonts w:ascii="Times New Roman" w:hAnsi="Times New Roman"/>
                <w:b w:val="0"/>
                <w:sz w:val="22"/>
              </w:rPr>
              <w:t>241,862</w:t>
            </w:r>
          </w:p>
        </w:tc>
        <w:tc>
          <w:tcPr>
            <w:tcW w:type="dxa" w:w="2381"/>
            <w:vAlign w:val="center"/>
          </w:tcPr>
          <w:p>
            <w:pPr>
              <w:keepNext w:val="0"/>
              <w:keepLines w:val="0"/>
              <w:spacing w:line="240" w:lineRule="auto" w:before="20" w:after="20"/>
              <w:ind w:firstLine="0"/>
              <w:jc w:val="center"/>
            </w:pPr>
            <w:r>
              <w:rPr>
                <w:rFonts w:ascii="Times New Roman" w:hAnsi="Times New Roman"/>
                <w:b w:val="0"/>
                <w:sz w:val="22"/>
              </w:rPr>
              <w:t>357,191</w:t>
            </w:r>
          </w:p>
        </w:tc>
      </w:tr>
      <w:tr>
        <w:trPr>
          <w:cantSplit/>
        </w:trPr>
        <w:tc>
          <w:tcPr>
            <w:tcW w:type="dxa" w:w="1134"/>
            <w:vAlign w:val="center"/>
          </w:tcPr>
          <w:p>
            <w:pPr>
              <w:keepNext w:val="0"/>
              <w:keepLines w:val="0"/>
              <w:spacing w:line="240" w:lineRule="auto" w:before="20" w:after="20"/>
              <w:ind w:firstLine="0"/>
              <w:jc w:val="left"/>
            </w:pPr>
            <w:r>
              <w:rPr>
                <w:rFonts w:ascii="Times New Roman" w:hAnsi="Times New Roman"/>
                <w:b w:val="0"/>
                <w:sz w:val="22"/>
              </w:rPr>
              <w:t>2030</w:t>
            </w:r>
          </w:p>
        </w:tc>
        <w:tc>
          <w:tcPr>
            <w:tcW w:type="dxa" w:w="1871"/>
            <w:vAlign w:val="center"/>
          </w:tcPr>
          <w:p>
            <w:pPr>
              <w:keepNext w:val="0"/>
              <w:keepLines w:val="0"/>
              <w:spacing w:line="240" w:lineRule="auto" w:before="20" w:after="20"/>
              <w:ind w:firstLine="0"/>
              <w:jc w:val="center"/>
            </w:pPr>
            <w:r>
              <w:rPr>
                <w:rFonts w:ascii="Times New Roman" w:hAnsi="Times New Roman"/>
                <w:b w:val="0"/>
                <w:sz w:val="22"/>
              </w:rPr>
              <w:t>85,102</w:t>
            </w:r>
          </w:p>
        </w:tc>
        <w:tc>
          <w:tcPr>
            <w:tcW w:type="dxa" w:w="2324"/>
            <w:vAlign w:val="center"/>
          </w:tcPr>
          <w:p>
            <w:pPr>
              <w:keepNext w:val="0"/>
              <w:keepLines w:val="0"/>
              <w:spacing w:line="240" w:lineRule="auto" w:before="20" w:after="20"/>
              <w:ind w:firstLine="0"/>
              <w:jc w:val="center"/>
            </w:pPr>
            <w:r>
              <w:rPr>
                <w:rFonts w:ascii="Times New Roman" w:hAnsi="Times New Roman"/>
                <w:b w:val="0"/>
                <w:sz w:val="22"/>
              </w:rPr>
              <w:t>32,832</w:t>
            </w:r>
          </w:p>
        </w:tc>
        <w:tc>
          <w:tcPr>
            <w:tcW w:type="dxa" w:w="1928"/>
            <w:vAlign w:val="center"/>
          </w:tcPr>
          <w:p>
            <w:pPr>
              <w:keepNext w:val="0"/>
              <w:keepLines w:val="0"/>
              <w:spacing w:line="240" w:lineRule="auto" w:before="20" w:after="20"/>
              <w:ind w:firstLine="0"/>
              <w:jc w:val="center"/>
            </w:pPr>
            <w:r>
              <w:rPr>
                <w:rFonts w:ascii="Times New Roman" w:hAnsi="Times New Roman"/>
                <w:b w:val="0"/>
                <w:sz w:val="22"/>
              </w:rPr>
              <w:t>290,021</w:t>
            </w:r>
          </w:p>
        </w:tc>
        <w:tc>
          <w:tcPr>
            <w:tcW w:type="dxa" w:w="2381"/>
            <w:vAlign w:val="center"/>
          </w:tcPr>
          <w:p>
            <w:pPr>
              <w:keepNext w:val="0"/>
              <w:keepLines w:val="0"/>
              <w:spacing w:line="240" w:lineRule="auto" w:before="20" w:after="20"/>
              <w:ind w:firstLine="0"/>
              <w:jc w:val="center"/>
            </w:pPr>
            <w:r>
              <w:rPr>
                <w:rFonts w:ascii="Times New Roman" w:hAnsi="Times New Roman"/>
                <w:b w:val="0"/>
                <w:sz w:val="22"/>
              </w:rPr>
              <w:t>407,956</w:t>
            </w:r>
          </w:p>
        </w:tc>
      </w:tr>
      <w:tr>
        <w:trPr>
          <w:cantSplit/>
        </w:trPr>
        <w:tc>
          <w:tcPr>
            <w:tcW w:type="dxa" w:w="1134"/>
            <w:vAlign w:val="center"/>
          </w:tcPr>
          <w:p>
            <w:pPr>
              <w:keepNext/>
              <w:keepLines w:val="0"/>
              <w:spacing w:line="240" w:lineRule="auto" w:before="20" w:after="20"/>
              <w:ind w:firstLine="0"/>
              <w:jc w:val="left"/>
            </w:pPr>
            <w:r>
              <w:rPr>
                <w:rFonts w:ascii="Times New Roman" w:hAnsi="Times New Roman"/>
                <w:b w:val="0"/>
                <w:sz w:val="22"/>
              </w:rPr>
              <w:t>2025–2030</w:t>
            </w:r>
          </w:p>
        </w:tc>
        <w:tc>
          <w:tcPr>
            <w:tcW w:type="dxa" w:w="1871"/>
            <w:vAlign w:val="center"/>
          </w:tcPr>
          <w:p>
            <w:pPr>
              <w:keepNext/>
              <w:keepLines w:val="0"/>
              <w:spacing w:line="240" w:lineRule="auto" w:before="20" w:after="20"/>
              <w:ind w:firstLine="0"/>
              <w:jc w:val="center"/>
            </w:pPr>
            <w:r>
              <w:rPr>
                <w:rFonts w:ascii="Times New Roman" w:hAnsi="Times New Roman"/>
                <w:b w:val="0"/>
                <w:sz w:val="22"/>
              </w:rPr>
              <w:t>438,073</w:t>
            </w:r>
          </w:p>
        </w:tc>
        <w:tc>
          <w:tcPr>
            <w:tcW w:type="dxa" w:w="2324"/>
            <w:vAlign w:val="center"/>
          </w:tcPr>
          <w:p>
            <w:pPr>
              <w:keepNext/>
              <w:keepLines w:val="0"/>
              <w:spacing w:line="240" w:lineRule="auto" w:before="20" w:after="20"/>
              <w:ind w:firstLine="0"/>
              <w:jc w:val="center"/>
            </w:pPr>
            <w:r>
              <w:rPr>
                <w:rFonts w:ascii="Times New Roman" w:hAnsi="Times New Roman"/>
                <w:b w:val="0"/>
                <w:sz w:val="22"/>
              </w:rPr>
              <w:t>180,114</w:t>
            </w:r>
          </w:p>
        </w:tc>
        <w:tc>
          <w:tcPr>
            <w:tcW w:type="dxa" w:w="1928"/>
            <w:vAlign w:val="center"/>
          </w:tcPr>
          <w:p>
            <w:pPr>
              <w:keepNext/>
              <w:keepLines w:val="0"/>
              <w:spacing w:line="240" w:lineRule="auto" w:before="20" w:after="20"/>
              <w:ind w:firstLine="0"/>
              <w:jc w:val="center"/>
            </w:pPr>
            <w:r>
              <w:rPr>
                <w:rFonts w:ascii="Times New Roman" w:hAnsi="Times New Roman"/>
                <w:b w:val="0"/>
                <w:sz w:val="22"/>
              </w:rPr>
              <w:t>1 169,777</w:t>
            </w:r>
          </w:p>
        </w:tc>
        <w:tc>
          <w:tcPr>
            <w:tcW w:type="dxa" w:w="2381"/>
            <w:vAlign w:val="center"/>
          </w:tcPr>
          <w:p>
            <w:pPr>
              <w:keepNext/>
              <w:keepLines w:val="0"/>
              <w:spacing w:line="240" w:lineRule="auto" w:before="20" w:after="20"/>
              <w:ind w:firstLine="0"/>
              <w:jc w:val="center"/>
            </w:pPr>
            <w:r>
              <w:rPr>
                <w:rFonts w:ascii="Times New Roman" w:hAnsi="Times New Roman"/>
                <w:b w:val="0"/>
                <w:sz w:val="22"/>
              </w:rPr>
              <w:t>1 787,964</w:t>
            </w:r>
          </w:p>
        </w:tc>
      </w:tr>
    </w:tbl>
    <w:p>
      <w:pPr>
        <w:pStyle w:val="SourceNote"/>
        <w:keepLines/>
        <w:spacing w:before="80" w:after="120"/>
      </w:pPr>
      <w:r>
        <w:rPr>
          <w:rFonts w:ascii="Times New Roman" w:hAnsi="Times New Roman"/>
          <w:b w:val="0"/>
        </w:rPr>
        <w:t xml:space="preserve">Млрд рублей. Арифметическая сумма воспроизводит заголовок веб-представления. Она не признана консолидированной стоимостью из-за включения федеральных трансфертов в региональные строки. Представлены плановые суммы. Кассовое исполнение по ним не оценивается. </w:t>
      </w:r>
      <w:r>
        <w:rPr>
          <w:rStyle w:val="FootnoteReference"/>
        </w:rPr>
        <w:footnoteReference w:id="90"/>
      </w:r>
    </w:p>
    <w:p>
      <w:pPr>
        <w:keepNext/>
        <w:pageBreakBefore w:val="0"/>
        <w:spacing w:line="240" w:lineRule="auto" w:before="120" w:after="60"/>
        <w:ind w:firstLine="0"/>
        <w:jc w:val="center"/>
      </w:pPr>
      <w:r>
        <w:drawing>
          <wp:inline xmlns:a="http://schemas.openxmlformats.org/drawingml/2006/main" xmlns:pic="http://schemas.openxmlformats.org/drawingml/2006/picture">
            <wp:extent cx="6012000" cy="4036629"/>
            <wp:docPr id="7" name="Picture 7"/>
            <wp:cNvGraphicFramePr>
              <a:graphicFrameLocks noChangeAspect="1"/>
            </wp:cNvGraphicFramePr>
            <a:graphic>
              <a:graphicData uri="http://schemas.openxmlformats.org/drawingml/2006/picture">
                <pic:pic>
                  <pic:nvPicPr>
                    <pic:cNvPr id="0" name="finance_sources.png"/>
                    <pic:cNvPicPr/>
                  </pic:nvPicPr>
                  <pic:blipFill>
                    <a:blip r:embed="rId16"/>
                    <a:stretch>
                      <a:fillRect/>
                    </a:stretch>
                  </pic:blipFill>
                  <pic:spPr>
                    <a:xfrm>
                      <a:off x="0" y="0"/>
                      <a:ext cx="6012000" cy="4036629"/>
                    </a:xfrm>
                    <a:prstGeom prst="rect"/>
                  </pic:spPr>
                </pic:pic>
              </a:graphicData>
            </a:graphic>
          </wp:inline>
        </w:drawing>
      </w:r>
    </w:p>
    <w:p>
      <w:pPr>
        <w:pStyle w:val="Caption"/>
        <w:keepNext/>
        <w:spacing w:after="60"/>
      </w:pPr>
      <w:r>
        <w:rPr>
          <w:rFonts w:ascii="Times New Roman" w:hAnsi="Times New Roman"/>
          <w:b w:val="0"/>
        </w:rPr>
        <w:t>Рисунок 7 – Раскрытые финансовые ряды национального проекта по источникам в 2025⁠–⁠2030 годах</w:t>
      </w:r>
    </w:p>
    <w:p>
      <w:pPr>
        <w:pStyle w:val="SourceNote"/>
        <w:keepLines/>
        <w:spacing w:after="140"/>
      </w:pPr>
      <w:r>
        <w:rPr>
          <w:rFonts w:ascii="Times New Roman" w:hAnsi="Times New Roman"/>
          <w:b w:val="0"/>
        </w:rPr>
        <w:t xml:space="preserve">Млрд рублей. Региональные бюджетные строки могут включать федеральные трансферты. Ряды показаны отдельно и не интерпретируются как независимые слагаемые консолидированного ресурса. Внебюджетные суммы являются плановыми. </w:t>
      </w:r>
      <w:r>
        <w:rPr>
          <w:rStyle w:val="FootnoteReference"/>
        </w:rPr>
        <w:footnoteReference w:id="91"/>
      </w:r>
    </w:p>
    <w:p>
      <w:pPr>
        <w:pStyle w:val="Caption"/>
        <w:keepNext/>
      </w:pPr>
      <w:r>
        <w:rPr>
          <w:rFonts w:ascii="Times New Roman" w:hAnsi="Times New Roman"/>
          <w:b w:val="0"/>
        </w:rPr>
        <w:t>Таблица 9 – Финансовые строки федеральных проектов за сопоставимый период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4082"/>
        <w:gridCol w:w="1814"/>
        <w:gridCol w:w="1474"/>
        <w:gridCol w:w="2268"/>
      </w:tblGrid>
      <w:tr>
        <w:trPr>
          <w:cantSplit/>
          <w:tblHeader w:val="true"/>
        </w:trPr>
        <w:tc>
          <w:tcPr>
            <w:tcW w:type="dxa" w:w="4082"/>
            <w:vAlign w:val="center"/>
            <w:shd w:val="clear" w:fill="FFFFFF"/>
          </w:tcPr>
          <w:p>
            <w:pPr>
              <w:keepNext w:val="0"/>
              <w:keepLines w:val="0"/>
              <w:spacing w:line="240" w:lineRule="auto" w:before="20" w:after="20"/>
              <w:ind w:firstLine="0"/>
              <w:jc w:val="center"/>
            </w:pPr>
            <w:r>
              <w:rPr>
                <w:rFonts w:ascii="Times New Roman" w:hAnsi="Times New Roman"/>
                <w:b/>
                <w:sz w:val="22"/>
              </w:rPr>
              <w:t>Федеральный проект</w:t>
            </w:r>
          </w:p>
        </w:tc>
        <w:tc>
          <w:tcPr>
            <w:tcW w:type="dxa" w:w="1814"/>
            <w:vAlign w:val="center"/>
            <w:shd w:val="clear" w:fill="FFFFFF"/>
          </w:tcPr>
          <w:p>
            <w:pPr>
              <w:keepNext w:val="0"/>
              <w:keepLines w:val="0"/>
              <w:spacing w:line="240" w:lineRule="auto" w:before="20" w:after="20"/>
              <w:ind w:firstLine="0"/>
              <w:jc w:val="center"/>
            </w:pPr>
            <w:r>
              <w:rPr>
                <w:rFonts w:ascii="Times New Roman" w:hAnsi="Times New Roman"/>
                <w:b/>
                <w:sz w:val="22"/>
              </w:rPr>
              <w:t>2025–2030, млрд руб.</w:t>
            </w:r>
          </w:p>
        </w:tc>
        <w:tc>
          <w:tcPr>
            <w:tcW w:type="dxa" w:w="1474"/>
            <w:vAlign w:val="center"/>
            <w:shd w:val="clear" w:fill="FFFFFF"/>
          </w:tcPr>
          <w:p>
            <w:pPr>
              <w:keepNext w:val="0"/>
              <w:keepLines w:val="0"/>
              <w:spacing w:line="240" w:lineRule="auto" w:before="20" w:after="20"/>
              <w:ind w:firstLine="0"/>
              <w:jc w:val="center"/>
            </w:pPr>
            <w:r>
              <w:rPr>
                <w:rFonts w:ascii="Times New Roman" w:hAnsi="Times New Roman"/>
                <w:b/>
                <w:sz w:val="22"/>
              </w:rPr>
              <w:t>Условная доля, %</w:t>
            </w:r>
          </w:p>
        </w:tc>
        <w:tc>
          <w:tcPr>
            <w:tcW w:type="dxa" w:w="2268"/>
            <w:vAlign w:val="center"/>
            <w:shd w:val="clear" w:fill="FFFFFF"/>
          </w:tcPr>
          <w:p>
            <w:pPr>
              <w:keepNext w:val="0"/>
              <w:keepLines w:val="0"/>
              <w:spacing w:line="240" w:lineRule="auto" w:before="20" w:after="20"/>
              <w:ind w:firstLine="0"/>
              <w:jc w:val="center"/>
            </w:pPr>
            <w:r>
              <w:rPr>
                <w:rFonts w:ascii="Times New Roman" w:hAnsi="Times New Roman"/>
                <w:b/>
                <w:sz w:val="22"/>
              </w:rPr>
              <w:t>Исключено за 2031–2036, млрд руб.</w:t>
            </w:r>
          </w:p>
        </w:tc>
      </w:tr>
      <w:tr>
        <w:trPr>
          <w:cantSplit/>
        </w:trPr>
        <w:tc>
          <w:tcPr>
            <w:tcW w:type="dxa" w:w="4082"/>
            <w:vAlign w:val="center"/>
          </w:tcPr>
          <w:p>
            <w:pPr>
              <w:keepNext w:val="0"/>
              <w:keepLines w:val="0"/>
              <w:spacing w:line="240" w:lineRule="auto" w:before="20" w:after="20"/>
              <w:ind w:firstLine="0"/>
              <w:jc w:val="left"/>
            </w:pPr>
            <w:r>
              <w:rPr>
                <w:rFonts w:ascii="Times New Roman" w:hAnsi="Times New Roman"/>
                <w:b w:val="0"/>
                <w:sz w:val="22"/>
              </w:rPr>
              <w:t>Создание номерного фонда, инфраструктуры и новых точек притяжения</w:t>
            </w:r>
          </w:p>
        </w:tc>
        <w:tc>
          <w:tcPr>
            <w:tcW w:type="dxa" w:w="1814"/>
            <w:vAlign w:val="center"/>
          </w:tcPr>
          <w:p>
            <w:pPr>
              <w:keepNext w:val="0"/>
              <w:keepLines w:val="0"/>
              <w:spacing w:line="240" w:lineRule="auto" w:before="20" w:after="20"/>
              <w:ind w:firstLine="0"/>
              <w:jc w:val="center"/>
            </w:pPr>
            <w:r>
              <w:rPr>
                <w:rFonts w:ascii="Times New Roman" w:hAnsi="Times New Roman"/>
                <w:b w:val="0"/>
                <w:sz w:val="22"/>
              </w:rPr>
              <w:t>581,378</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32,52</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149,460</w:t>
            </w:r>
          </w:p>
        </w:tc>
      </w:tr>
      <w:tr>
        <w:trPr>
          <w:cantSplit/>
        </w:trPr>
        <w:tc>
          <w:tcPr>
            <w:tcW w:type="dxa" w:w="4082"/>
            <w:vAlign w:val="center"/>
          </w:tcPr>
          <w:p>
            <w:pPr>
              <w:keepNext w:val="0"/>
              <w:keepLines w:val="0"/>
              <w:spacing w:line="240" w:lineRule="auto" w:before="20" w:after="20"/>
              <w:ind w:firstLine="0"/>
              <w:jc w:val="left"/>
            </w:pPr>
            <w:r>
              <w:rPr>
                <w:rFonts w:ascii="Times New Roman" w:hAnsi="Times New Roman"/>
                <w:b w:val="0"/>
                <w:sz w:val="22"/>
              </w:rPr>
              <w:t>Пять морей и озеро Байкал</w:t>
            </w:r>
          </w:p>
        </w:tc>
        <w:tc>
          <w:tcPr>
            <w:tcW w:type="dxa" w:w="1814"/>
            <w:vAlign w:val="center"/>
          </w:tcPr>
          <w:p>
            <w:pPr>
              <w:keepNext w:val="0"/>
              <w:keepLines w:val="0"/>
              <w:spacing w:line="240" w:lineRule="auto" w:before="20" w:after="20"/>
              <w:ind w:firstLine="0"/>
              <w:jc w:val="center"/>
            </w:pPr>
            <w:r>
              <w:rPr>
                <w:rFonts w:ascii="Times New Roman" w:hAnsi="Times New Roman"/>
                <w:b w:val="0"/>
                <w:sz w:val="22"/>
              </w:rPr>
              <w:t>1 177,363</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65,85</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w:t>
            </w:r>
          </w:p>
        </w:tc>
      </w:tr>
      <w:tr>
        <w:trPr>
          <w:cantSplit/>
        </w:trPr>
        <w:tc>
          <w:tcPr>
            <w:tcW w:type="dxa" w:w="4082"/>
            <w:vAlign w:val="center"/>
          </w:tcPr>
          <w:p>
            <w:pPr>
              <w:keepNext w:val="0"/>
              <w:keepLines w:val="0"/>
              <w:spacing w:line="240" w:lineRule="auto" w:before="20" w:after="20"/>
              <w:ind w:firstLine="0"/>
              <w:jc w:val="left"/>
            </w:pPr>
            <w:r>
              <w:rPr>
                <w:rFonts w:ascii="Times New Roman" w:hAnsi="Times New Roman"/>
                <w:b w:val="0"/>
                <w:sz w:val="22"/>
              </w:rPr>
              <w:t>Туристическая привлекательность страны</w:t>
            </w:r>
          </w:p>
        </w:tc>
        <w:tc>
          <w:tcPr>
            <w:tcW w:type="dxa" w:w="1814"/>
            <w:vAlign w:val="center"/>
          </w:tcPr>
          <w:p>
            <w:pPr>
              <w:keepNext w:val="0"/>
              <w:keepLines w:val="0"/>
              <w:spacing w:line="240" w:lineRule="auto" w:before="20" w:after="20"/>
              <w:ind w:firstLine="0"/>
              <w:jc w:val="center"/>
            </w:pPr>
            <w:r>
              <w:rPr>
                <w:rFonts w:ascii="Times New Roman" w:hAnsi="Times New Roman"/>
                <w:b w:val="0"/>
                <w:sz w:val="22"/>
              </w:rPr>
              <w:t>20,913</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1,17</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w:t>
            </w:r>
          </w:p>
        </w:tc>
      </w:tr>
      <w:tr>
        <w:trPr>
          <w:cantSplit/>
        </w:trPr>
        <w:tc>
          <w:tcPr>
            <w:tcW w:type="dxa" w:w="4082"/>
            <w:vAlign w:val="center"/>
          </w:tcPr>
          <w:p>
            <w:pPr>
              <w:keepNext w:val="0"/>
              <w:keepLines w:val="0"/>
              <w:spacing w:line="240" w:lineRule="auto" w:before="20" w:after="20"/>
              <w:ind w:firstLine="0"/>
              <w:jc w:val="left"/>
            </w:pPr>
            <w:r>
              <w:rPr>
                <w:rFonts w:ascii="Times New Roman" w:hAnsi="Times New Roman"/>
                <w:b w:val="0"/>
                <w:sz w:val="22"/>
              </w:rPr>
              <w:t>Кадры для туризма</w:t>
            </w:r>
          </w:p>
        </w:tc>
        <w:tc>
          <w:tcPr>
            <w:tcW w:type="dxa" w:w="1814"/>
            <w:vAlign w:val="center"/>
          </w:tcPr>
          <w:p>
            <w:pPr>
              <w:keepNext w:val="0"/>
              <w:keepLines w:val="0"/>
              <w:spacing w:line="240" w:lineRule="auto" w:before="20" w:after="20"/>
              <w:ind w:firstLine="0"/>
              <w:jc w:val="center"/>
            </w:pPr>
            <w:r>
              <w:rPr>
                <w:rFonts w:ascii="Times New Roman" w:hAnsi="Times New Roman"/>
                <w:b w:val="0"/>
                <w:sz w:val="22"/>
              </w:rPr>
              <w:t>4,272</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0,24</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0,060</w:t>
            </w:r>
          </w:p>
        </w:tc>
      </w:tr>
      <w:tr>
        <w:trPr>
          <w:cantSplit/>
        </w:trPr>
        <w:tc>
          <w:tcPr>
            <w:tcW w:type="dxa" w:w="4082"/>
            <w:vAlign w:val="center"/>
          </w:tcPr>
          <w:p>
            <w:pPr>
              <w:keepNext w:val="0"/>
              <w:keepLines w:val="0"/>
              <w:spacing w:line="240" w:lineRule="auto" w:before="20" w:after="20"/>
              <w:ind w:firstLine="0"/>
              <w:jc w:val="left"/>
            </w:pPr>
            <w:r>
              <w:rPr>
                <w:rFonts w:ascii="Times New Roman" w:hAnsi="Times New Roman"/>
                <w:b w:val="0"/>
                <w:sz w:val="22"/>
              </w:rPr>
              <w:t>Производство отечественной продукции для туристской индустрии</w:t>
            </w:r>
          </w:p>
        </w:tc>
        <w:tc>
          <w:tcPr>
            <w:tcW w:type="dxa" w:w="1814"/>
            <w:vAlign w:val="center"/>
          </w:tcPr>
          <w:p>
            <w:pPr>
              <w:keepNext w:val="0"/>
              <w:keepLines w:val="0"/>
              <w:spacing w:line="240" w:lineRule="auto" w:before="20" w:after="20"/>
              <w:ind w:firstLine="0"/>
              <w:jc w:val="center"/>
            </w:pPr>
            <w:r>
              <w:rPr>
                <w:rFonts w:ascii="Times New Roman" w:hAnsi="Times New Roman"/>
                <w:b w:val="0"/>
                <w:sz w:val="22"/>
              </w:rPr>
              <w:t>4,038</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0,23</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w:t>
            </w:r>
          </w:p>
        </w:tc>
      </w:tr>
      <w:tr>
        <w:trPr>
          <w:cantSplit/>
        </w:trPr>
        <w:tc>
          <w:tcPr>
            <w:tcW w:type="dxa" w:w="4082"/>
            <w:vAlign w:val="center"/>
          </w:tcPr>
          <w:p>
            <w:pPr>
              <w:keepNext/>
              <w:keepLines w:val="0"/>
              <w:spacing w:line="240" w:lineRule="auto" w:before="20" w:after="20"/>
              <w:ind w:firstLine="0"/>
              <w:jc w:val="left"/>
            </w:pPr>
            <w:r>
              <w:rPr>
                <w:rFonts w:ascii="Times New Roman" w:hAnsi="Times New Roman"/>
                <w:b w:val="0"/>
                <w:sz w:val="22"/>
              </w:rPr>
              <w:t>Итого</w:t>
            </w:r>
          </w:p>
        </w:tc>
        <w:tc>
          <w:tcPr>
            <w:tcW w:type="dxa" w:w="1814"/>
            <w:vAlign w:val="center"/>
          </w:tcPr>
          <w:p>
            <w:pPr>
              <w:keepNext/>
              <w:keepLines w:val="0"/>
              <w:spacing w:line="240" w:lineRule="auto" w:before="20" w:after="20"/>
              <w:ind w:firstLine="0"/>
              <w:jc w:val="center"/>
            </w:pPr>
            <w:r>
              <w:rPr>
                <w:rFonts w:ascii="Times New Roman" w:hAnsi="Times New Roman"/>
                <w:b w:val="0"/>
                <w:sz w:val="22"/>
              </w:rPr>
              <w:t>1 787,964</w:t>
            </w:r>
          </w:p>
        </w:tc>
        <w:tc>
          <w:tcPr>
            <w:tcW w:type="dxa" w:w="1474"/>
            <w:vAlign w:val="center"/>
          </w:tcPr>
          <w:p>
            <w:pPr>
              <w:keepNext/>
              <w:keepLines w:val="0"/>
              <w:spacing w:line="240" w:lineRule="auto" w:before="20" w:after="20"/>
              <w:ind w:firstLine="0"/>
              <w:jc w:val="center"/>
            </w:pPr>
            <w:r>
              <w:rPr>
                <w:rFonts w:ascii="Times New Roman" w:hAnsi="Times New Roman"/>
                <w:b w:val="0"/>
                <w:sz w:val="22"/>
              </w:rPr>
              <w:t>100,00</w:t>
            </w:r>
          </w:p>
        </w:tc>
        <w:tc>
          <w:tcPr>
            <w:tcW w:type="dxa" w:w="2268"/>
            <w:vAlign w:val="center"/>
          </w:tcPr>
          <w:p>
            <w:pPr>
              <w:keepNext/>
              <w:keepLines w:val="0"/>
              <w:spacing w:line="240" w:lineRule="auto" w:before="20" w:after="20"/>
              <w:ind w:firstLine="0"/>
              <w:jc w:val="center"/>
            </w:pPr>
            <w:r>
              <w:rPr>
                <w:rFonts w:ascii="Times New Roman" w:hAnsi="Times New Roman"/>
                <w:b w:val="0"/>
                <w:sz w:val="22"/>
              </w:rPr>
              <w:t>149,520</w:t>
            </w:r>
          </w:p>
        </w:tc>
      </w:tr>
    </w:tbl>
    <w:p>
      <w:pPr>
        <w:pStyle w:val="SourceNote"/>
        <w:keepLines/>
        <w:spacing w:before="80" w:after="120"/>
      </w:pPr>
      <w:r>
        <w:rPr>
          <w:rFonts w:ascii="Times New Roman" w:hAnsi="Times New Roman"/>
          <w:b w:val="0"/>
        </w:rPr>
        <w:t xml:space="preserve">Доли относятся к арифметической сумме раскрытых строк, не очищенной от межбюджетных оборотов. Знак «–» означает отсутствие раскрытых сумм после 2030 года. В П5 строка 2025 года отсутствует. Показан полный опубликованный итог, равный сумме 2026–2030 годов. </w:t>
      </w:r>
      <w:r>
        <w:rPr>
          <w:rStyle w:val="FootnoteReference"/>
        </w:rPr>
        <w:footnoteReference w:id="92"/>
      </w:r>
    </w:p>
    <w:p>
      <w:pPr>
        <w:keepNext/>
        <w:pageBreakBefore w:val="0"/>
        <w:spacing w:line="240" w:lineRule="auto" w:before="120" w:after="60"/>
        <w:ind w:firstLine="0"/>
        <w:jc w:val="center"/>
      </w:pPr>
      <w:r>
        <w:drawing>
          <wp:inline xmlns:a="http://schemas.openxmlformats.org/drawingml/2006/main" xmlns:pic="http://schemas.openxmlformats.org/drawingml/2006/picture">
            <wp:extent cx="6012000" cy="3907800"/>
            <wp:docPr id="8" name="Picture 8"/>
            <wp:cNvGraphicFramePr>
              <a:graphicFrameLocks noChangeAspect="1"/>
            </wp:cNvGraphicFramePr>
            <a:graphic>
              <a:graphicData uri="http://schemas.openxmlformats.org/drawingml/2006/picture">
                <pic:pic>
                  <pic:nvPicPr>
                    <pic:cNvPr id="0" name="finance_mix.png"/>
                    <pic:cNvPicPr/>
                  </pic:nvPicPr>
                  <pic:blipFill>
                    <a:blip r:embed="rId17"/>
                    <a:stretch>
                      <a:fillRect/>
                    </a:stretch>
                  </pic:blipFill>
                  <pic:spPr>
                    <a:xfrm>
                      <a:off x="0" y="0"/>
                      <a:ext cx="6012000" cy="3907800"/>
                    </a:xfrm>
                    <a:prstGeom prst="rect"/>
                  </pic:spPr>
                </pic:pic>
              </a:graphicData>
            </a:graphic>
          </wp:inline>
        </w:drawing>
      </w:r>
    </w:p>
    <w:p>
      <w:pPr>
        <w:pStyle w:val="Caption"/>
        <w:keepNext/>
        <w:spacing w:after="60"/>
      </w:pPr>
      <w:r>
        <w:rPr>
          <w:rFonts w:ascii="Times New Roman" w:hAnsi="Times New Roman"/>
          <w:b w:val="0"/>
        </w:rPr>
        <w:t>Рисунок 8 – Условная структура арифметической суммы раскрытых финансовых строк пяти федеральных проектов</w:t>
      </w:r>
    </w:p>
    <w:p>
      <w:pPr>
        <w:pStyle w:val="SourceNote"/>
        <w:keepLines/>
        <w:spacing w:after="140"/>
      </w:pPr>
      <w:r>
        <w:rPr>
          <w:rFonts w:ascii="Times New Roman" w:hAnsi="Times New Roman"/>
          <w:b w:val="0"/>
        </w:rPr>
        <w:t xml:space="preserve">Период 2025–2030 годов. Доли рассчитаны от 1 787,964 млрд рублей и не являются долями чистых бюджетных расходов. Из П1 и П4 исключены строки после 2030 года. Для П5 использован раскрытый полный итог при отсутствии отдельной строки 2025 года. </w:t>
      </w:r>
      <w:r>
        <w:rPr>
          <w:rStyle w:val="FootnoteReference"/>
        </w:rPr>
        <w:footnoteReference w:id="93"/>
      </w:r>
    </w:p>
    <w:p>
      <w:pPr>
        <w:pStyle w:val="Heading2"/>
      </w:pPr>
      <w:bookmarkStart w:id="37" w:name="sec_36"/>
      <w:r>
        <w:t>5.4 Морские курорты и отложенные внебюджетные вложения</w:t>
      </w:r>
      <w:bookmarkEnd w:id="37"/>
    </w:p>
    <w:p>
      <w:r>
        <w:rPr>
          <w:rFonts w:ascii="Times New Roman" w:hAnsi="Times New Roman"/>
          <w:b w:val="0"/>
        </w:rPr>
        <w:t xml:space="preserve">Финансирование «Пяти морей и озера Байкал» в значительной степени зависит от будущих вложений. Из раскрытой суммы 1 177,363 млрд рублей на внебюджетные источники приходится 1 024,056 млрд, на федеральную строку – 99,736 млрд, на региональную валовую строку – 53,571 млрд. Внебюджетный компонент составляет 86,98% условного арифметического итога. Из него 751,183 млрд, или 73,35%, отнесено к 2028–2030 годам. Основная часть предполагаемого негосударственного финансирования должна поступить после текущего бюджетного года, когда уже могут возникнуть обязательства по подготовительной и обеспечивающей инфраструктуре. </w:t>
      </w:r>
      <w:r>
        <w:rPr>
          <w:rStyle w:val="FootnoteReference"/>
        </w:rPr>
        <w:footnoteReference w:id="94"/>
      </w:r>
    </w:p>
    <w:p>
      <w:r>
        <w:rPr>
          <w:rFonts w:ascii="Times New Roman" w:hAnsi="Times New Roman"/>
          <w:b w:val="0"/>
        </w:rPr>
        <w:t>Различие сроков государственных и частных вложений создаёт риск несогласованного исполнения. Дорога, водоснабжение, очистные сооружения и электросети требуют вложений до появления устойчивого денежного потока гостиниц. Частный инвестор, напротив, заинтересован в подтверждении доступности инфраструктуры и спроса до окончательного принятия обязательств. Если бюджетная часть реализуется быстрее, чем частная, возникает риск недозагрузки созданных мощностей. Если медленнее – стоимость задержки переносится на инвестора и может вызвать пересмотр проекта. Сам по себе высокий внебюджетный план не доказывает, что данный разрыв уже закрыт банковскими договорами и собственным капиталом участников.</w:t>
      </w:r>
    </w:p>
    <w:p>
      <w:r>
        <w:rPr>
          <w:rFonts w:ascii="Times New Roman" w:hAnsi="Times New Roman"/>
          <w:b w:val="0"/>
        </w:rPr>
        <w:t xml:space="preserve">Паспорт связывает внебюджетный ряд с результатом предоставления льготных кредитов и указывает 25,836 млрд рублей федерального финансирования соответствующего механизма на 2025–2030 годы. В годовых значениях результата предусмотрено по 40 единиц в 2026–2030 годах, всего 200. Показатель описывает поддерживаемые операции. Объём освоенных инвестиций или число введённых гостиниц он не измеряет. Для оценки дополнительности необходимо знать величину и срок каждого кредита, график выдачи, долю рефинансирования, фактическое использование и состав объектов. Деление 1 024,056 млрд внебюджетного плана на число кредитов не даёт стоимости бюджетной поддержки, поскольку смешивает разные финансовые инструменты. </w:t>
      </w:r>
      <w:r>
        <w:rPr>
          <w:rStyle w:val="FootnoteReference"/>
        </w:rPr>
        <w:footnoteReference w:id="95"/>
      </w:r>
    </w:p>
    <w:p>
      <w:r>
        <w:rPr>
          <w:rFonts w:ascii="Times New Roman" w:hAnsi="Times New Roman"/>
          <w:b w:val="0"/>
        </w:rPr>
        <w:t xml:space="preserve">Дополнительное ограничение связано с описанием бюджетных инвестиций «Туризм.РФ». Финансовые строки результата дают 7,5 млрд рублей за 2027–2030 годы, итоговое значение и годовой ряд – 114 проектов к 2030 году. Однако текстовая характеристика говорит о 124 проектах и включает десять проектов 2026 года. До согласования этих элементов паспорт не предоставляет однозначный знаменатель для расчёта стоимости участия в одном проекте. Один инвестиционный проект может включать несколько объектов, а участие корпорации не равно полной стоимости строительства. Экономическая оценка должна учитывать долю капитала, обязательства сторон и результат, полученный в обмен на государственное участие. </w:t>
      </w:r>
      <w:r>
        <w:rPr>
          <w:rStyle w:val="FootnoteReference"/>
        </w:rPr>
        <w:footnoteReference w:id="96"/>
      </w:r>
    </w:p>
    <w:p>
      <w:r>
        <w:rPr>
          <w:rFonts w:ascii="Times New Roman" w:hAnsi="Times New Roman"/>
          <w:b w:val="0"/>
        </w:rPr>
        <w:t>Для долгосрочных курортов обязательна оценка расходов после ввода. Капитальные вложения формируют актив, которому потребуются обслуживание, обновление, энергоснабжение, персонал и транспортное обеспечение. Затраты могут оплачивать инвестор, муниципалитет, регион или пользователь через тариф. Их отсутствие в одной строке НП не означает отсутствия для экономики. Обоснование круглогодичного режима должно подтверждаться распределением загрузки и доходов по сезонам: высокая посещаемость нескольких летних недель не гарантирует финансовой устойчивости объекта, рассчитанного на постоянную эксплуатацию.</w:t>
      </w:r>
    </w:p>
    <w:p>
      <w:pPr>
        <w:pStyle w:val="Heading2"/>
      </w:pPr>
      <w:bookmarkStart w:id="38" w:name="sec_37"/>
      <w:r>
        <w:t>5.5 Бюджетные предложения на 2027–2029 годы</w:t>
      </w:r>
      <w:bookmarkEnd w:id="38"/>
    </w:p>
    <w:p>
      <w:r>
        <w:rPr>
          <w:rFonts w:ascii="Times New Roman" w:hAnsi="Times New Roman"/>
          <w:b w:val="0"/>
        </w:rPr>
        <w:t xml:space="preserve">В пояснительной записке к проекту федерального бюджета на 2027 год предусмотрено 87,9284 млрд рублей на национальный проект, на 2028 год – 88,1524 млрд, на 2029 год – 77,5814 млрд. Общая сумма трёхлетних предложений составляет 253,6622 млрд рублей. Для сравнения в той же таблице приведена роспись 2026 года на 1 сентября – 64,4531 млрд. Прирост 2027 года относительно этой базы составляет 23,4753 млрд рублей, или 36,42%. Расчёт характеризует номинальное изменение федеральных ассигнований между годами. Реальный прирост капитальных вложений отрасли по нему определить нельзя. </w:t>
      </w:r>
      <w:r>
        <w:rPr>
          <w:rStyle w:val="FootnoteReference"/>
        </w:rPr>
        <w:footnoteReference w:id="97"/>
      </w:r>
    </w:p>
    <w:p>
      <w:r>
        <w:rPr>
          <w:rFonts w:ascii="Times New Roman" w:hAnsi="Times New Roman"/>
          <w:b w:val="0"/>
        </w:rPr>
        <w:t xml:space="preserve">Ассигнования на создание номерного фонда увеличиваются с 45,7852 до 71,6363 млрд рублей, то есть на 25,8511 млрд. По морским курортам предусмотрено сокращение на 0,1900 млрд, по туристической привлекательности – на 4,4940 млрд. Кадровое направление увеличивается на 0,0565 млрд, промышленное – на 0,1701 млрд. Дополнительно появляются 2,0816 млрд зарезервированных ассигнований. Сумма всех изменений точно воспроизводит общий прирост. Резерв, согласно записке, предназначен для мероприятий по развитию национального маршрута «Золотое кольцо», но не является фактически произведённым расходом или завершённым объектом. </w:t>
      </w:r>
      <w:r>
        <w:rPr>
          <w:rStyle w:val="FootnoteReference"/>
        </w:rPr>
        <w:footnoteReference w:id="98"/>
      </w:r>
    </w:p>
    <w:p>
      <w:pPr>
        <w:keepNext/>
        <w:pageBreakBefore w:val="0"/>
        <w:spacing w:line="240" w:lineRule="auto" w:before="120" w:after="60"/>
        <w:ind w:firstLine="0"/>
        <w:jc w:val="center"/>
      </w:pPr>
      <w:r>
        <w:drawing>
          <wp:inline xmlns:a="http://schemas.openxmlformats.org/drawingml/2006/main" xmlns:pic="http://schemas.openxmlformats.org/drawingml/2006/picture">
            <wp:extent cx="6012000" cy="4165457"/>
            <wp:docPr id="9" name="Picture 9"/>
            <wp:cNvGraphicFramePr>
              <a:graphicFrameLocks noChangeAspect="1"/>
            </wp:cNvGraphicFramePr>
            <a:graphic>
              <a:graphicData uri="http://schemas.openxmlformats.org/drawingml/2006/picture">
                <pic:pic>
                  <pic:nvPicPr>
                    <pic:cNvPr id="0" name="budget_change.png"/>
                    <pic:cNvPicPr/>
                  </pic:nvPicPr>
                  <pic:blipFill>
                    <a:blip r:embed="rId18"/>
                    <a:stretch>
                      <a:fillRect/>
                    </a:stretch>
                  </pic:blipFill>
                  <pic:spPr>
                    <a:xfrm>
                      <a:off x="0" y="0"/>
                      <a:ext cx="6012000" cy="4165457"/>
                    </a:xfrm>
                    <a:prstGeom prst="rect"/>
                  </pic:spPr>
                </pic:pic>
              </a:graphicData>
            </a:graphic>
          </wp:inline>
        </w:drawing>
      </w:r>
    </w:p>
    <w:p>
      <w:pPr>
        <w:pStyle w:val="Caption"/>
        <w:keepNext/>
        <w:spacing w:after="60"/>
      </w:pPr>
      <w:r>
        <w:rPr>
          <w:rFonts w:ascii="Times New Roman" w:hAnsi="Times New Roman"/>
          <w:b w:val="0"/>
        </w:rPr>
        <w:t>Рисунок 9 – Вклад федеральных проектов и резерва в изменение ассигнований между росписью 2026 года и проектом бюджета на 2027 год</w:t>
      </w:r>
    </w:p>
    <w:p>
      <w:pPr>
        <w:pStyle w:val="SourceNote"/>
        <w:keepLines/>
        <w:spacing w:after="140"/>
      </w:pPr>
      <w:r>
        <w:rPr>
          <w:rFonts w:ascii="Times New Roman" w:hAnsi="Times New Roman"/>
          <w:b w:val="0"/>
        </w:rPr>
        <w:t xml:space="preserve">Млрд рублей. База – сводная бюджетная роспись на 01.09.2026, сравнение – предложения на 2027 год. Сумма изменений составляет +23,4753 млрд рублей. </w:t>
      </w:r>
      <w:r>
        <w:rPr>
          <w:rStyle w:val="FootnoteReference"/>
        </w:rPr>
        <w:footnoteReference w:id="99"/>
      </w:r>
    </w:p>
    <w:p>
      <w:r>
        <w:rPr>
          <w:rFonts w:ascii="Times New Roman" w:hAnsi="Times New Roman"/>
          <w:b w:val="0"/>
        </w:rPr>
        <w:t xml:space="preserve">Сокращение финансирования туристической привлекательности требует расшифровки по мероприятиям. В базе 2026 года присутствует 4,3701 млрд рублей по строке иных мероприятий структурного элемента. На 2027–2029 годы она равна нулю. Поэтому снижение всего ФП нельзя целиком трактовать как отказ от продвижения туризма. Поимённые направления продолжают включать внутреннее и зарубежное продвижение, экспертное сопровождение, обратную связь с отраслью и информационные системы. Для вывода об изменении конкретного инструмента нужны его собственная строка и неизменный состав мероприятий. </w:t>
      </w:r>
      <w:r>
        <w:rPr>
          <w:rStyle w:val="FootnoteReference"/>
        </w:rPr>
        <w:footnoteReference w:id="100"/>
      </w:r>
    </w:p>
    <w:p>
      <w:r>
        <w:rPr>
          <w:rFonts w:ascii="Times New Roman" w:hAnsi="Times New Roman"/>
          <w:b w:val="0"/>
        </w:rPr>
        <w:t xml:space="preserve">Значительная часть средств приходится на процентную поддержку. В 2027 году четыре раскрытые строки – общий механизм льготного кредитования туристической инфраструктуры, поддержка горнолыжных курортов, кредитование морских курортов и рефинансирование кредитов круглогодичных парков развлечений – в сумме составляют 50,4584 млрд рублей, или 57,39% федеральных предложений по НП. В росписи 2026 года их сумма равна 28,8001 млрд. Увеличение на 21,6583 млрд составляет 92,26% чистого прироста всего проекта. Пропорция характеризует вклад финансового механизма в изменение расходов. Она не означает, что 92,26% будущего экономического результата обеспечивается кредитами. </w:t>
      </w:r>
      <w:r>
        <w:rPr>
          <w:rStyle w:val="FootnoteReference"/>
        </w:rPr>
        <w:footnoteReference w:id="101"/>
      </w:r>
    </w:p>
    <w:p>
      <w:r>
        <w:rPr>
          <w:rFonts w:ascii="Times New Roman" w:hAnsi="Times New Roman"/>
          <w:b w:val="0"/>
        </w:rPr>
        <w:t xml:space="preserve">Финансовые строки проекта бюджета и паспорта нельзя объединять без согласования редакций. Федеральная строка НП на 2026 год составляет 65,3118514 млрд рублей, что отличается от сентябрьской росписи на 0,8587514 млрд. На 2027 год паспорт содержит 76,6695835 млрд, тогда как бюджетное предложение выше на 11,2588165 млрд. Для 2028 года расхождение составляет плюс 3,8524349 млрд, для 2029 года – минус 0,7981479 млрд. Расчёт сопоставляет редакции и стадии бюджетного процесса. Он не даёт основания заменять отдельные годы внутри паспортного шестилетнего итога и представлять полученную смешанную сумму как утверждённую стоимость проекта. </w:t>
      </w:r>
      <w:r>
        <w:rPr>
          <w:rStyle w:val="FootnoteReference"/>
        </w:rPr>
        <w:footnoteReference w:id="102"/>
      </w:r>
    </w:p>
    <w:p>
      <w:pPr>
        <w:pStyle w:val="Caption"/>
        <w:keepNext/>
      </w:pPr>
      <w:r>
        <w:rPr>
          <w:rFonts w:ascii="Times New Roman" w:hAnsi="Times New Roman"/>
          <w:b w:val="0"/>
        </w:rPr>
        <w:t>Таблица 10 – Федеральные ассигнования: роспись 2026 года и проект бюджета на 2027⁠–⁠2029 годы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3742"/>
        <w:gridCol w:w="1474"/>
        <w:gridCol w:w="1474"/>
        <w:gridCol w:w="1474"/>
        <w:gridCol w:w="1474"/>
      </w:tblGrid>
      <w:tr>
        <w:trPr>
          <w:cantSplit/>
          <w:tblHeader w:val="true"/>
        </w:trPr>
        <w:tc>
          <w:tcPr>
            <w:tcW w:type="dxa" w:w="3742"/>
            <w:vAlign w:val="center"/>
            <w:shd w:val="clear" w:fill="FFFFFF"/>
          </w:tcPr>
          <w:p>
            <w:pPr>
              <w:keepNext w:val="0"/>
              <w:keepLines w:val="0"/>
              <w:spacing w:line="240" w:lineRule="auto" w:before="20" w:after="20"/>
              <w:ind w:firstLine="0"/>
              <w:jc w:val="center"/>
            </w:pPr>
            <w:r>
              <w:rPr>
                <w:rFonts w:ascii="Times New Roman" w:hAnsi="Times New Roman"/>
                <w:b/>
                <w:sz w:val="22"/>
              </w:rPr>
              <w:t>Направление</w:t>
            </w:r>
          </w:p>
        </w:tc>
        <w:tc>
          <w:tcPr>
            <w:tcW w:type="dxa" w:w="1474"/>
            <w:vAlign w:val="center"/>
            <w:shd w:val="clear" w:fill="FFFFFF"/>
          </w:tcPr>
          <w:p>
            <w:pPr>
              <w:keepNext w:val="0"/>
              <w:keepLines w:val="0"/>
              <w:spacing w:line="240" w:lineRule="auto" w:before="20" w:after="20"/>
              <w:ind w:firstLine="0"/>
              <w:jc w:val="center"/>
            </w:pPr>
            <w:r>
              <w:rPr>
                <w:rFonts w:ascii="Times New Roman" w:hAnsi="Times New Roman"/>
                <w:b/>
                <w:sz w:val="22"/>
              </w:rPr>
              <w:t>2026: роспись 01.09</w:t>
            </w:r>
          </w:p>
        </w:tc>
        <w:tc>
          <w:tcPr>
            <w:tcW w:type="dxa" w:w="1474"/>
            <w:vAlign w:val="center"/>
            <w:shd w:val="clear" w:fill="FFFFFF"/>
          </w:tcPr>
          <w:p>
            <w:pPr>
              <w:keepNext w:val="0"/>
              <w:keepLines w:val="0"/>
              <w:spacing w:line="240" w:lineRule="auto" w:before="20" w:after="20"/>
              <w:ind w:firstLine="0"/>
              <w:jc w:val="center"/>
            </w:pPr>
            <w:r>
              <w:rPr>
                <w:rFonts w:ascii="Times New Roman" w:hAnsi="Times New Roman"/>
                <w:b/>
                <w:sz w:val="22"/>
              </w:rPr>
              <w:t>2027: проект</w:t>
            </w:r>
          </w:p>
        </w:tc>
        <w:tc>
          <w:tcPr>
            <w:tcW w:type="dxa" w:w="1474"/>
            <w:vAlign w:val="center"/>
            <w:shd w:val="clear" w:fill="FFFFFF"/>
          </w:tcPr>
          <w:p>
            <w:pPr>
              <w:keepNext w:val="0"/>
              <w:keepLines w:val="0"/>
              <w:spacing w:line="240" w:lineRule="auto" w:before="20" w:after="20"/>
              <w:ind w:firstLine="0"/>
              <w:jc w:val="center"/>
            </w:pPr>
            <w:r>
              <w:rPr>
                <w:rFonts w:ascii="Times New Roman" w:hAnsi="Times New Roman"/>
                <w:b/>
                <w:sz w:val="22"/>
              </w:rPr>
              <w:t>2028: проект</w:t>
            </w:r>
          </w:p>
        </w:tc>
        <w:tc>
          <w:tcPr>
            <w:tcW w:type="dxa" w:w="1474"/>
            <w:vAlign w:val="center"/>
            <w:shd w:val="clear" w:fill="FFFFFF"/>
          </w:tcPr>
          <w:p>
            <w:pPr>
              <w:keepNext w:val="0"/>
              <w:keepLines w:val="0"/>
              <w:spacing w:line="240" w:lineRule="auto" w:before="20" w:after="20"/>
              <w:ind w:firstLine="0"/>
              <w:jc w:val="center"/>
            </w:pPr>
            <w:r>
              <w:rPr>
                <w:rFonts w:ascii="Times New Roman" w:hAnsi="Times New Roman"/>
                <w:b/>
                <w:sz w:val="22"/>
              </w:rPr>
              <w:t>2029: проект</w:t>
            </w:r>
          </w:p>
        </w:tc>
      </w:tr>
      <w:tr>
        <w:trPr>
          <w:cantSplit/>
        </w:trPr>
        <w:tc>
          <w:tcPr>
            <w:tcW w:type="dxa" w:w="3742"/>
            <w:vAlign w:val="center"/>
          </w:tcPr>
          <w:p>
            <w:pPr>
              <w:keepNext w:val="0"/>
              <w:keepLines w:val="0"/>
              <w:spacing w:line="240" w:lineRule="auto" w:before="20" w:after="20"/>
              <w:ind w:firstLine="0"/>
              <w:jc w:val="left"/>
            </w:pPr>
            <w:r>
              <w:rPr>
                <w:rFonts w:ascii="Times New Roman" w:hAnsi="Times New Roman"/>
                <w:b w:val="0"/>
                <w:sz w:val="22"/>
              </w:rPr>
              <w:t>Создание номерного фонда, инфраструктуры и новых точек притяжения</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45,7852</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71,6363</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60,1020</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48,8570</w:t>
            </w:r>
          </w:p>
        </w:tc>
      </w:tr>
      <w:tr>
        <w:trPr>
          <w:cantSplit/>
        </w:trPr>
        <w:tc>
          <w:tcPr>
            <w:tcW w:type="dxa" w:w="3742"/>
            <w:vAlign w:val="center"/>
          </w:tcPr>
          <w:p>
            <w:pPr>
              <w:keepNext w:val="0"/>
              <w:keepLines w:val="0"/>
              <w:spacing w:line="240" w:lineRule="auto" w:before="20" w:after="20"/>
              <w:ind w:firstLine="0"/>
              <w:jc w:val="left"/>
            </w:pPr>
            <w:r>
              <w:rPr>
                <w:rFonts w:ascii="Times New Roman" w:hAnsi="Times New Roman"/>
                <w:b w:val="0"/>
                <w:sz w:val="22"/>
              </w:rPr>
              <w:t>Пять морей и озеро Байкал</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10,3458</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10,1558</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20,2000</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21,7467</w:t>
            </w:r>
          </w:p>
        </w:tc>
      </w:tr>
      <w:tr>
        <w:trPr>
          <w:cantSplit/>
        </w:trPr>
        <w:tc>
          <w:tcPr>
            <w:tcW w:type="dxa" w:w="3742"/>
            <w:vAlign w:val="center"/>
          </w:tcPr>
          <w:p>
            <w:pPr>
              <w:keepNext w:val="0"/>
              <w:keepLines w:val="0"/>
              <w:spacing w:line="240" w:lineRule="auto" w:before="20" w:after="20"/>
              <w:ind w:firstLine="0"/>
              <w:jc w:val="left"/>
            </w:pPr>
            <w:r>
              <w:rPr>
                <w:rFonts w:ascii="Times New Roman" w:hAnsi="Times New Roman"/>
                <w:b w:val="0"/>
                <w:sz w:val="22"/>
              </w:rPr>
              <w:t>Туристическая привлекательность страны</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6,9637</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2,4697</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3,2290</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2,1732</w:t>
            </w:r>
          </w:p>
        </w:tc>
      </w:tr>
      <w:tr>
        <w:trPr>
          <w:cantSplit/>
        </w:trPr>
        <w:tc>
          <w:tcPr>
            <w:tcW w:type="dxa" w:w="3742"/>
            <w:vAlign w:val="center"/>
          </w:tcPr>
          <w:p>
            <w:pPr>
              <w:keepNext w:val="0"/>
              <w:keepLines w:val="0"/>
              <w:spacing w:line="240" w:lineRule="auto" w:before="20" w:after="20"/>
              <w:ind w:firstLine="0"/>
              <w:jc w:val="left"/>
            </w:pPr>
            <w:r>
              <w:rPr>
                <w:rFonts w:ascii="Times New Roman" w:hAnsi="Times New Roman"/>
                <w:b w:val="0"/>
                <w:sz w:val="22"/>
              </w:rPr>
              <w:t>Кадры для туризма</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0,6729</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0,7294</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0,7771</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0,8383</w:t>
            </w:r>
          </w:p>
        </w:tc>
      </w:tr>
      <w:tr>
        <w:trPr>
          <w:cantSplit/>
        </w:trPr>
        <w:tc>
          <w:tcPr>
            <w:tcW w:type="dxa" w:w="3742"/>
            <w:vAlign w:val="center"/>
          </w:tcPr>
          <w:p>
            <w:pPr>
              <w:keepNext w:val="0"/>
              <w:keepLines w:val="0"/>
              <w:spacing w:line="240" w:lineRule="auto" w:before="20" w:after="20"/>
              <w:ind w:firstLine="0"/>
              <w:jc w:val="left"/>
            </w:pPr>
            <w:r>
              <w:rPr>
                <w:rFonts w:ascii="Times New Roman" w:hAnsi="Times New Roman"/>
                <w:b w:val="0"/>
                <w:sz w:val="22"/>
              </w:rPr>
              <w:t>Производство отечественной продукции для туристской индустрии</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0,6855</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0,8556</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0,8324</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0,8324</w:t>
            </w:r>
          </w:p>
        </w:tc>
      </w:tr>
      <w:tr>
        <w:trPr>
          <w:cantSplit/>
        </w:trPr>
        <w:tc>
          <w:tcPr>
            <w:tcW w:type="dxa" w:w="3742"/>
            <w:vAlign w:val="center"/>
          </w:tcPr>
          <w:p>
            <w:pPr>
              <w:keepNext w:val="0"/>
              <w:keepLines w:val="0"/>
              <w:spacing w:line="240" w:lineRule="auto" w:before="20" w:after="20"/>
              <w:ind w:firstLine="0"/>
              <w:jc w:val="left"/>
            </w:pPr>
            <w:r>
              <w:rPr>
                <w:rFonts w:ascii="Times New Roman" w:hAnsi="Times New Roman"/>
                <w:b w:val="0"/>
                <w:sz w:val="22"/>
              </w:rPr>
              <w:t>Зарезервированные ассигнования</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0,0000</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2,0816</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3,0119</w:t>
            </w:r>
          </w:p>
        </w:tc>
        <w:tc>
          <w:tcPr>
            <w:tcW w:type="dxa" w:w="1474"/>
            <w:vAlign w:val="center"/>
          </w:tcPr>
          <w:p>
            <w:pPr>
              <w:keepNext w:val="0"/>
              <w:keepLines w:val="0"/>
              <w:spacing w:line="240" w:lineRule="auto" w:before="20" w:after="20"/>
              <w:ind w:firstLine="0"/>
              <w:jc w:val="center"/>
            </w:pPr>
            <w:r>
              <w:rPr>
                <w:rFonts w:ascii="Times New Roman" w:hAnsi="Times New Roman"/>
                <w:b w:val="0"/>
                <w:sz w:val="22"/>
              </w:rPr>
              <w:t>3,1338</w:t>
            </w:r>
          </w:p>
        </w:tc>
      </w:tr>
      <w:tr>
        <w:trPr>
          <w:cantSplit/>
        </w:trPr>
        <w:tc>
          <w:tcPr>
            <w:tcW w:type="dxa" w:w="3742"/>
            <w:vAlign w:val="center"/>
          </w:tcPr>
          <w:p>
            <w:pPr>
              <w:keepNext/>
              <w:keepLines w:val="0"/>
              <w:spacing w:line="240" w:lineRule="auto" w:before="20" w:after="20"/>
              <w:ind w:firstLine="0"/>
              <w:jc w:val="left"/>
            </w:pPr>
            <w:r>
              <w:rPr>
                <w:rFonts w:ascii="Times New Roman" w:hAnsi="Times New Roman"/>
                <w:b w:val="0"/>
                <w:sz w:val="22"/>
              </w:rPr>
              <w:t>Всего</w:t>
            </w:r>
          </w:p>
        </w:tc>
        <w:tc>
          <w:tcPr>
            <w:tcW w:type="dxa" w:w="1474"/>
            <w:vAlign w:val="center"/>
          </w:tcPr>
          <w:p>
            <w:pPr>
              <w:keepNext/>
              <w:keepLines w:val="0"/>
              <w:spacing w:line="240" w:lineRule="auto" w:before="20" w:after="20"/>
              <w:ind w:firstLine="0"/>
              <w:jc w:val="center"/>
            </w:pPr>
            <w:r>
              <w:rPr>
                <w:rFonts w:ascii="Times New Roman" w:hAnsi="Times New Roman"/>
                <w:b w:val="0"/>
                <w:sz w:val="22"/>
              </w:rPr>
              <w:t>64,4531</w:t>
            </w:r>
          </w:p>
        </w:tc>
        <w:tc>
          <w:tcPr>
            <w:tcW w:type="dxa" w:w="1474"/>
            <w:vAlign w:val="center"/>
          </w:tcPr>
          <w:p>
            <w:pPr>
              <w:keepNext/>
              <w:keepLines w:val="0"/>
              <w:spacing w:line="240" w:lineRule="auto" w:before="20" w:after="20"/>
              <w:ind w:firstLine="0"/>
              <w:jc w:val="center"/>
            </w:pPr>
            <w:r>
              <w:rPr>
                <w:rFonts w:ascii="Times New Roman" w:hAnsi="Times New Roman"/>
                <w:b w:val="0"/>
                <w:sz w:val="22"/>
              </w:rPr>
              <w:t>87,9284</w:t>
            </w:r>
          </w:p>
        </w:tc>
        <w:tc>
          <w:tcPr>
            <w:tcW w:type="dxa" w:w="1474"/>
            <w:vAlign w:val="center"/>
          </w:tcPr>
          <w:p>
            <w:pPr>
              <w:keepNext/>
              <w:keepLines w:val="0"/>
              <w:spacing w:line="240" w:lineRule="auto" w:before="20" w:after="20"/>
              <w:ind w:firstLine="0"/>
              <w:jc w:val="center"/>
            </w:pPr>
            <w:r>
              <w:rPr>
                <w:rFonts w:ascii="Times New Roman" w:hAnsi="Times New Roman"/>
                <w:b w:val="0"/>
                <w:sz w:val="22"/>
              </w:rPr>
              <w:t>88,1524</w:t>
            </w:r>
          </w:p>
        </w:tc>
        <w:tc>
          <w:tcPr>
            <w:tcW w:type="dxa" w:w="1474"/>
            <w:vAlign w:val="center"/>
          </w:tcPr>
          <w:p>
            <w:pPr>
              <w:keepNext/>
              <w:keepLines w:val="0"/>
              <w:spacing w:line="240" w:lineRule="auto" w:before="20" w:after="20"/>
              <w:ind w:firstLine="0"/>
              <w:jc w:val="center"/>
            </w:pPr>
            <w:r>
              <w:rPr>
                <w:rFonts w:ascii="Times New Roman" w:hAnsi="Times New Roman"/>
                <w:b w:val="0"/>
                <w:sz w:val="22"/>
              </w:rPr>
              <w:t>77,5814</w:t>
            </w:r>
          </w:p>
        </w:tc>
      </w:tr>
    </w:tbl>
    <w:p>
      <w:pPr>
        <w:pStyle w:val="SourceNote"/>
        <w:keepLines/>
        <w:spacing w:before="80" w:after="120"/>
      </w:pPr>
      <w:r>
        <w:rPr>
          <w:rFonts w:ascii="Times New Roman" w:hAnsi="Times New Roman"/>
          <w:b w:val="0"/>
        </w:rPr>
        <w:t xml:space="preserve">Млрд рублей. Таблица 4.1.9 пояснительной записки к законопроекту № 615-9. Все строки пяти ФП и резерва точно согласуются с опубликованными годовыми итогами. Предложения не отождествляются с кассовыми расходами. </w:t>
      </w:r>
      <w:r>
        <w:rPr>
          <w:rStyle w:val="FootnoteReference"/>
        </w:rPr>
        <w:footnoteReference w:id="103"/>
      </w:r>
    </w:p>
    <w:p>
      <w:pPr>
        <w:pStyle w:val="Heading2"/>
      </w:pPr>
      <w:bookmarkStart w:id="39" w:name="sec_38"/>
      <w:r>
        <w:t>5.6 Кассовое исполнение 2026 года</w:t>
      </w:r>
      <w:bookmarkEnd w:id="39"/>
    </w:p>
    <w:p>
      <w:r>
        <w:rPr>
          <w:rFonts w:ascii="Times New Roman" w:hAnsi="Times New Roman"/>
          <w:b w:val="0"/>
        </w:rPr>
        <w:t xml:space="preserve">По предварительным данным Минфина, исполнение федеральных расходов национального проекта на 1 октября 2026 года составляет 75,5% плановых бюджетных назначений. Сообщение датировано 8 октября. Указание в нём на исполнение 100% кассового плана относится к совокупности национальных проектов и не переносится автоматически на туризм. Абсолютная сумма кассовых расходов не восстанавливается умножением 75,5% на паспортный показатель или сентябрьскую роспись: для такого вычисления нужен знаменатель именно той редакции, на основе которой опубликован процент исполнения. </w:t>
      </w:r>
      <w:r>
        <w:rPr>
          <w:rStyle w:val="FootnoteReference"/>
        </w:rPr>
        <w:footnoteReference w:id="104"/>
      </w:r>
    </w:p>
    <w:p>
      <w:r>
        <w:rPr>
          <w:rFonts w:ascii="Times New Roman" w:hAnsi="Times New Roman"/>
          <w:b w:val="0"/>
        </w:rPr>
        <w:t>Достаточно высокая доля перечисленных средств уменьшает неопределённость относительно прохождения бюджетных платежей, но оставляет открытым вопрос о результатах. Расходы могут включать авансирование строительства, перечисление межбюджетной субсидии, компенсацию банку процентной разницы или вклад в капитал института развития. Для каждого инструмента экономическое содержание кассовых расходов различается. Перечисленный трансферт необходимо проследить до расходов получателя, внесённый капитал – до использования проектной компанией, субсидию банку – до обслуживаемого кредитного портфеля. Повторно складывать эти последовательные движения нельзя.</w:t>
      </w:r>
    </w:p>
    <w:p>
      <w:r>
        <w:rPr>
          <w:rFonts w:ascii="Times New Roman" w:hAnsi="Times New Roman"/>
          <w:b w:val="0"/>
        </w:rPr>
        <w:t>Оценка исполнения должна поэтому объединять денежный и физический графики по одному объекту. Для строительства существенны принятые работы, готовность подключения и возможность эксплуатации, для обучения – завершение программы и подтверждённые компетенции, для продвижения – измеримый дополнительный спрос. Отставание платежей не всегда означает отставание результата, если действует оплата после приёмки. Быстрое перечисление средств также может предшествовать фактической готовности. Сопоставление требует учёта условий соглашения и календаря работ. Предположение о равномерном расходовании годового бюджета не может служить универсальным основанием оценки.</w:t>
      </w:r>
    </w:p>
    <w:p>
      <w:pPr>
        <w:pStyle w:val="Heading2"/>
      </w:pPr>
      <w:bookmarkStart w:id="40" w:name="sec_39"/>
      <w:r>
        <w:t>5.7 Льготное кредитование, инвестиции и дополнительность</w:t>
      </w:r>
      <w:bookmarkEnd w:id="40"/>
    </w:p>
    <w:p>
      <w:r>
        <w:rPr>
          <w:rFonts w:ascii="Times New Roman" w:hAnsi="Times New Roman"/>
          <w:b w:val="0"/>
        </w:rPr>
        <w:t xml:space="preserve">Процентная субсидия оплачивает часть стоимости привлечения капитала. Её бюджетный объём зависит от поддерживаемого остатка долга, сроков, условий компенсации и динамики ставок. Увеличение этой строки может сопровождать расширение портфеля, удорожание обслуживания ранее предоставленных кредитов или изменение параметров поддержки. Поэтому рост расходов на субсидирование не тождественен пропорциональному росту новых гостиничных мощностей. Наличие в проекте бюджета отдельной строки рефинансирования парков развлечений показывает, что поддержка может менять условия уже существующих обязательств. </w:t>
      </w:r>
      <w:r>
        <w:rPr>
          <w:rStyle w:val="FootnoteReference"/>
        </w:rPr>
        <w:footnoteReference w:id="105"/>
      </w:r>
    </w:p>
    <w:p>
      <w:r>
        <w:rPr>
          <w:rFonts w:ascii="Times New Roman" w:hAnsi="Times New Roman"/>
          <w:b w:val="0"/>
        </w:rPr>
        <w:t>Экономический вопрос состоит в том, какая часть инвестиций без субсидии не состоялась бы, была бы реализована позднее или имела бы меньший масштаб. Если получатель мог построить тот же объект на рыночных условиях, основным результатом поддержки становится перераспределение дохода в его пользу. Если субсидия снимает ограничение, препятствующее общественно полезному проекту, возникает дополнительный эффект. Различить ситуации можно через сопоставление близких проектов, получивших и не получивших поддержку, с учётом исходной готовности, качества обеспечения, расположения и спроса. Сравнение получателей со всей отраслью может быть смещено различиями в исходной готовности, спросе и условиях отбора. Направление смещения требует проверки.</w:t>
      </w:r>
    </w:p>
    <w:p>
      <w:r>
        <w:rPr>
          <w:rFonts w:ascii="Times New Roman" w:hAnsi="Times New Roman"/>
          <w:b w:val="0"/>
        </w:rPr>
        <w:t>Финансовый анализ требует раздельного учёта бюджетной субсидии, банковского кредита и собственного капитала. Кредит представляет возвратное финансирование. К безвозмездным бюджетным расходам он не относится. Инвестиции описывают использование средств для создания актива. Они могут финансироваться тем же кредитом. Если одновременно суммировать выданный кредит и оплаченные из него строительные работы, получится повторный счёт. Бюджетную цену поддержки следует сопоставлять с дополнительным результатом, тогда как полную инвестиционную стоимость – с будущим потоком услуг и эксплуатационными расходами. Расчёты отвечают на разные вопросы и не должны заменять друг друга.</w:t>
      </w:r>
    </w:p>
    <w:p>
      <w:r>
        <w:rPr>
          <w:rFonts w:ascii="Times New Roman" w:hAnsi="Times New Roman"/>
          <w:b w:val="0"/>
        </w:rPr>
        <w:t xml:space="preserve">Для участия институтов развития важны условия возврата средств и распределения убытков. Взнос в капитал создаёт финансовый актив государства или корпорации, но его экономическая стоимость зависит от перспектив возврата, стоимости последующего финансирования и принимаемого риска. Поддержание деятельности самой корпорации представляет отдельный расход: в паспорте номерного фонда на сопровождение проектов предусмотрено 2,670 млрд рублей, на бюджетные инвестиции – 3,894 млрд. Их нельзя интерпретировать как одинаковые по содержанию вложения в строительные объекты. Сопровождение должно оцениваться через подготовленные и реализованные проекты, сроки прохождения процедур и устранённые ограничения. </w:t>
      </w:r>
      <w:r>
        <w:rPr>
          <w:rStyle w:val="FootnoteReference"/>
        </w:rPr>
        <w:footnoteReference w:id="106"/>
      </w:r>
    </w:p>
    <w:p>
      <w:r>
        <w:rPr>
          <w:rFonts w:ascii="Times New Roman" w:hAnsi="Times New Roman"/>
          <w:b w:val="0"/>
        </w:rPr>
        <w:t xml:space="preserve">Долгосрочные кредитные обязательства также объясняют, почему финансовая оценка не заканчивается формальным 2030 годом. Раскрытые строки номерного фонда продолжаются до 2036 года. В экономическом анализе они требуют внимания к стоимости поддержки за весь период, хотя для структуры 2025–2030 годов исключаются. Решение о новом объекте должно учитывать будущую нагрузку на бюджет, устойчивость заемщика к снижению загрузки и возможную потребность в реструктуризации. Иначе первоначально ограниченная субсидия способна сопровождаться дополнительными обязательствами, которые не видны из расходов года отбора. </w:t>
      </w:r>
      <w:r>
        <w:rPr>
          <w:rStyle w:val="FootnoteReference"/>
        </w:rPr>
        <w:footnoteReference w:id="107"/>
      </w:r>
    </w:p>
    <w:p>
      <w:pPr>
        <w:pStyle w:val="Heading2"/>
      </w:pPr>
      <w:bookmarkStart w:id="41" w:name="sec_40"/>
      <w:r>
        <w:t>5.8 Модульные гостиницы и единая субсидия</w:t>
      </w:r>
      <w:bookmarkEnd w:id="41"/>
    </w:p>
    <w:p>
      <w:r>
        <w:rPr>
          <w:rFonts w:ascii="Times New Roman" w:hAnsi="Times New Roman"/>
          <w:b w:val="0"/>
        </w:rPr>
        <w:t xml:space="preserve">По модульным средствам размещения раскрыты 14,1027794 млрд рублей федеральных перечислений бюджетам субъектов за 2025–2027 годы. Региональная валовая сумма по тому же результату составляет 14,9408377 млрд. Федеральная и региональная суммы перекрываются. При этом количественные строки содержат 6 057 номеров в 2026 году и 4 014 в 2027 году, всего 10 071. Отдельное значение ввода за 2025 год в данном представлении отсутствует, хотя финансирование этого года присутствует. Поэтому деление всей трёхлетней федеральной суммы на 10 071 номер не признаётся надёжной оценкой стоимости номера: необходимо сначала связать платежи и ввод с одними инвестиционными проектами. </w:t>
      </w:r>
      <w:r>
        <w:rPr>
          <w:rStyle w:val="FootnoteReference"/>
        </w:rPr>
        <w:footnoteReference w:id="108"/>
      </w:r>
    </w:p>
    <w:p>
      <w:r>
        <w:rPr>
          <w:rFonts w:ascii="Times New Roman" w:hAnsi="Times New Roman"/>
          <w:b w:val="0"/>
        </w:rPr>
        <w:t>Оценивать целесообразно стоимость дополнительного доступного номерного фонда с учётом периода эксплуатации. Для расчёта нужны количество модулей, размер субсидии, фактическое использование, сезон работы, подключение к инфраструктуре, обслуживание и срок службы. Быстрый ввод может быть полезен при локальном дефиците размещения, однако объект с низкой загрузкой создаёт меньший поток услуг при той же первоначальной поддержке. Сравнивать модульные и капитальные гостиницы следует по сопоставимому качеству, расположению и доступным место-суткам за жизненный цикл. Фактические ночёвки характеризуют использование этой мощности. Расходы необходимо привести к общему базовому году цен. При различающихся сроках службы требуется сопоставимый горизонт с учётом замены и остаточной стоимости либо расчёт эквивалентных годовых затрат.</w:t>
      </w:r>
    </w:p>
    <w:p>
      <w:r>
        <w:rPr>
          <w:rFonts w:ascii="Times New Roman" w:hAnsi="Times New Roman"/>
          <w:b w:val="0"/>
        </w:rPr>
        <w:t xml:space="preserve">Единая субсидия в бюджетных предложениях сохраняется на уровне 9 млрд рублей ежегодно в 2027–2029 годах. Она объединяет региональные мероприятия, для которых эффект может возникать через благоустройство, события, маршруты и иные элементы туристического предложения. Количество оплаченных мероприятий не обеспечивает сопоставимости их ценности: небольшая инвестиция, устраняющая конкретное ограничение, может иметь большую отдачу, чем более дорогой объект без подтверждённого спроса. Для оценки следует фиксировать исходное ограничение, ожидаемое изменение и фактический дополнительный поток посетителей, сохраняя отдельно затраты на дальнейшее содержание. </w:t>
      </w:r>
      <w:r>
        <w:rPr>
          <w:rStyle w:val="FootnoteReference"/>
        </w:rPr>
        <w:footnoteReference w:id="109"/>
      </w:r>
    </w:p>
    <w:p>
      <w:r>
        <w:rPr>
          <w:rFonts w:ascii="Times New Roman" w:hAnsi="Times New Roman"/>
          <w:b w:val="0"/>
        </w:rPr>
        <w:t>Особого контроля требует совпадение объекта поддержки по нескольким механизмам. Региональная субсидия, льготный кредит, средства корпорации и обеспечивающая инфраструктура могут обслуживать один комплекс. Совместное финансирование само по себе допустимо и может быть необходимым, но в сводной оценке объект и его результат должны учитываться один раз. Для этого нужен единый идентификатор инвестиционного проекта и связанный перечень источников, договоров, активов и обязательств. Тогда можно отличить финансовое участие нескольких сторон от повторного заявления одного и того же результата.</w:t>
      </w:r>
    </w:p>
    <w:p>
      <w:pPr>
        <w:pStyle w:val="Heading2"/>
      </w:pPr>
      <w:bookmarkStart w:id="42" w:name="sec_41"/>
      <w:r>
        <w:t>5.9 Стоимость кадровых, промышленных и информационных результатов</w:t>
      </w:r>
      <w:bookmarkEnd w:id="42"/>
    </w:p>
    <w:p>
      <w:r>
        <w:rPr>
          <w:rFonts w:ascii="Times New Roman" w:hAnsi="Times New Roman"/>
          <w:b w:val="0"/>
        </w:rPr>
        <w:t xml:space="preserve">В кадровом проекте можно рассчитать удельную стоимость результата. На результат завершения практико-ориентированных программ обучения предусмотрено 2,3 млрд рублей в 2025–2030 годах. Сумма годовых значений составляет 52 150 слушателей и совпадает с итогом результата. Отношение даёт около 44,104 тыс. рублей планового федерального финансирования на одного завершившего обучение. Расчёт показывает среднее распределение бюджетной строки, включающей обеспечение образовательной деятельности. Цену обучения конкретного человека и достигнутый рост производительности он не устанавливает. Для последнего нужны подтверждённые навыки, их применение на рабочем месте и изменение результата труда. </w:t>
      </w:r>
      <w:r>
        <w:rPr>
          <w:rStyle w:val="FootnoteReference"/>
        </w:rPr>
        <w:footnoteReference w:id="110"/>
      </w:r>
    </w:p>
    <w:p>
      <w:r>
        <w:rPr>
          <w:rFonts w:ascii="Times New Roman" w:hAnsi="Times New Roman"/>
          <w:b w:val="0"/>
        </w:rPr>
        <w:t xml:space="preserve">По промышленному обеспечению раскрыто 4,0384786 млрд рублей федерального финансирования и 11 420 единиц реализованной отечественной продукции к 2030 году. Формальное отношение составляет 353,632 тыс. рублей на единицу. Оно пригодно для арифметической проверки, но слабо характеризует эффективность: единицы оборудования могут различаться по цене, мощности и назначению. Поддержка спроса также может перераспределять закупки между производителями или переносить их между годами. Поэтому необходимы данные о составе продукции, величине скидки, рыночной цене и объёме выпуска, который не возник бы без компенсации. </w:t>
      </w:r>
      <w:r>
        <w:rPr>
          <w:rStyle w:val="FootnoteReference"/>
        </w:rPr>
        <w:footnoteReference w:id="111"/>
      </w:r>
    </w:p>
    <w:p>
      <w:r>
        <w:rPr>
          <w:rFonts w:ascii="Times New Roman" w:hAnsi="Times New Roman"/>
          <w:b w:val="0"/>
        </w:rPr>
        <w:t xml:space="preserve">В туристической привлекательности на развитие и функционирование информационных систем Минэкономразвития раскрыто 4,126 млрд рублей за 2025–2030 годы. Итог в шесть единиц сопровождается ежегодными результатами и не должен автоматически трактоваться как шесть независимых новых систем. Финансирование объединяет развитие и поддержание функционирования. Его полезность проявляется в качестве данных, снижении административных затрат, доступности реестров и удобстве выполнения конкретных операций. Повторная оплата эксплуатации одной системы может быть обоснованной, однако ежегодное функционирование нельзя повторно представлять как создание нового актива. </w:t>
      </w:r>
      <w:r>
        <w:rPr>
          <w:rStyle w:val="FootnoteReference"/>
        </w:rPr>
        <w:footnoteReference w:id="112"/>
      </w:r>
    </w:p>
    <w:p>
      <w:r>
        <w:rPr>
          <w:rFonts w:ascii="Times New Roman" w:hAnsi="Times New Roman"/>
          <w:b w:val="0"/>
        </w:rPr>
        <w:t>Для продвижения туризма финансовую отдачу следует оценивать по дополнительным поездкам и расходам туристов. Охват сообщений и число мероприятий её не измеряют. Следует различать привлечение нового спроса и его перераспределение между российскими направлениями. Рост посещаемости поддержанного региона может сочетаться с сокращением потока в другом регионе, не увеличивая общенациональный результат. Более убедительным объектом оценки становится привлечение иностранных посетителей, увеличение продолжительности пребывания или заполнение свободных мощностей в низкий сезон, если дополнительность подтверждается сопоставимыми данными.</w:t>
      </w:r>
    </w:p>
    <w:p>
      <w:pPr>
        <w:pStyle w:val="Caption"/>
        <w:keepNext/>
      </w:pPr>
      <w:r>
        <w:rPr>
          <w:rFonts w:ascii="Times New Roman" w:hAnsi="Times New Roman"/>
          <w:b w:val="0"/>
        </w:rPr>
        <w:t>Таблица 11 – Удельная стоимость результатов: допустимые расчёты и ограничения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3005"/>
        <w:gridCol w:w="1587"/>
        <w:gridCol w:w="1871"/>
        <w:gridCol w:w="3175"/>
      </w:tblGrid>
      <w:tr>
        <w:trPr>
          <w:cantSplit/>
          <w:tblHeader w:val="true"/>
        </w:trPr>
        <w:tc>
          <w:tcPr>
            <w:tcW w:type="dxa" w:w="3005"/>
            <w:vAlign w:val="center"/>
            <w:shd w:val="clear" w:fill="FFFFFF"/>
          </w:tcPr>
          <w:p>
            <w:pPr>
              <w:keepNext w:val="0"/>
              <w:keepLines w:val="0"/>
              <w:spacing w:line="240" w:lineRule="auto" w:before="20" w:after="20"/>
              <w:ind w:firstLine="0"/>
              <w:jc w:val="center"/>
            </w:pPr>
            <w:r>
              <w:rPr>
                <w:rFonts w:ascii="Times New Roman" w:hAnsi="Times New Roman"/>
                <w:b/>
                <w:sz w:val="22"/>
              </w:rPr>
              <w:t>Результат</w:t>
            </w:r>
          </w:p>
        </w:tc>
        <w:tc>
          <w:tcPr>
            <w:tcW w:type="dxa" w:w="1587"/>
            <w:vAlign w:val="center"/>
            <w:shd w:val="clear" w:fill="FFFFFF"/>
          </w:tcPr>
          <w:p>
            <w:pPr>
              <w:keepNext w:val="0"/>
              <w:keepLines w:val="0"/>
              <w:spacing w:line="240" w:lineRule="auto" w:before="20" w:after="20"/>
              <w:ind w:firstLine="0"/>
              <w:jc w:val="center"/>
            </w:pPr>
            <w:r>
              <w:rPr>
                <w:rFonts w:ascii="Times New Roman" w:hAnsi="Times New Roman"/>
                <w:b/>
                <w:sz w:val="22"/>
              </w:rPr>
              <w:t>Раскрытый план, млрд руб.</w:t>
            </w:r>
          </w:p>
        </w:tc>
        <w:tc>
          <w:tcPr>
            <w:tcW w:type="dxa" w:w="1871"/>
            <w:vAlign w:val="center"/>
            <w:shd w:val="clear" w:fill="FFFFFF"/>
          </w:tcPr>
          <w:p>
            <w:pPr>
              <w:keepNext w:val="0"/>
              <w:keepLines w:val="0"/>
              <w:spacing w:line="240" w:lineRule="auto" w:before="20" w:after="20"/>
              <w:ind w:firstLine="0"/>
              <w:jc w:val="center"/>
            </w:pPr>
            <w:r>
              <w:rPr>
                <w:rFonts w:ascii="Times New Roman" w:hAnsi="Times New Roman"/>
                <w:b/>
                <w:sz w:val="22"/>
              </w:rPr>
              <w:t>Количественная база</w:t>
            </w:r>
          </w:p>
        </w:tc>
        <w:tc>
          <w:tcPr>
            <w:tcW w:type="dxa" w:w="3175"/>
            <w:vAlign w:val="center"/>
            <w:shd w:val="clear" w:fill="FFFFFF"/>
          </w:tcPr>
          <w:p>
            <w:pPr>
              <w:keepNext w:val="0"/>
              <w:keepLines w:val="0"/>
              <w:spacing w:line="240" w:lineRule="auto" w:before="20" w:after="20"/>
              <w:ind w:firstLine="0"/>
              <w:jc w:val="center"/>
            </w:pPr>
            <w:r>
              <w:rPr>
                <w:rFonts w:ascii="Times New Roman" w:hAnsi="Times New Roman"/>
                <w:b/>
                <w:sz w:val="22"/>
              </w:rPr>
              <w:t>Экономическая интерпретация</w:t>
            </w:r>
          </w:p>
        </w:tc>
      </w:tr>
      <w:tr>
        <w:trPr>
          <w:cantSplit/>
        </w:trPr>
        <w:tc>
          <w:tcPr>
            <w:tcW w:type="dxa" w:w="3005"/>
            <w:vAlign w:val="center"/>
          </w:tcPr>
          <w:p>
            <w:pPr>
              <w:keepNext w:val="0"/>
              <w:keepLines w:val="0"/>
              <w:spacing w:line="240" w:lineRule="auto" w:before="20" w:after="20"/>
              <w:ind w:firstLine="0"/>
              <w:jc w:val="left"/>
            </w:pPr>
            <w:r>
              <w:rPr>
                <w:rFonts w:ascii="Times New Roman" w:hAnsi="Times New Roman"/>
                <w:b w:val="0"/>
                <w:sz w:val="22"/>
              </w:rPr>
              <w:t>Завершение практико-ориентированных программ обучения</w:t>
            </w:r>
          </w:p>
        </w:tc>
        <w:tc>
          <w:tcPr>
            <w:tcW w:type="dxa" w:w="1587"/>
            <w:vAlign w:val="center"/>
          </w:tcPr>
          <w:p>
            <w:pPr>
              <w:keepNext w:val="0"/>
              <w:keepLines w:val="0"/>
              <w:spacing w:line="240" w:lineRule="auto" w:before="20" w:after="20"/>
              <w:ind w:firstLine="0"/>
              <w:jc w:val="center"/>
            </w:pPr>
            <w:r>
              <w:rPr>
                <w:rFonts w:ascii="Times New Roman" w:hAnsi="Times New Roman"/>
                <w:b w:val="0"/>
                <w:sz w:val="22"/>
              </w:rPr>
              <w:t>2,300000</w:t>
            </w:r>
          </w:p>
        </w:tc>
        <w:tc>
          <w:tcPr>
            <w:tcW w:type="dxa" w:w="1871"/>
            <w:vAlign w:val="center"/>
          </w:tcPr>
          <w:p>
            <w:pPr>
              <w:keepNext w:val="0"/>
              <w:keepLines w:val="0"/>
              <w:spacing w:line="240" w:lineRule="auto" w:before="20" w:after="20"/>
              <w:ind w:firstLine="0"/>
              <w:jc w:val="left"/>
            </w:pPr>
            <w:r>
              <w:rPr>
                <w:rFonts w:ascii="Times New Roman" w:hAnsi="Times New Roman"/>
                <w:b w:val="0"/>
                <w:sz w:val="22"/>
              </w:rPr>
              <w:t>52 150 слушателей</w:t>
            </w:r>
          </w:p>
        </w:tc>
        <w:tc>
          <w:tcPr>
            <w:tcW w:type="dxa" w:w="3175"/>
            <w:vAlign w:val="center"/>
          </w:tcPr>
          <w:p>
            <w:pPr>
              <w:keepNext w:val="0"/>
              <w:keepLines w:val="0"/>
              <w:spacing w:line="240" w:lineRule="auto" w:before="20" w:after="20"/>
              <w:ind w:firstLine="0"/>
              <w:jc w:val="left"/>
            </w:pPr>
            <w:r>
              <w:rPr>
                <w:rFonts w:ascii="Times New Roman" w:hAnsi="Times New Roman"/>
                <w:b w:val="0"/>
                <w:sz w:val="22"/>
              </w:rPr>
              <w:t>44,104 тыс. руб. на слушателя. Среднее распределение бюджетной строки. Отдача обучения не доказана</w:t>
            </w:r>
          </w:p>
        </w:tc>
      </w:tr>
      <w:tr>
        <w:trPr>
          <w:cantSplit/>
        </w:trPr>
        <w:tc>
          <w:tcPr>
            <w:tcW w:type="dxa" w:w="3005"/>
            <w:vAlign w:val="center"/>
          </w:tcPr>
          <w:p>
            <w:pPr>
              <w:keepNext w:val="0"/>
              <w:keepLines w:val="0"/>
              <w:spacing w:line="240" w:lineRule="auto" w:before="20" w:after="20"/>
              <w:ind w:firstLine="0"/>
              <w:jc w:val="left"/>
            </w:pPr>
            <w:r>
              <w:rPr>
                <w:rFonts w:ascii="Times New Roman" w:hAnsi="Times New Roman"/>
                <w:b w:val="0"/>
                <w:sz w:val="22"/>
              </w:rPr>
              <w:t>Компенсация скидок на отечественное оборудование</w:t>
            </w:r>
          </w:p>
        </w:tc>
        <w:tc>
          <w:tcPr>
            <w:tcW w:type="dxa" w:w="1587"/>
            <w:vAlign w:val="center"/>
          </w:tcPr>
          <w:p>
            <w:pPr>
              <w:keepNext w:val="0"/>
              <w:keepLines w:val="0"/>
              <w:spacing w:line="240" w:lineRule="auto" w:before="20" w:after="20"/>
              <w:ind w:firstLine="0"/>
              <w:jc w:val="center"/>
            </w:pPr>
            <w:r>
              <w:rPr>
                <w:rFonts w:ascii="Times New Roman" w:hAnsi="Times New Roman"/>
                <w:b w:val="0"/>
                <w:sz w:val="22"/>
              </w:rPr>
              <w:t>4,038479</w:t>
            </w:r>
          </w:p>
        </w:tc>
        <w:tc>
          <w:tcPr>
            <w:tcW w:type="dxa" w:w="1871"/>
            <w:vAlign w:val="center"/>
          </w:tcPr>
          <w:p>
            <w:pPr>
              <w:keepNext w:val="0"/>
              <w:keepLines w:val="0"/>
              <w:spacing w:line="240" w:lineRule="auto" w:before="20" w:after="20"/>
              <w:ind w:firstLine="0"/>
              <w:jc w:val="left"/>
            </w:pPr>
            <w:r>
              <w:rPr>
                <w:rFonts w:ascii="Times New Roman" w:hAnsi="Times New Roman"/>
                <w:b w:val="0"/>
                <w:sz w:val="22"/>
              </w:rPr>
              <w:t>11 420 единиц продукции</w:t>
            </w:r>
          </w:p>
        </w:tc>
        <w:tc>
          <w:tcPr>
            <w:tcW w:type="dxa" w:w="3175"/>
            <w:vAlign w:val="center"/>
          </w:tcPr>
          <w:p>
            <w:pPr>
              <w:keepNext w:val="0"/>
              <w:keepLines w:val="0"/>
              <w:spacing w:line="240" w:lineRule="auto" w:before="20" w:after="20"/>
              <w:ind w:firstLine="0"/>
              <w:jc w:val="left"/>
            </w:pPr>
            <w:r>
              <w:rPr>
                <w:rFonts w:ascii="Times New Roman" w:hAnsi="Times New Roman"/>
                <w:b w:val="0"/>
                <w:sz w:val="22"/>
              </w:rPr>
              <w:t>353,632 тыс. руб. на единицу. Оборудование неоднородно, эффект дополнительного выпуска отдельно не установлен</w:t>
            </w:r>
          </w:p>
        </w:tc>
      </w:tr>
      <w:tr>
        <w:trPr>
          <w:cantSplit/>
        </w:trPr>
        <w:tc>
          <w:tcPr>
            <w:tcW w:type="dxa" w:w="3005"/>
            <w:vAlign w:val="center"/>
          </w:tcPr>
          <w:p>
            <w:pPr>
              <w:keepNext w:val="0"/>
              <w:keepLines w:val="0"/>
              <w:spacing w:line="240" w:lineRule="auto" w:before="20" w:after="20"/>
              <w:ind w:firstLine="0"/>
              <w:jc w:val="left"/>
            </w:pPr>
            <w:r>
              <w:rPr>
                <w:rFonts w:ascii="Times New Roman" w:hAnsi="Times New Roman"/>
                <w:b w:val="0"/>
                <w:sz w:val="22"/>
              </w:rPr>
              <w:t>Модульные средства размещения: федеральные трансферты</w:t>
            </w:r>
          </w:p>
        </w:tc>
        <w:tc>
          <w:tcPr>
            <w:tcW w:type="dxa" w:w="1587"/>
            <w:vAlign w:val="center"/>
          </w:tcPr>
          <w:p>
            <w:pPr>
              <w:keepNext w:val="0"/>
              <w:keepLines w:val="0"/>
              <w:spacing w:line="240" w:lineRule="auto" w:before="20" w:after="20"/>
              <w:ind w:firstLine="0"/>
              <w:jc w:val="center"/>
            </w:pPr>
            <w:r>
              <w:rPr>
                <w:rFonts w:ascii="Times New Roman" w:hAnsi="Times New Roman"/>
                <w:b w:val="0"/>
                <w:sz w:val="22"/>
              </w:rPr>
              <w:t>14,102779</w:t>
            </w:r>
          </w:p>
        </w:tc>
        <w:tc>
          <w:tcPr>
            <w:tcW w:type="dxa" w:w="1871"/>
            <w:vAlign w:val="center"/>
          </w:tcPr>
          <w:p>
            <w:pPr>
              <w:keepNext w:val="0"/>
              <w:keepLines w:val="0"/>
              <w:spacing w:line="240" w:lineRule="auto" w:before="20" w:after="20"/>
              <w:ind w:firstLine="0"/>
              <w:jc w:val="left"/>
            </w:pPr>
            <w:r>
              <w:rPr>
                <w:rFonts w:ascii="Times New Roman" w:hAnsi="Times New Roman"/>
                <w:b w:val="0"/>
                <w:sz w:val="22"/>
              </w:rPr>
              <w:t>10 071 номер в 2026–2027 годах</w:t>
            </w:r>
          </w:p>
        </w:tc>
        <w:tc>
          <w:tcPr>
            <w:tcW w:type="dxa" w:w="3175"/>
            <w:vAlign w:val="center"/>
          </w:tcPr>
          <w:p>
            <w:pPr>
              <w:keepNext w:val="0"/>
              <w:keepLines w:val="0"/>
              <w:spacing w:line="240" w:lineRule="auto" w:before="20" w:after="20"/>
              <w:ind w:firstLine="0"/>
              <w:jc w:val="left"/>
            </w:pPr>
            <w:r>
              <w:rPr>
                <w:rFonts w:ascii="Times New Roman" w:hAnsi="Times New Roman"/>
                <w:b w:val="0"/>
                <w:sz w:val="22"/>
              </w:rPr>
              <w:t>Платежи охватывают 2025–2027 годы. Стоимость номера не рассчитывается без согласования состава проектов</w:t>
            </w:r>
          </w:p>
        </w:tc>
      </w:tr>
      <w:tr>
        <w:trPr>
          <w:cantSplit/>
        </w:trPr>
        <w:tc>
          <w:tcPr>
            <w:tcW w:type="dxa" w:w="3005"/>
            <w:vAlign w:val="center"/>
          </w:tcPr>
          <w:p>
            <w:pPr>
              <w:keepNext w:val="0"/>
              <w:keepLines w:val="0"/>
              <w:spacing w:line="240" w:lineRule="auto" w:before="20" w:after="20"/>
              <w:ind w:firstLine="0"/>
              <w:jc w:val="left"/>
            </w:pPr>
            <w:r>
              <w:rPr>
                <w:rFonts w:ascii="Times New Roman" w:hAnsi="Times New Roman"/>
                <w:b w:val="0"/>
                <w:sz w:val="22"/>
              </w:rPr>
              <w:t>Бюджетные инвестиции «Туризм.РФ» в морские курорты</w:t>
            </w:r>
          </w:p>
        </w:tc>
        <w:tc>
          <w:tcPr>
            <w:tcW w:type="dxa" w:w="1587"/>
            <w:vAlign w:val="center"/>
          </w:tcPr>
          <w:p>
            <w:pPr>
              <w:keepNext w:val="0"/>
              <w:keepLines w:val="0"/>
              <w:spacing w:line="240" w:lineRule="auto" w:before="20" w:after="20"/>
              <w:ind w:firstLine="0"/>
              <w:jc w:val="center"/>
            </w:pPr>
            <w:r>
              <w:rPr>
                <w:rFonts w:ascii="Times New Roman" w:hAnsi="Times New Roman"/>
                <w:b w:val="0"/>
                <w:sz w:val="22"/>
              </w:rPr>
              <w:t>7,500000</w:t>
            </w:r>
          </w:p>
        </w:tc>
        <w:tc>
          <w:tcPr>
            <w:tcW w:type="dxa" w:w="1871"/>
            <w:vAlign w:val="center"/>
          </w:tcPr>
          <w:p>
            <w:pPr>
              <w:keepNext w:val="0"/>
              <w:keepLines w:val="0"/>
              <w:spacing w:line="240" w:lineRule="auto" w:before="20" w:after="20"/>
              <w:ind w:firstLine="0"/>
              <w:jc w:val="left"/>
            </w:pPr>
            <w:r>
              <w:rPr>
                <w:rFonts w:ascii="Times New Roman" w:hAnsi="Times New Roman"/>
                <w:b w:val="0"/>
                <w:sz w:val="22"/>
              </w:rPr>
              <w:t>114 в итоговом поле, 124 в характеристике</w:t>
            </w:r>
          </w:p>
        </w:tc>
        <w:tc>
          <w:tcPr>
            <w:tcW w:type="dxa" w:w="3175"/>
            <w:vAlign w:val="center"/>
          </w:tcPr>
          <w:p>
            <w:pPr>
              <w:keepNext w:val="0"/>
              <w:keepLines w:val="0"/>
              <w:spacing w:line="240" w:lineRule="auto" w:before="20" w:after="20"/>
              <w:ind w:firstLine="0"/>
              <w:jc w:val="left"/>
            </w:pPr>
            <w:r>
              <w:rPr>
                <w:rFonts w:ascii="Times New Roman" w:hAnsi="Times New Roman"/>
                <w:b w:val="0"/>
                <w:sz w:val="22"/>
              </w:rPr>
              <w:t>Знаменатель противоречив. Стоимость участия в одном проекте не рассчитывается</w:t>
            </w:r>
          </w:p>
        </w:tc>
      </w:tr>
      <w:tr>
        <w:trPr>
          <w:cantSplit/>
        </w:trPr>
        <w:tc>
          <w:tcPr>
            <w:tcW w:type="dxa" w:w="3005"/>
            <w:vAlign w:val="center"/>
          </w:tcPr>
          <w:p>
            <w:pPr>
              <w:keepNext/>
              <w:keepLines w:val="0"/>
              <w:spacing w:line="240" w:lineRule="auto" w:before="20" w:after="20"/>
              <w:ind w:firstLine="0"/>
              <w:jc w:val="left"/>
            </w:pPr>
            <w:r>
              <w:rPr>
                <w:rFonts w:ascii="Times New Roman" w:hAnsi="Times New Roman"/>
                <w:b w:val="0"/>
                <w:sz w:val="22"/>
              </w:rPr>
              <w:t>Развитие и функционирование информационных систем</w:t>
            </w:r>
          </w:p>
        </w:tc>
        <w:tc>
          <w:tcPr>
            <w:tcW w:type="dxa" w:w="1587"/>
            <w:vAlign w:val="center"/>
          </w:tcPr>
          <w:p>
            <w:pPr>
              <w:keepNext/>
              <w:keepLines w:val="0"/>
              <w:spacing w:line="240" w:lineRule="auto" w:before="20" w:after="20"/>
              <w:ind w:firstLine="0"/>
              <w:jc w:val="center"/>
            </w:pPr>
            <w:r>
              <w:rPr>
                <w:rFonts w:ascii="Times New Roman" w:hAnsi="Times New Roman"/>
                <w:b w:val="0"/>
                <w:sz w:val="22"/>
              </w:rPr>
              <w:t>4,126013</w:t>
            </w:r>
          </w:p>
        </w:tc>
        <w:tc>
          <w:tcPr>
            <w:tcW w:type="dxa" w:w="1871"/>
            <w:vAlign w:val="center"/>
          </w:tcPr>
          <w:p>
            <w:pPr>
              <w:keepNext/>
              <w:keepLines w:val="0"/>
              <w:spacing w:line="240" w:lineRule="auto" w:before="20" w:after="20"/>
              <w:ind w:firstLine="0"/>
              <w:jc w:val="left"/>
            </w:pPr>
            <w:r>
              <w:rPr>
                <w:rFonts w:ascii="Times New Roman" w:hAnsi="Times New Roman"/>
                <w:b w:val="0"/>
                <w:sz w:val="22"/>
              </w:rPr>
              <w:t>Шесть ежегодных результатов</w:t>
            </w:r>
          </w:p>
        </w:tc>
        <w:tc>
          <w:tcPr>
            <w:tcW w:type="dxa" w:w="3175"/>
            <w:vAlign w:val="center"/>
          </w:tcPr>
          <w:p>
            <w:pPr>
              <w:keepNext/>
              <w:keepLines w:val="0"/>
              <w:spacing w:line="240" w:lineRule="auto" w:before="20" w:after="20"/>
              <w:ind w:firstLine="0"/>
              <w:jc w:val="left"/>
            </w:pPr>
            <w:r>
              <w:rPr>
                <w:rFonts w:ascii="Times New Roman" w:hAnsi="Times New Roman"/>
                <w:b w:val="0"/>
                <w:sz w:val="22"/>
              </w:rPr>
              <w:t>Шесть ежегодных результатов не означают шести независимых новых систем. Развитие и эксплуатация в финансовой строке не разделены</w:t>
            </w:r>
          </w:p>
        </w:tc>
      </w:tr>
    </w:tbl>
    <w:p>
      <w:pPr>
        <w:pStyle w:val="SourceNote"/>
        <w:keepLines/>
        <w:spacing w:before="80" w:after="120"/>
      </w:pPr>
      <w:r>
        <w:rPr>
          <w:rFonts w:ascii="Times New Roman" w:hAnsi="Times New Roman"/>
          <w:b w:val="0"/>
        </w:rPr>
        <w:t xml:space="preserve">Основной период – 2025–2030 годы. Для модульных гостиниц платёжные годы 2025–2027, для бюджетных инвестиций в морские курорты 2027–2030. Все суммы плановые. Удельные величины являются авторскими расчётами. Они не измеряют фактическую эффективность или дополнительность. </w:t>
      </w:r>
      <w:r>
        <w:rPr>
          <w:rStyle w:val="FootnoteReference"/>
        </w:rPr>
        <w:footnoteReference w:id="113"/>
      </w:r>
    </w:p>
    <w:p>
      <w:pPr>
        <w:pStyle w:val="Heading2"/>
      </w:pPr>
      <w:bookmarkStart w:id="43" w:name="sec_42"/>
      <w:r>
        <w:t>5.10 Требования к финансовой оценке проекта</w:t>
      </w:r>
      <w:bookmarkEnd w:id="43"/>
    </w:p>
    <w:p>
      <w:r>
        <w:rPr>
          <w:rFonts w:ascii="Times New Roman" w:hAnsi="Times New Roman"/>
          <w:b w:val="0"/>
        </w:rPr>
        <w:t>Финансовая оценка проекта требует двух согласованных представлений. Первое описывает бюджетную нагрузку с исключением межбюджетных оборотов, выделением процентных субсидий, капитализации и текущих расходов. Второе описывает стоимость и результат конкретных инвестиционных проектов: полученные средства, созданные активы, эксплуатационные обязательства и дополнительные услуги. Расчёт совокупной бюджетной нагрузки на основе сведений об отдельных проектах должен быть воспроизводимым. Без согласования расчётов крупный внебюджетный план легко принять за уже привлечённый капитал, а сумму финансовых записей – за консолидированную стоимость национального проекта.</w:t>
      </w:r>
    </w:p>
    <w:p>
      <w:r>
        <w:rPr>
          <w:rFonts w:ascii="Times New Roman" w:hAnsi="Times New Roman"/>
          <w:b w:val="0"/>
        </w:rPr>
        <w:t>При оценке морских курортов следует проверить финансовое закрытие и согласование этапов. Бюджетное решение о следующей очереди следует связывать с готовностью земли и инфраструктуры, подтверждённым собственным капиталом, обязательствами кредиторов и проверяемым графиком эксплуатации. Для льготного кредитования нужны сведения о поддерживаемом портфеле и будущей стоимости субсидии. Для модульных гостиниц – соответствие платежей конкретным введённым номерам. Для кадровых и промышленных мер – проверка применения навыков и дополнительного выпуска. Каждую меру следует оценивать по результату, который она способна обеспечить.</w:t>
      </w:r>
    </w:p>
    <w:p>
      <w:pPr>
        <w:keepLines w:val="1"/>
        <w:pageBreakBefore w:val="1"/>
      </w:pPr>
      <w:r>
        <w:rPr>
          <w:rFonts w:ascii="Times New Roman" w:hAnsi="Times New Roman"/>
          <w:b w:val="0"/>
        </w:rPr>
        <w:t xml:space="preserve">По состоянию на 29 октября 2026 года открытые данные подтверждают значительный масштаб финансовых планов, концентрацию предполагаемых вложений в инфраструктуре и существенное увеличение федеральной процентной поддержки в предложениях на 2027 год. Они не подтверждают равенство опубликованной суммы 1 787,964 млрд рублей чистому ресурсу проекта, фактическое привлечение всех заявленных внебюджетных средств или достижение соответствующего экономического эффекта. Для обоснованной положительной оценки необходимы согласованные денежные и физические результаты, подтверждение дополнительности вложений и устойчивости эксплуатации. Масштаб объявленного финансирования для такой оценки недостаточен. </w:t>
      </w:r>
      <w:r>
        <w:rPr>
          <w:rStyle w:val="FootnoteReference"/>
        </w:rPr>
        <w:footnoteReference w:id="114"/>
      </w:r>
    </w:p>
    <w:p>
      <w:pPr>
        <w:pStyle w:val="Heading1"/>
      </w:pPr>
      <w:bookmarkStart w:id="44" w:name="sec_43"/>
      <w:r>
        <w:t>6 Связи мероприятий с показателями и межпроектное взаимодействие</w:t>
      </w:r>
      <w:bookmarkEnd w:id="44"/>
    </w:p>
    <w:p>
      <w:pPr>
        <w:pStyle w:val="Heading2"/>
      </w:pPr>
      <w:bookmarkStart w:id="45" w:name="sec_44"/>
      <w:r>
        <w:t>6.1 Единицы анализа и документированные связи</w:t>
      </w:r>
      <w:bookmarkEnd w:id="45"/>
    </w:p>
    <w:p>
      <w:r>
        <w:rPr>
          <w:rFonts w:ascii="Times New Roman" w:hAnsi="Times New Roman"/>
          <w:b w:val="0"/>
        </w:rPr>
        <w:t xml:space="preserve">В шести структурированных паспортах выделены 31 карточка результата, 20 карточек задач, 14 карточек показателей и шесть целей. Количество карточек отражает устройство документов. Три национальных показателя повторяются в федеральных проектах, поэтому 14 карточек соответствуют 11 различным наименованиям показателей. Статистический перечень из десяти кодов охватывает иной состав: дополнительное число подготовленных специалистов предусмотрено паспортом кадрового направления и отдельной методикой, но отсутствует в рассматриваемом перечне кодов. Сопоставление количества показателей возможно только после согласования этих уровней. </w:t>
      </w:r>
      <w:r>
        <w:rPr>
          <w:rStyle w:val="FootnoteReference"/>
        </w:rPr>
        <w:footnoteReference w:id="115"/>
      </w:r>
    </w:p>
    <w:p>
      <w:r>
        <w:rPr>
          <w:rFonts w:ascii="Times New Roman" w:hAnsi="Times New Roman"/>
          <w:b w:val="0"/>
        </w:rPr>
        <w:t>Для каждого из 31 результата в документе указана задача. Через общую задачу устанавливаются 49 пар «результат – показатель», в которые входят 31 результат и 11 карточек показателей федеральных проектов. Принадлежность общей задаче подтверждает организационную согласованность, но не определяет величину эффекта. Несколько мероприятий могут действовать одновременно, а изменение показателя может зависеть от условий, находящихся за пределами проекта.</w:t>
      </w:r>
    </w:p>
    <w:p>
      <w:pPr>
        <w:pStyle w:val="Caption"/>
        <w:keepNext/>
      </w:pPr>
      <w:r>
        <w:rPr>
          <w:rFonts w:ascii="Times New Roman" w:hAnsi="Times New Roman"/>
          <w:b w:val="0"/>
        </w:rPr>
        <w:t>Таблица 12 – Уровни документальных связей и пределы их доказательности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494"/>
        <w:gridCol w:w="2721"/>
        <w:gridCol w:w="4422"/>
      </w:tblGrid>
      <w:tr>
        <w:trPr>
          <w:cantSplit/>
          <w:tblHeader w:val="true"/>
        </w:trPr>
        <w:tc>
          <w:tcPr>
            <w:tcW w:type="dxa" w:w="2494"/>
            <w:vAlign w:val="center"/>
            <w:shd w:val="clear" w:fill="FFFFFF"/>
          </w:tcPr>
          <w:p>
            <w:pPr>
              <w:keepNext w:val="0"/>
              <w:keepLines w:val="0"/>
              <w:spacing w:line="240" w:lineRule="auto" w:before="20" w:after="20"/>
              <w:ind w:firstLine="0"/>
              <w:jc w:val="center"/>
            </w:pPr>
            <w:r>
              <w:rPr>
                <w:rFonts w:ascii="Times New Roman" w:hAnsi="Times New Roman"/>
                <w:b/>
                <w:sz w:val="22"/>
              </w:rPr>
              <w:t>Уровень</w:t>
            </w:r>
          </w:p>
        </w:tc>
        <w:tc>
          <w:tcPr>
            <w:tcW w:type="dxa" w:w="2721"/>
            <w:vAlign w:val="center"/>
            <w:shd w:val="clear" w:fill="FFFFFF"/>
          </w:tcPr>
          <w:p>
            <w:pPr>
              <w:keepNext w:val="0"/>
              <w:keepLines w:val="0"/>
              <w:spacing w:line="240" w:lineRule="auto" w:before="20" w:after="20"/>
              <w:ind w:firstLine="0"/>
              <w:jc w:val="center"/>
            </w:pPr>
            <w:r>
              <w:rPr>
                <w:rFonts w:ascii="Times New Roman" w:hAnsi="Times New Roman"/>
                <w:b/>
                <w:sz w:val="22"/>
              </w:rPr>
              <w:t>Раскрытый объём</w:t>
            </w:r>
          </w:p>
        </w:tc>
        <w:tc>
          <w:tcPr>
            <w:tcW w:type="dxa" w:w="4422"/>
            <w:vAlign w:val="center"/>
            <w:shd w:val="clear" w:fill="FFFFFF"/>
          </w:tcPr>
          <w:p>
            <w:pPr>
              <w:keepNext w:val="0"/>
              <w:keepLines w:val="0"/>
              <w:spacing w:line="240" w:lineRule="auto" w:before="20" w:after="20"/>
              <w:ind w:firstLine="0"/>
              <w:jc w:val="center"/>
            </w:pPr>
            <w:r>
              <w:rPr>
                <w:rFonts w:ascii="Times New Roman" w:hAnsi="Times New Roman"/>
                <w:b/>
                <w:sz w:val="22"/>
              </w:rPr>
              <w:t>Допустимый вывод</w:t>
            </w:r>
          </w:p>
        </w:tc>
      </w:tr>
      <w:tr>
        <w:trPr>
          <w:cantSplit/>
        </w:trPr>
        <w:tc>
          <w:tcPr>
            <w:tcW w:type="dxa" w:w="2494"/>
            <w:vAlign w:val="center"/>
          </w:tcPr>
          <w:p>
            <w:pPr>
              <w:keepNext w:val="0"/>
              <w:keepLines w:val="0"/>
              <w:spacing w:line="240" w:lineRule="auto" w:before="20" w:after="20"/>
              <w:ind w:firstLine="0"/>
              <w:jc w:val="left"/>
            </w:pPr>
            <w:r>
              <w:rPr>
                <w:rFonts w:ascii="Times New Roman" w:hAnsi="Times New Roman"/>
                <w:b w:val="0"/>
                <w:sz w:val="22"/>
              </w:rPr>
              <w:t>Карточки документов</w:t>
            </w:r>
          </w:p>
        </w:tc>
        <w:tc>
          <w:tcPr>
            <w:tcW w:type="dxa" w:w="2721"/>
            <w:vAlign w:val="center"/>
          </w:tcPr>
          <w:p>
            <w:pPr>
              <w:keepNext w:val="0"/>
              <w:keepLines w:val="0"/>
              <w:spacing w:line="240" w:lineRule="auto" w:before="20" w:after="20"/>
              <w:ind w:firstLine="0"/>
              <w:jc w:val="left"/>
            </w:pPr>
            <w:r>
              <w:rPr>
                <w:rFonts w:ascii="Times New Roman" w:hAnsi="Times New Roman"/>
                <w:b w:val="0"/>
                <w:sz w:val="22"/>
              </w:rPr>
              <w:t>31 результат, 20 задач, 14 показателей, 6 целей</w:t>
            </w:r>
          </w:p>
        </w:tc>
        <w:tc>
          <w:tcPr>
            <w:tcW w:type="dxa" w:w="4422"/>
            <w:vAlign w:val="center"/>
          </w:tcPr>
          <w:p>
            <w:pPr>
              <w:keepNext w:val="0"/>
              <w:keepLines w:val="0"/>
              <w:spacing w:line="240" w:lineRule="auto" w:before="20" w:after="20"/>
              <w:ind w:firstLine="0"/>
              <w:jc w:val="left"/>
            </w:pPr>
            <w:r>
              <w:rPr>
                <w:rFonts w:ascii="Times New Roman" w:hAnsi="Times New Roman"/>
                <w:b w:val="0"/>
                <w:sz w:val="22"/>
              </w:rPr>
              <w:t>Структура шести паспортов. Число карточек не равно числу уникальных показателей</w:t>
            </w:r>
          </w:p>
        </w:tc>
      </w:tr>
      <w:tr>
        <w:trPr>
          <w:cantSplit/>
        </w:trPr>
        <w:tc>
          <w:tcPr>
            <w:tcW w:type="dxa" w:w="2494"/>
            <w:vAlign w:val="center"/>
          </w:tcPr>
          <w:p>
            <w:pPr>
              <w:keepNext w:val="0"/>
              <w:keepLines w:val="0"/>
              <w:spacing w:line="240" w:lineRule="auto" w:before="20" w:after="20"/>
              <w:ind w:firstLine="0"/>
              <w:jc w:val="left"/>
            </w:pPr>
            <w:r>
              <w:rPr>
                <w:rFonts w:ascii="Times New Roman" w:hAnsi="Times New Roman"/>
                <w:b w:val="0"/>
                <w:sz w:val="22"/>
              </w:rPr>
              <w:t>Различные наименования показателей</w:t>
            </w:r>
          </w:p>
        </w:tc>
        <w:tc>
          <w:tcPr>
            <w:tcW w:type="dxa" w:w="2721"/>
            <w:vAlign w:val="center"/>
          </w:tcPr>
          <w:p>
            <w:pPr>
              <w:keepNext w:val="0"/>
              <w:keepLines w:val="0"/>
              <w:spacing w:line="240" w:lineRule="auto" w:before="20" w:after="20"/>
              <w:ind w:firstLine="0"/>
              <w:jc w:val="left"/>
            </w:pPr>
            <w:r>
              <w:rPr>
                <w:rFonts w:ascii="Times New Roman" w:hAnsi="Times New Roman"/>
                <w:b w:val="0"/>
                <w:sz w:val="22"/>
              </w:rPr>
              <w:t>11 наименований при 14 карточках</w:t>
            </w:r>
          </w:p>
        </w:tc>
        <w:tc>
          <w:tcPr>
            <w:tcW w:type="dxa" w:w="4422"/>
            <w:vAlign w:val="center"/>
          </w:tcPr>
          <w:p>
            <w:pPr>
              <w:keepNext w:val="0"/>
              <w:keepLines w:val="0"/>
              <w:spacing w:line="240" w:lineRule="auto" w:before="20" w:after="20"/>
              <w:ind w:firstLine="0"/>
              <w:jc w:val="left"/>
            </w:pPr>
            <w:r>
              <w:rPr>
                <w:rFonts w:ascii="Times New Roman" w:hAnsi="Times New Roman"/>
                <w:b w:val="0"/>
                <w:sz w:val="22"/>
              </w:rPr>
              <w:t>Три национальных показателя повторяются в ФП</w:t>
            </w:r>
          </w:p>
        </w:tc>
      </w:tr>
      <w:tr>
        <w:trPr>
          <w:cantSplit/>
        </w:trPr>
        <w:tc>
          <w:tcPr>
            <w:tcW w:type="dxa" w:w="2494"/>
            <w:vAlign w:val="center"/>
          </w:tcPr>
          <w:p>
            <w:pPr>
              <w:keepNext w:val="0"/>
              <w:keepLines w:val="0"/>
              <w:spacing w:line="240" w:lineRule="auto" w:before="20" w:after="20"/>
              <w:ind w:firstLine="0"/>
              <w:jc w:val="left"/>
            </w:pPr>
            <w:r>
              <w:rPr>
                <w:rFonts w:ascii="Times New Roman" w:hAnsi="Times New Roman"/>
                <w:b w:val="0"/>
                <w:sz w:val="22"/>
              </w:rPr>
              <w:t>Общая задача</w:t>
            </w:r>
          </w:p>
        </w:tc>
        <w:tc>
          <w:tcPr>
            <w:tcW w:type="dxa" w:w="2721"/>
            <w:vAlign w:val="center"/>
          </w:tcPr>
          <w:p>
            <w:pPr>
              <w:keepNext w:val="0"/>
              <w:keepLines w:val="0"/>
              <w:spacing w:line="240" w:lineRule="auto" w:before="20" w:after="20"/>
              <w:ind w:firstLine="0"/>
              <w:jc w:val="left"/>
            </w:pPr>
            <w:r>
              <w:rPr>
                <w:rFonts w:ascii="Times New Roman" w:hAnsi="Times New Roman"/>
                <w:b w:val="0"/>
                <w:sz w:val="22"/>
              </w:rPr>
              <w:t>49 пар, 31 результат, 11 карточек показателей ФП</w:t>
            </w:r>
          </w:p>
        </w:tc>
        <w:tc>
          <w:tcPr>
            <w:tcW w:type="dxa" w:w="4422"/>
            <w:vAlign w:val="center"/>
          </w:tcPr>
          <w:p>
            <w:pPr>
              <w:keepNext w:val="0"/>
              <w:keepLines w:val="0"/>
              <w:spacing w:line="240" w:lineRule="auto" w:before="20" w:after="20"/>
              <w:ind w:firstLine="0"/>
              <w:jc w:val="left"/>
            </w:pPr>
            <w:r>
              <w:rPr>
                <w:rFonts w:ascii="Times New Roman" w:hAnsi="Times New Roman"/>
                <w:b w:val="0"/>
                <w:sz w:val="22"/>
              </w:rPr>
              <w:t>Структурная принадлежность, без количественной оценки эффекта</w:t>
            </w:r>
          </w:p>
        </w:tc>
      </w:tr>
      <w:tr>
        <w:trPr>
          <w:cantSplit/>
        </w:trPr>
        <w:tc>
          <w:tcPr>
            <w:tcW w:type="dxa" w:w="2494"/>
            <w:vAlign w:val="center"/>
          </w:tcPr>
          <w:p>
            <w:pPr>
              <w:keepNext w:val="0"/>
              <w:keepLines w:val="0"/>
              <w:spacing w:line="240" w:lineRule="auto" w:before="20" w:after="20"/>
              <w:ind w:firstLine="0"/>
              <w:jc w:val="left"/>
            </w:pPr>
            <w:r>
              <w:rPr>
                <w:rFonts w:ascii="Times New Roman" w:hAnsi="Times New Roman"/>
                <w:b w:val="0"/>
                <w:sz w:val="22"/>
              </w:rPr>
              <w:t>Записи о прямом влиянии</w:t>
            </w:r>
          </w:p>
        </w:tc>
        <w:tc>
          <w:tcPr>
            <w:tcW w:type="dxa" w:w="2721"/>
            <w:vAlign w:val="center"/>
          </w:tcPr>
          <w:p>
            <w:pPr>
              <w:keepNext w:val="0"/>
              <w:keepLines w:val="0"/>
              <w:spacing w:line="240" w:lineRule="auto" w:before="20" w:after="20"/>
              <w:ind w:firstLine="0"/>
              <w:jc w:val="left"/>
            </w:pPr>
            <w:r>
              <w:rPr>
                <w:rFonts w:ascii="Times New Roman" w:hAnsi="Times New Roman"/>
                <w:b w:val="0"/>
                <w:sz w:val="22"/>
              </w:rPr>
              <w:t>73 записи с неоднозначными адресатами</w:t>
            </w:r>
          </w:p>
        </w:tc>
        <w:tc>
          <w:tcPr>
            <w:tcW w:type="dxa" w:w="4422"/>
            <w:vAlign w:val="center"/>
          </w:tcPr>
          <w:p>
            <w:pPr>
              <w:keepNext w:val="0"/>
              <w:keepLines w:val="0"/>
              <w:spacing w:line="240" w:lineRule="auto" w:before="20" w:after="20"/>
              <w:ind w:firstLine="0"/>
              <w:jc w:val="left"/>
            </w:pPr>
            <w:r>
              <w:rPr>
                <w:rFonts w:ascii="Times New Roman" w:hAnsi="Times New Roman"/>
                <w:b w:val="0"/>
                <w:sz w:val="22"/>
              </w:rPr>
              <w:t>Веса прямого влияния не используются</w:t>
            </w:r>
          </w:p>
        </w:tc>
      </w:tr>
      <w:tr>
        <w:trPr>
          <w:cantSplit/>
        </w:trPr>
        <w:tc>
          <w:tcPr>
            <w:tcW w:type="dxa" w:w="2494"/>
            <w:vAlign w:val="center"/>
          </w:tcPr>
          <w:p>
            <w:pPr>
              <w:keepNext w:val="0"/>
              <w:keepLines w:val="0"/>
              <w:spacing w:line="240" w:lineRule="auto" w:before="20" w:after="20"/>
              <w:ind w:firstLine="0"/>
              <w:jc w:val="left"/>
            </w:pPr>
            <w:r>
              <w:rPr>
                <w:rFonts w:ascii="Times New Roman" w:hAnsi="Times New Roman"/>
                <w:b w:val="0"/>
                <w:sz w:val="22"/>
              </w:rPr>
              <w:t>Лексические кандидаты</w:t>
            </w:r>
          </w:p>
        </w:tc>
        <w:tc>
          <w:tcPr>
            <w:tcW w:type="dxa" w:w="2721"/>
            <w:vAlign w:val="center"/>
          </w:tcPr>
          <w:p>
            <w:pPr>
              <w:keepNext w:val="0"/>
              <w:keepLines w:val="0"/>
              <w:spacing w:line="240" w:lineRule="auto" w:before="20" w:after="20"/>
              <w:ind w:firstLine="0"/>
              <w:jc w:val="left"/>
            </w:pPr>
            <w:r>
              <w:rPr>
                <w:rFonts w:ascii="Times New Roman" w:hAnsi="Times New Roman"/>
                <w:b w:val="0"/>
                <w:sz w:val="22"/>
              </w:rPr>
              <w:t>20 пар, 13 результатов, 9 показателей</w:t>
            </w:r>
          </w:p>
        </w:tc>
        <w:tc>
          <w:tcPr>
            <w:tcW w:type="dxa" w:w="4422"/>
            <w:vAlign w:val="center"/>
          </w:tcPr>
          <w:p>
            <w:pPr>
              <w:keepNext w:val="0"/>
              <w:keepLines w:val="0"/>
              <w:spacing w:line="240" w:lineRule="auto" w:before="20" w:after="20"/>
              <w:ind w:firstLine="0"/>
              <w:jc w:val="left"/>
            </w:pPr>
            <w:r>
              <w:rPr>
                <w:rFonts w:ascii="Times New Roman" w:hAnsi="Times New Roman"/>
                <w:b w:val="0"/>
                <w:sz w:val="22"/>
              </w:rPr>
              <w:t>Кандидаты для содержательной проверки. Порог 0,10 не является статистической значимостью</w:t>
            </w:r>
          </w:p>
        </w:tc>
      </w:tr>
      <w:tr>
        <w:trPr>
          <w:cantSplit/>
        </w:trPr>
        <w:tc>
          <w:tcPr>
            <w:tcW w:type="dxa" w:w="2494"/>
            <w:vAlign w:val="center"/>
          </w:tcPr>
          <w:p>
            <w:pPr>
              <w:keepNext/>
              <w:keepLines w:val="0"/>
              <w:spacing w:line="240" w:lineRule="auto" w:before="20" w:after="20"/>
              <w:ind w:firstLine="0"/>
              <w:jc w:val="left"/>
            </w:pPr>
            <w:r>
              <w:rPr>
                <w:rFonts w:ascii="Times New Roman" w:hAnsi="Times New Roman"/>
                <w:b w:val="0"/>
                <w:sz w:val="22"/>
              </w:rPr>
              <w:t>Результаты без кандидата</w:t>
            </w:r>
          </w:p>
        </w:tc>
        <w:tc>
          <w:tcPr>
            <w:tcW w:type="dxa" w:w="2721"/>
            <w:vAlign w:val="center"/>
          </w:tcPr>
          <w:p>
            <w:pPr>
              <w:keepNext/>
              <w:keepLines w:val="0"/>
              <w:spacing w:line="240" w:lineRule="auto" w:before="20" w:after="20"/>
              <w:ind w:firstLine="0"/>
              <w:jc w:val="left"/>
            </w:pPr>
            <w:r>
              <w:rPr>
                <w:rFonts w:ascii="Times New Roman" w:hAnsi="Times New Roman"/>
                <w:b w:val="0"/>
                <w:sz w:val="22"/>
              </w:rPr>
              <w:t>18 из 31</w:t>
            </w:r>
          </w:p>
        </w:tc>
        <w:tc>
          <w:tcPr>
            <w:tcW w:type="dxa" w:w="4422"/>
            <w:vAlign w:val="center"/>
          </w:tcPr>
          <w:p>
            <w:pPr>
              <w:keepNext/>
              <w:keepLines w:val="0"/>
              <w:spacing w:line="240" w:lineRule="auto" w:before="20" w:after="20"/>
              <w:ind w:firstLine="0"/>
              <w:jc w:val="left"/>
            </w:pPr>
            <w:r>
              <w:rPr>
                <w:rFonts w:ascii="Times New Roman" w:hAnsi="Times New Roman"/>
                <w:b w:val="0"/>
                <w:sz w:val="22"/>
              </w:rPr>
              <w:t>Отсутствие совпадающей лексики не доказывает разрыва механизма</w:t>
            </w:r>
          </w:p>
        </w:tc>
      </w:tr>
    </w:tbl>
    <w:p>
      <w:pPr>
        <w:pStyle w:val="SourceNote"/>
        <w:keepLines/>
        <w:spacing w:before="80" w:after="120"/>
      </w:pPr>
      <w:r>
        <w:rPr>
          <w:rFonts w:ascii="Times New Roman" w:hAnsi="Times New Roman"/>
          <w:b w:val="0"/>
        </w:rPr>
        <w:t xml:space="preserve">Авторский разбор паспортов и текстовое сопоставление. Повторные наименования показателей объединены перед отбором не более трёх кандидатов для каждого результата. </w:t>
      </w:r>
      <w:r>
        <w:rPr>
          <w:rStyle w:val="FootnoteReference"/>
        </w:rPr>
        <w:footnoteReference w:id="116"/>
      </w:r>
    </w:p>
    <w:p>
      <w:r>
        <w:rPr>
          <w:rFonts w:ascii="Times New Roman" w:hAnsi="Times New Roman"/>
          <w:b w:val="0"/>
        </w:rPr>
        <w:t xml:space="preserve">В открытом представлении присутствуют 73 записи о влиянии результатов на показатели, однако их адресаты не устанавливаются однозначно по доступным реквизитам. Поэтому количественные веса прямого влияния в экспертизе не используются. Ограничение относится к проверяемости опубликованного представления и не свидетельствует об отсутствии связей в ведомственной системе управления. Для внешнего анализа необходимы устойчивый идентификатор показателя, смысл веса и правило его определения. </w:t>
      </w:r>
      <w:r>
        <w:rPr>
          <w:rStyle w:val="FootnoteReference"/>
        </w:rPr>
        <w:footnoteReference w:id="117"/>
      </w:r>
    </w:p>
    <w:p>
      <w:r>
        <w:rPr>
          <w:rFonts w:ascii="Times New Roman" w:hAnsi="Times New Roman"/>
          <w:b w:val="0"/>
        </w:rPr>
        <w:t>Система связей должна позволять различать непосредственный результат и более отдалённое последствие. Для льготного кредита нужно проследить переход от поддержанного обязательства к введённому объекту и далее к оказанной туристической услуге. Для рекламной кампании последовательность включает контакт, изменение намерения, бронирование и состоявшуюся поездку. Связь с конечным показателем требует наблюдения этих переходов, особенно когда один результат соотнесён сразу с несколькими целями.</w:t>
      </w:r>
    </w:p>
    <w:p>
      <w:pPr>
        <w:pStyle w:val="Heading2"/>
      </w:pPr>
      <w:bookmarkStart w:id="46" w:name="sec_45"/>
      <w:r>
        <w:t>6.2 Методика лексического сопоставления</w:t>
      </w:r>
      <w:bookmarkEnd w:id="46"/>
    </w:p>
    <w:p>
      <w:r>
        <w:rPr>
          <w:rFonts w:ascii="Times New Roman" w:hAnsi="Times New Roman"/>
          <w:b w:val="0"/>
        </w:rPr>
        <w:t>Лексическое сопоставление используется для поиска содержательно близких формулировок и проверки полноты экспертного рассмотрения. В основной профиль каждого паспорта включены цели, задачи, результаты с описаниями и показатели. Повторные формулировки внутри документа исключены. Организационные реквизиты и многочисленные контрольные точки не формируют основной смысловой профиль. Шесть профилей проекта содержат 2188 слов, причём объём национального паспорта существенно меньше совокупности федеральных документов.</w:t>
      </w:r>
    </w:p>
    <w:p>
      <w:r>
        <w:rPr>
          <w:rFonts w:ascii="Times New Roman" w:hAnsi="Times New Roman"/>
          <w:b w:val="0"/>
        </w:rPr>
        <w:t xml:space="preserve">Текст преобразован к нижнему регистру с унификацией «ё» и «е». Служебные слова исключены. Используются отдельные слова и последовательности из двух слов, а вес признака определяется методом TF–IDF. Редкая для корпуса формулировка получает больший вес при прочих равных условиях. При положительной частоте признака применяется логарифмическое преобразование частоты и сглаженная обратная документная частота. </w:t>
      </w:r>
      <w:r>
        <w:rPr>
          <w:rStyle w:val="FootnoteReference"/>
        </w:rPr>
        <w:footnoteReference w:id="118"/>
      </w:r>
    </w:p>
    <w:p>
      <w:pPr>
        <w:keepNext/>
        <w:spacing w:line="240" w:lineRule="auto" w:before="180" w:after="180"/>
        <w:ind w:firstLine="0"/>
        <w:jc w:val="center"/>
      </w:pPr>
      <m:oMath>
        <m:sSub>
          <m:e>
            <m:r>
              <m:rPr>
                <m:sty m:val="p"/>
              </m:rPr>
              <m:t>w</m:t>
            </m:r>
          </m:e>
          <m:sub>
            <m:r>
              <m:rPr>
                <m:sty m:val="p"/>
              </m:rPr>
              <m:t>t,d</m:t>
            </m:r>
          </m:sub>
        </m:sSub>
        <m:r>
          <m:rPr>
            <m:sty m:val="p"/>
          </m:rPr>
          <m:t> = (1 + ln </m:t>
        </m:r>
        <m:sSub>
          <m:e>
            <m:r>
              <m:rPr>
                <m:sty m:val="p"/>
              </m:rPr>
              <m:t>f</m:t>
            </m:r>
          </m:e>
          <m:sub>
            <m:r>
              <m:rPr>
                <m:sty m:val="p"/>
              </m:rPr>
              <m:t>t,d</m:t>
            </m:r>
          </m:sub>
        </m:sSub>
        <m:r>
          <m:rPr>
            <m:sty m:val="p"/>
          </m:rPr>
          <m:t>) × [1 + ln </m:t>
        </m:r>
        <m:f>
          <m:num>
            <m:r>
              <m:rPr>
                <m:sty m:val="p"/>
              </m:rPr>
              <m:t>N + 1</m:t>
            </m:r>
          </m:num>
          <m:den>
            <m:sSub>
              <m:e>
                <m:r>
                  <m:rPr>
                    <m:sty m:val="p"/>
                  </m:rPr>
                  <m:t>df</m:t>
                </m:r>
              </m:e>
              <m:sub>
                <m:r>
                  <m:rPr>
                    <m:sty m:val="p"/>
                  </m:rPr>
                  <m:t>t</m:t>
                </m:r>
              </m:sub>
            </m:sSub>
            <m:r>
              <m:rPr>
                <m:sty m:val="p"/>
              </m:rPr>
              <m:t> + 1</m:t>
            </m:r>
          </m:den>
        </m:f>
        <m:r>
          <m:rPr>
            <m:sty m:val="p"/>
          </m:rPr>
          <m:t>]</m:t>
        </m:r>
      </m:oMath>
      <w:r>
        <w:t xml:space="preserve">    (2)</w:t>
      </w:r>
    </w:p>
    <w:p>
      <w:r>
        <w:rPr>
          <w:rFonts w:ascii="Times New Roman" w:hAnsi="Times New Roman"/>
          <w:b w:val="0"/>
        </w:rPr>
        <w:t>В формуле частота признака обозначает число его появлений в документе, число документов задаёт размер сравнительного корпуса, а документная частота показывает количество текстов, содержащих признак. Для отсутствующего признака вес равен нулю. Перед сопоставлением векторы нормируются по евклидовой длине. Сходство определяется косинусом угла между нормированными векторами.</w:t>
      </w:r>
    </w:p>
    <w:p>
      <w:pPr>
        <w:keepNext/>
        <w:spacing w:line="240" w:lineRule="auto" w:before="180" w:after="180"/>
        <w:ind w:firstLine="0"/>
        <w:jc w:val="center"/>
      </w:pPr>
      <m:oMath>
        <m:r>
          <m:rPr>
            <m:sty m:val="p"/>
          </m:rPr>
          <m:t>cos(</m:t>
        </m:r>
        <m:sSub>
          <m:e>
            <m:r>
              <m:rPr>
                <m:sty m:val="p"/>
              </m:rPr>
              <m:t>d</m:t>
            </m:r>
          </m:e>
          <m:sub>
            <m:r>
              <m:rPr>
                <m:sty m:val="p"/>
              </m:rPr>
              <m:t>1</m:t>
            </m:r>
          </m:sub>
        </m:sSub>
        <m:r>
          <m:rPr>
            <m:sty m:val="p"/>
          </m:rPr>
          <m:t>, </m:t>
        </m:r>
        <m:sSub>
          <m:e>
            <m:r>
              <m:rPr>
                <m:sty m:val="p"/>
              </m:rPr>
              <m:t>d</m:t>
            </m:r>
          </m:e>
          <m:sub>
            <m:r>
              <m:rPr>
                <m:sty m:val="p"/>
              </m:rPr>
              <m:t>2</m:t>
            </m:r>
          </m:sub>
        </m:sSub>
        <m:r>
          <m:rPr>
            <m:sty m:val="p"/>
          </m:rPr>
          <m:t>) = </m:t>
        </m:r>
        <m:f>
          <m:num>
            <m:sSub>
              <m:e>
                <m:r>
                  <m:rPr>
                    <m:sty m:val="p"/>
                  </m:rPr>
                  <m:t>w</m:t>
                </m:r>
              </m:e>
              <m:sub>
                <m:r>
                  <m:rPr>
                    <m:sty m:val="p"/>
                  </m:rPr>
                  <m:t>1</m:t>
                </m:r>
              </m:sub>
            </m:sSub>
            <m:r>
              <m:rPr>
                <m:sty m:val="p"/>
              </m:rPr>
              <m:t> · </m:t>
            </m:r>
            <m:sSub>
              <m:e>
                <m:r>
                  <m:rPr>
                    <m:sty m:val="p"/>
                  </m:rPr>
                  <m:t>w</m:t>
                </m:r>
              </m:e>
              <m:sub>
                <m:r>
                  <m:rPr>
                    <m:sty m:val="p"/>
                  </m:rPr>
                  <m:t>2</m:t>
                </m:r>
              </m:sub>
            </m:sSub>
          </m:num>
          <m:den>
            <m:r>
              <m:rPr>
                <m:sty m:val="p"/>
              </m:rPr>
              <m:t>‖</m:t>
            </m:r>
            <m:sSub>
              <m:e>
                <m:r>
                  <m:rPr>
                    <m:sty m:val="p"/>
                  </m:rPr>
                  <m:t>w</m:t>
                </m:r>
              </m:e>
              <m:sub>
                <m:r>
                  <m:rPr>
                    <m:sty m:val="p"/>
                  </m:rPr>
                  <m:t>1</m:t>
                </m:r>
              </m:sub>
            </m:sSub>
            <m:r>
              <m:rPr>
                <m:sty m:val="p"/>
              </m:rPr>
              <m:t>‖ ‖</m:t>
            </m:r>
            <m:sSub>
              <m:e>
                <m:r>
                  <m:rPr>
                    <m:sty m:val="p"/>
                  </m:rPr>
                  <m:t>w</m:t>
                </m:r>
              </m:e>
              <m:sub>
                <m:r>
                  <m:rPr>
                    <m:sty m:val="p"/>
                  </m:rPr>
                  <m:t>2</m:t>
                </m:r>
              </m:sub>
            </m:sSub>
            <m:r>
              <m:rPr>
                <m:sty m:val="p"/>
              </m:rPr>
              <m:t>‖</m:t>
            </m:r>
          </m:den>
        </m:f>
      </m:oMath>
      <w:r>
        <w:t xml:space="preserve">    (3)</w:t>
      </w:r>
    </w:p>
    <w:p>
      <w:r>
        <w:rPr>
          <w:rFonts w:ascii="Times New Roman" w:hAnsi="Times New Roman"/>
          <w:b w:val="0"/>
        </w:rPr>
        <w:t>Словарь построен на 137 документах сравнительного корпуса с ограничением в 20 тысяч признаков. Признак допускается при наличии хотя бы в одном документе, но исключается, если встречается более чем в 98% документов. Для межпроектного сопоставления используются средние нормированные профили структурированных паспортов, повторно приведённые к единичной длине. Длинный паспорт не получает вес, пропорциональный своему числу страниц.</w:t>
      </w:r>
    </w:p>
    <w:p>
      <w:r>
        <w:rPr>
          <w:rFonts w:ascii="Times New Roman" w:hAnsi="Times New Roman"/>
          <w:b w:val="0"/>
        </w:rPr>
        <w:t>Коэффициент характеризует близость выбранных текстовых представлений. Его нельзя интерпретировать как долю общего экономического содержания, вероятность реализации мероприятия или причинный вклад. Результат зависит от языка формулировок, состава корпуса и обработки словоформ. Влияние перечисленных факторов оценивается при содержательном разборе пар и сопоставлении с вариантом выделения основ слов.</w:t>
      </w:r>
    </w:p>
    <w:p>
      <w:pPr>
        <w:pStyle w:val="Heading2"/>
      </w:pPr>
      <w:bookmarkStart w:id="47" w:name="sec_46"/>
      <w:r>
        <w:t>6.3 Внутренняя специализация федеральных проектов</w:t>
      </w:r>
      <w:bookmarkEnd w:id="47"/>
    </w:p>
    <w:p>
      <w:r>
        <w:rPr>
          <w:rFonts w:ascii="Times New Roman" w:hAnsi="Times New Roman"/>
          <w:b w:val="0"/>
        </w:rPr>
        <w:t>Наиболее близкие профили внутри проекта имеют П1 «Создание номерного фонда» и П2 «Морские курорты»: косинусное сходство составляет 0,627. Оба направления используют лексику строительства, инфраструктуры, инвестирования и технологического присоединения. Содержательная близость указывает на необходимость согласовывать границы объектов и инструментов финансирования. Сам по себе коэффициент не устанавливает дублирования расходов.</w:t>
      </w:r>
    </w:p>
    <w:p>
      <w:pPr>
        <w:keepNext/>
        <w:pageBreakBefore w:val="0"/>
        <w:spacing w:line="240" w:lineRule="auto" w:before="120" w:after="60"/>
        <w:ind w:firstLine="0"/>
        <w:jc w:val="center"/>
      </w:pPr>
      <w:r>
        <w:drawing>
          <wp:inline xmlns:a="http://schemas.openxmlformats.org/drawingml/2006/main" xmlns:pic="http://schemas.openxmlformats.org/drawingml/2006/picture">
            <wp:extent cx="6012000" cy="4122514"/>
            <wp:docPr id="10" name="Picture 10"/>
            <wp:cNvGraphicFramePr>
              <a:graphicFrameLocks noChangeAspect="1"/>
            </wp:cNvGraphicFramePr>
            <a:graphic>
              <a:graphicData uri="http://schemas.openxmlformats.org/drawingml/2006/picture">
                <pic:pic>
                  <pic:nvPicPr>
                    <pic:cNvPr id="0" name="text_similarity.png"/>
                    <pic:cNvPicPr/>
                  </pic:nvPicPr>
                  <pic:blipFill>
                    <a:blip r:embed="rId19"/>
                    <a:stretch>
                      <a:fillRect/>
                    </a:stretch>
                  </pic:blipFill>
                  <pic:spPr>
                    <a:xfrm>
                      <a:off x="0" y="0"/>
                      <a:ext cx="6012000" cy="4122514"/>
                    </a:xfrm>
                    <a:prstGeom prst="rect"/>
                  </pic:spPr>
                </pic:pic>
              </a:graphicData>
            </a:graphic>
          </wp:inline>
        </w:drawing>
      </w:r>
    </w:p>
    <w:p>
      <w:pPr>
        <w:pStyle w:val="Caption"/>
        <w:keepNext/>
        <w:spacing w:after="60"/>
      </w:pPr>
      <w:r>
        <w:rPr>
          <w:rFonts w:ascii="Times New Roman" w:hAnsi="Times New Roman"/>
          <w:b w:val="0"/>
        </w:rPr>
        <w:t>Рисунок 10 – Лексическое сходство смысловых профилей шести паспортов</w:t>
      </w:r>
    </w:p>
    <w:p>
      <w:pPr>
        <w:pStyle w:val="SourceNote"/>
        <w:keepLines/>
        <w:spacing w:after="140"/>
      </w:pPr>
      <w:r>
        <w:rPr>
          <w:rFonts w:ascii="Times New Roman" w:hAnsi="Times New Roman"/>
          <w:b w:val="0"/>
        </w:rPr>
        <w:t xml:space="preserve">Авторский расчёт TF–IDF и косинусного сходства. П – национальный проект, П1 – номерной фонд, П2 – морские курорты, П3 – привлекательность, П4 – кадры, П5 – промышленное обеспечение. Коэффициент не измеряет причинный вклад, дублирование расходов или бюджетную значимость. </w:t>
      </w:r>
      <w:r>
        <w:rPr>
          <w:rStyle w:val="FootnoteReference"/>
        </w:rPr>
        <w:footnoteReference w:id="119"/>
      </w:r>
    </w:p>
    <w:p>
      <w:r>
        <w:rPr>
          <w:rFonts w:ascii="Times New Roman" w:hAnsi="Times New Roman"/>
          <w:b w:val="0"/>
        </w:rPr>
        <w:t>Профиль национального паспорта ближе всего к П1, для которого коэффициент составляет 0,261, и к П5 «Промышленное обеспечение туризма» – 0,243. Соотношения зависят от краткости национального профиля и его словаря. Их нельзя переносить на бюджетную значимость направлений. Например, кадровая подготовка может быть необходимым условием работы гостиниц при сравнительно небольшом лексическом сходстве с национальной формулировкой цели.</w:t>
      </w:r>
    </w:p>
    <w:p>
      <w:r>
        <w:rPr>
          <w:rFonts w:ascii="Times New Roman" w:hAnsi="Times New Roman"/>
          <w:b w:val="0"/>
        </w:rPr>
        <w:t>Различия П1 и П2 следует проверять по географии, перечню объектов, стадиям инвестиционного цикла и составу источников. У направлений могут совпадать способы поддержки при разных получателях. Для контроля дополнительности требуется единый реестр объектов и инструментов, позволяющий проследить совокупную помощь и результаты каждого комплекса. Для оценки совместного эффекта необходимы сведения о фактическом использовании совместно созданных инфраструктурных элементов.</w:t>
      </w:r>
    </w:p>
    <w:p>
      <w:r>
        <w:rPr>
          <w:rFonts w:ascii="Times New Roman" w:hAnsi="Times New Roman"/>
          <w:b w:val="0"/>
        </w:rPr>
        <w:t>Низкое сходство П5 с инфраструктурными паспортами отражает иную лексику: подтверждение производства, реализация продукции и компенсация скидок. Связь этого направления с гостиницами проходит через оборудование, сроки поставок и стоимость эксплуатации. Для анализа такой зависимости нужны данные о поставках конкретным туристическим объектам, поскольку общие текстовые коэффициенты описывают её лишь частично.</w:t>
      </w:r>
    </w:p>
    <w:p>
      <w:pPr>
        <w:pStyle w:val="Heading2"/>
      </w:pPr>
      <w:bookmarkStart w:id="48" w:name="sec_47"/>
      <w:r>
        <w:t>6.4 Проверка связей между результатами и показателями</w:t>
      </w:r>
      <w:bookmarkEnd w:id="48"/>
    </w:p>
    <w:p>
      <w:r>
        <w:rPr>
          <w:rFonts w:ascii="Times New Roman" w:hAnsi="Times New Roman"/>
          <w:b w:val="0"/>
        </w:rPr>
        <w:t>При отборе лексических кандидатов одинаковые наименования национальных и федеральных показателей объединены. Для каждого результата рассмотрены до трёх различных показателей с наибольшим сходством, если коэффициент не ниже 0,10. Получено 20 кандидатных пар, охватывающих 13 результатов и девять показателей. Для 18 результатов подходящего кандидата по этому правилу нет. Порог является техническим условием отбора и не имеет значения критерия статистической значимости.</w:t>
      </w:r>
    </w:p>
    <w:p>
      <w:pPr>
        <w:pStyle w:val="Caption"/>
        <w:keepNext/>
      </w:pPr>
      <w:r>
        <w:rPr>
          <w:rFonts w:ascii="Times New Roman" w:hAnsi="Times New Roman"/>
          <w:b w:val="0"/>
        </w:rPr>
        <w:t>Таблица 13 – Содержательная проверка выбранных лексических соответствий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3572"/>
        <w:gridCol w:w="1134"/>
        <w:gridCol w:w="4932"/>
      </w:tblGrid>
      <w:tr>
        <w:trPr>
          <w:cantSplit/>
          <w:tblHeader w:val="true"/>
        </w:trPr>
        <w:tc>
          <w:tcPr>
            <w:tcW w:type="dxa" w:w="3572"/>
            <w:vAlign w:val="center"/>
            <w:shd w:val="clear" w:fill="FFFFFF"/>
          </w:tcPr>
          <w:p>
            <w:pPr>
              <w:keepNext w:val="0"/>
              <w:keepLines w:val="0"/>
              <w:spacing w:line="240" w:lineRule="auto" w:before="20" w:after="20"/>
              <w:ind w:firstLine="0"/>
              <w:jc w:val="center"/>
            </w:pPr>
            <w:r>
              <w:rPr>
                <w:rFonts w:ascii="Times New Roman" w:hAnsi="Times New Roman"/>
                <w:b/>
                <w:sz w:val="22"/>
              </w:rPr>
              <w:t>Результат → показатель</w:t>
            </w:r>
          </w:p>
        </w:tc>
        <w:tc>
          <w:tcPr>
            <w:tcW w:type="dxa" w:w="1134"/>
            <w:vAlign w:val="center"/>
            <w:shd w:val="clear" w:fill="FFFFFF"/>
          </w:tcPr>
          <w:p>
            <w:pPr>
              <w:keepNext w:val="0"/>
              <w:keepLines w:val="0"/>
              <w:spacing w:line="240" w:lineRule="auto" w:before="20" w:after="20"/>
              <w:ind w:firstLine="0"/>
              <w:jc w:val="center"/>
            </w:pPr>
            <w:r>
              <w:rPr>
                <w:rFonts w:ascii="Times New Roman" w:hAnsi="Times New Roman"/>
                <w:b/>
                <w:sz w:val="22"/>
              </w:rPr>
              <w:t>Косинус</w:t>
            </w:r>
          </w:p>
        </w:tc>
        <w:tc>
          <w:tcPr>
            <w:tcW w:type="dxa" w:w="4932"/>
            <w:vAlign w:val="center"/>
            <w:shd w:val="clear" w:fill="FFFFFF"/>
          </w:tcPr>
          <w:p>
            <w:pPr>
              <w:keepNext w:val="0"/>
              <w:keepLines w:val="0"/>
              <w:spacing w:line="240" w:lineRule="auto" w:before="20" w:after="20"/>
              <w:ind w:firstLine="0"/>
              <w:jc w:val="center"/>
            </w:pPr>
            <w:r>
              <w:rPr>
                <w:rFonts w:ascii="Times New Roman" w:hAnsi="Times New Roman"/>
                <w:b/>
                <w:sz w:val="22"/>
              </w:rPr>
              <w:t>Интерпретация</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2"/>
              </w:rPr>
              <w:t>Единая субсидия → туристические поездки</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0,391</w:t>
            </w:r>
          </w:p>
        </w:tc>
        <w:tc>
          <w:tcPr>
            <w:tcW w:type="dxa" w:w="4932"/>
            <w:vAlign w:val="center"/>
          </w:tcPr>
          <w:p>
            <w:pPr>
              <w:keepNext w:val="0"/>
              <w:keepLines w:val="0"/>
              <w:spacing w:line="240" w:lineRule="auto" w:before="20" w:after="20"/>
              <w:ind w:firstLine="0"/>
              <w:jc w:val="left"/>
            </w:pPr>
            <w:r>
              <w:rPr>
                <w:rFonts w:ascii="Times New Roman" w:hAnsi="Times New Roman"/>
                <w:b w:val="0"/>
                <w:sz w:val="22"/>
              </w:rPr>
              <w:t>Нужны отдельные оценки разнородных региональных мероприятий</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2"/>
              </w:rPr>
              <w:t>Модульные номера → классифицированный фонд</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0,357</w:t>
            </w:r>
          </w:p>
        </w:tc>
        <w:tc>
          <w:tcPr>
            <w:tcW w:type="dxa" w:w="4932"/>
            <w:vAlign w:val="center"/>
          </w:tcPr>
          <w:p>
            <w:pPr>
              <w:keepNext w:val="0"/>
              <w:keepLines w:val="0"/>
              <w:spacing w:line="240" w:lineRule="auto" w:before="20" w:after="20"/>
              <w:ind w:firstLine="0"/>
              <w:jc w:val="left"/>
            </w:pPr>
            <w:r>
              <w:rPr>
                <w:rFonts w:ascii="Times New Roman" w:hAnsi="Times New Roman"/>
                <w:b w:val="0"/>
                <w:sz w:val="22"/>
              </w:rPr>
              <w:t>Физический ввод должен быть связан с регистрацией без повторного учёта</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2"/>
              </w:rPr>
              <w:t>Продвижение въездного туризма → экспорт услуг</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0,324</w:t>
            </w:r>
          </w:p>
        </w:tc>
        <w:tc>
          <w:tcPr>
            <w:tcW w:type="dxa" w:w="4932"/>
            <w:vAlign w:val="center"/>
          </w:tcPr>
          <w:p>
            <w:pPr>
              <w:keepNext w:val="0"/>
              <w:keepLines w:val="0"/>
              <w:spacing w:line="240" w:lineRule="auto" w:before="20" w:after="20"/>
              <w:ind w:firstLine="0"/>
              <w:jc w:val="left"/>
            </w:pPr>
            <w:r>
              <w:rPr>
                <w:rFonts w:ascii="Times New Roman" w:hAnsi="Times New Roman"/>
                <w:b w:val="0"/>
                <w:sz w:val="22"/>
              </w:rPr>
              <w:t>Нужны дополнительные поездки и расходы посетителей. Цены и курс влияют отдельно</w:t>
            </w:r>
          </w:p>
        </w:tc>
      </w:tr>
      <w:tr>
        <w:trPr>
          <w:cantSplit/>
        </w:trPr>
        <w:tc>
          <w:tcPr>
            <w:tcW w:type="dxa" w:w="3572"/>
            <w:vAlign w:val="center"/>
          </w:tcPr>
          <w:p>
            <w:pPr>
              <w:keepNext w:val="0"/>
              <w:keepLines w:val="0"/>
              <w:spacing w:line="240" w:lineRule="auto" w:before="20" w:after="20"/>
              <w:ind w:firstLine="0"/>
              <w:jc w:val="left"/>
            </w:pPr>
            <w:r>
              <w:rPr>
                <w:rFonts w:ascii="Times New Roman" w:hAnsi="Times New Roman"/>
                <w:b w:val="0"/>
                <w:sz w:val="22"/>
              </w:rPr>
              <w:t>ИС Росаккредитации → классифицированный фонд</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0,316</w:t>
            </w:r>
          </w:p>
        </w:tc>
        <w:tc>
          <w:tcPr>
            <w:tcW w:type="dxa" w:w="4932"/>
            <w:vAlign w:val="center"/>
          </w:tcPr>
          <w:p>
            <w:pPr>
              <w:keepNext w:val="0"/>
              <w:keepLines w:val="0"/>
              <w:spacing w:line="240" w:lineRule="auto" w:before="20" w:after="20"/>
              <w:ind w:firstLine="0"/>
              <w:jc w:val="left"/>
            </w:pPr>
            <w:r>
              <w:rPr>
                <w:rFonts w:ascii="Times New Roman" w:hAnsi="Times New Roman"/>
                <w:b w:val="0"/>
                <w:sz w:val="22"/>
              </w:rPr>
              <w:t>Расширение учёта может увеличивать показатель без строительства</w:t>
            </w:r>
          </w:p>
        </w:tc>
      </w:tr>
      <w:tr>
        <w:trPr>
          <w:cantSplit/>
        </w:trPr>
        <w:tc>
          <w:tcPr>
            <w:tcW w:type="dxa" w:w="3572"/>
            <w:vAlign w:val="center"/>
          </w:tcPr>
          <w:p>
            <w:pPr>
              <w:keepNext/>
              <w:keepLines w:val="0"/>
              <w:spacing w:line="240" w:lineRule="auto" w:before="20" w:after="20"/>
              <w:ind w:firstLine="0"/>
              <w:jc w:val="left"/>
            </w:pPr>
            <w:r>
              <w:rPr>
                <w:rFonts w:ascii="Times New Roman" w:hAnsi="Times New Roman"/>
                <w:b w:val="0"/>
                <w:sz w:val="22"/>
              </w:rPr>
              <w:t>Поддержка организаций Крыма и Севастополя → отечественная продукция</w:t>
            </w:r>
          </w:p>
        </w:tc>
        <w:tc>
          <w:tcPr>
            <w:tcW w:type="dxa" w:w="1134"/>
            <w:vAlign w:val="center"/>
          </w:tcPr>
          <w:p>
            <w:pPr>
              <w:keepNext/>
              <w:keepLines w:val="0"/>
              <w:spacing w:line="240" w:lineRule="auto" w:before="20" w:after="20"/>
              <w:ind w:firstLine="0"/>
              <w:jc w:val="center"/>
            </w:pPr>
            <w:r>
              <w:rPr>
                <w:rFonts w:ascii="Times New Roman" w:hAnsi="Times New Roman"/>
                <w:b w:val="0"/>
                <w:sz w:val="22"/>
              </w:rPr>
              <w:t>0,310</w:t>
            </w:r>
          </w:p>
        </w:tc>
        <w:tc>
          <w:tcPr>
            <w:tcW w:type="dxa" w:w="4932"/>
            <w:vAlign w:val="center"/>
          </w:tcPr>
          <w:p>
            <w:pPr>
              <w:keepNext/>
              <w:keepLines w:val="0"/>
              <w:spacing w:line="240" w:lineRule="auto" w:before="20" w:after="20"/>
              <w:ind w:firstLine="0"/>
              <w:jc w:val="left"/>
            </w:pPr>
            <w:r>
              <w:rPr>
                <w:rFonts w:ascii="Times New Roman" w:hAnsi="Times New Roman"/>
                <w:b w:val="0"/>
                <w:sz w:val="22"/>
              </w:rPr>
              <w:t>Общие слова об отрасли не подтверждают закупку оборудования</w:t>
            </w:r>
          </w:p>
        </w:tc>
      </w:tr>
    </w:tbl>
    <w:p>
      <w:pPr>
        <w:pStyle w:val="SourceNote"/>
        <w:keepLines/>
        <w:spacing w:before="80" w:after="120"/>
      </w:pPr>
      <w:r>
        <w:rPr>
          <w:rFonts w:ascii="Times New Roman" w:hAnsi="Times New Roman"/>
          <w:b w:val="0"/>
        </w:rPr>
        <w:t xml:space="preserve">Коэффициенты рассчитаны по текстам. Содержательная интерпретация не является оценкой причинного эффекта. </w:t>
      </w:r>
      <w:r>
        <w:rPr>
          <w:rStyle w:val="FootnoteReference"/>
        </w:rPr>
        <w:footnoteReference w:id="120"/>
      </w:r>
    </w:p>
    <w:p>
      <w:r>
        <w:rPr>
          <w:rFonts w:ascii="Times New Roman" w:hAnsi="Times New Roman"/>
          <w:b w:val="0"/>
        </w:rPr>
        <w:t>Наиболее высокий коэффициент среди рассмотренных пар, 0,391, относится к мероприятиям единой региональной субсидии и количеству поездок. Он частично обусловлен описанием территории реализации и общей туристической лексикой. Для оценки эффекта единой субсидии требуется разделять типы мероприятий, поскольку благоустройство пляжа, навигация и событийное продвижение имеют разные механизмы и сроки проявления эффекта. Объединение мероприятий в один результат не позволяет установить общую для них зависимость между поддержкой и числом поездок.</w:t>
      </w:r>
    </w:p>
    <w:p>
      <w:r>
        <w:rPr>
          <w:rFonts w:ascii="Times New Roman" w:hAnsi="Times New Roman"/>
          <w:b w:val="0"/>
        </w:rPr>
        <w:t xml:space="preserve">Связь ввода модульных номеров с классифицированным номерным фондом имеет коэффициент 0,357 и содержательно соответствует непосредственному расширению предложения. Однако экономическая интерпретация связи предполагает соблюдение условий: объекты введены, включены в соответствующую совокупность и не учтены повторно в другом результате. Связь информационной системы Росаккредитации с тем же показателем, 0,316, имеет иной смысл. Улучшение регистрации может увеличить учтённый фонд без сопоставимого строительства. </w:t>
      </w:r>
      <w:r>
        <w:rPr>
          <w:rStyle w:val="FootnoteReference"/>
        </w:rPr>
        <w:footnoteReference w:id="121"/>
      </w:r>
    </w:p>
    <w:p>
      <w:pPr>
        <w:keepNext/>
        <w:pageBreakBefore w:val="0"/>
        <w:spacing w:line="240" w:lineRule="auto" w:before="120" w:after="60"/>
        <w:ind w:firstLine="0"/>
        <w:jc w:val="center"/>
      </w:pPr>
      <w:r>
        <w:drawing>
          <wp:inline xmlns:a="http://schemas.openxmlformats.org/drawingml/2006/main" xmlns:pic="http://schemas.openxmlformats.org/drawingml/2006/picture">
            <wp:extent cx="6012000" cy="3864857"/>
            <wp:docPr id="11" name="Picture 11"/>
            <wp:cNvGraphicFramePr>
              <a:graphicFrameLocks noChangeAspect="1"/>
            </wp:cNvGraphicFramePr>
            <a:graphic>
              <a:graphicData uri="http://schemas.openxmlformats.org/drawingml/2006/picture">
                <pic:pic>
                  <pic:nvPicPr>
                    <pic:cNvPr id="0" name="semantic_network.png"/>
                    <pic:cNvPicPr/>
                  </pic:nvPicPr>
                  <pic:blipFill>
                    <a:blip r:embed="rId20"/>
                    <a:stretch>
                      <a:fillRect/>
                    </a:stretch>
                  </pic:blipFill>
                  <pic:spPr>
                    <a:xfrm>
                      <a:off x="0" y="0"/>
                      <a:ext cx="6012000" cy="3864857"/>
                    </a:xfrm>
                    <a:prstGeom prst="rect"/>
                  </pic:spPr>
                </pic:pic>
              </a:graphicData>
            </a:graphic>
          </wp:inline>
        </w:drawing>
      </w:r>
    </w:p>
    <w:p>
      <w:pPr>
        <w:pStyle w:val="Caption"/>
        <w:keepNext/>
        <w:spacing w:after="60"/>
      </w:pPr>
      <w:r>
        <w:rPr>
          <w:rFonts w:ascii="Times New Roman" w:hAnsi="Times New Roman"/>
          <w:b w:val="0"/>
        </w:rPr>
        <w:t>Рисунок 11 – Пять лексических соответствий между результатами и показателями</w:t>
      </w:r>
    </w:p>
    <w:p>
      <w:pPr>
        <w:pStyle w:val="SourceNote"/>
        <w:keepLines/>
        <w:spacing w:after="140"/>
      </w:pPr>
      <w:r>
        <w:rPr>
          <w:rFonts w:ascii="Times New Roman" w:hAnsi="Times New Roman"/>
          <w:b w:val="0"/>
        </w:rPr>
        <w:t xml:space="preserve">Показан выбранный фрагмент из трёх результатов и трёх показателей. Числа на стрелках – косинусное сходство текстов. Направление стрелки обозначает сопоставление результата с показателем. Причинный эффект не доказан. </w:t>
      </w:r>
      <w:r>
        <w:rPr>
          <w:rStyle w:val="FootnoteReference"/>
        </w:rPr>
        <w:footnoteReference w:id="122"/>
      </w:r>
    </w:p>
    <w:p>
      <w:r>
        <w:rPr>
          <w:rFonts w:ascii="Times New Roman" w:hAnsi="Times New Roman"/>
          <w:b w:val="0"/>
        </w:rPr>
        <w:t>Продвижение въездного туризма связано с экспортом услуг с коэффициентом 0,324. Для содержательной оценки нужно установить изменение спроса на целевых рынках, конверсию в состоявшиеся поездки и расходы посетителей. Общий рост денежного показателя зависит также от цен, валютных соотношений и транспортных условий. Поэтому эффект кампании требует отдельного сравнения территорий или рынков с разной интенсивностью воздействия.</w:t>
      </w:r>
    </w:p>
    <w:p>
      <w:r>
        <w:rPr>
          <w:rFonts w:ascii="Times New Roman" w:hAnsi="Times New Roman"/>
          <w:b w:val="0"/>
        </w:rPr>
        <w:t xml:space="preserve">Лексический метод выявляет и потенциально ложные соответствия. Поддержка организаций Республики Крым и города Севастополя сопоставлена с обеспеченностью отечественной промышленной продукцией с коэффициентом 0,310. Общие слова о туристской индустрии не подтверждают, что содержание поддержки связано с закупкой оборудования. Для такой связи требуется прямое условие программы или сведения о фактическом использовании средств. </w:t>
      </w:r>
      <w:r>
        <w:rPr>
          <w:rStyle w:val="FootnoteReference"/>
        </w:rPr>
        <w:footnoteReference w:id="123"/>
      </w:r>
    </w:p>
    <w:p>
      <w:r>
        <w:rPr>
          <w:rFonts w:ascii="Times New Roman" w:hAnsi="Times New Roman"/>
          <w:b w:val="0"/>
        </w:rPr>
        <w:t>Отсутствие кандидата также не доказывает разрыва механизма. Инженерная инфраструктура крупных курортов может быть необходима для появления новых поездок, даже если её формулировка содержит мало общих слов с названием показателя. Экспертная оценка должна учитывать обе ошибки лексического отбора: появление содержательно слабых пар и пропуск экономически значимых зависимостей. Окончательное решение требует обращения к описанию результата, его получателям и условиям реализации.</w:t>
      </w:r>
    </w:p>
    <w:p>
      <w:pPr>
        <w:pStyle w:val="Heading2"/>
      </w:pPr>
      <w:bookmarkStart w:id="49" w:name="sec_48"/>
      <w:r>
        <w:t>6.5 Межпроектные зависимости и чувствительность результатов</w:t>
      </w:r>
      <w:bookmarkEnd w:id="49"/>
    </w:p>
    <w:p>
      <w:r>
        <w:rPr>
          <w:rFonts w:ascii="Times New Roman" w:hAnsi="Times New Roman"/>
          <w:b w:val="0"/>
        </w:rPr>
        <w:t>В сравнении со структурированными паспортами других национальных проектов наиболее близок профиль «Эффективной и конкурентной экономики» с коэффициентом 0,192. Далее следуют «Международная кооперация и экспорт» – 0,173, «Экономика данных и цифровая трансформация государства» – 0,166, «Инфраструктура для жизни» – 0,162 и «Молодёжь и дети» – 0,156. Сопоставление отражает общие механизмы поддержки предприятий, внешнего спроса, инфраструктуры и подготовки кадров.</w:t>
      </w:r>
    </w:p>
    <w:p>
      <w:pPr>
        <w:keepNext/>
        <w:pageBreakBefore w:val="0"/>
        <w:spacing w:line="240" w:lineRule="auto" w:before="120" w:after="60"/>
        <w:ind w:firstLine="0"/>
        <w:jc w:val="center"/>
      </w:pPr>
      <w:r>
        <w:drawing>
          <wp:inline xmlns:a="http://schemas.openxmlformats.org/drawingml/2006/main" xmlns:pic="http://schemas.openxmlformats.org/drawingml/2006/picture">
            <wp:extent cx="6012000" cy="4036629"/>
            <wp:docPr id="12" name="Picture 12"/>
            <wp:cNvGraphicFramePr>
              <a:graphicFrameLocks noChangeAspect="1"/>
            </wp:cNvGraphicFramePr>
            <a:graphic>
              <a:graphicData uri="http://schemas.openxmlformats.org/drawingml/2006/picture">
                <pic:pic>
                  <pic:nvPicPr>
                    <pic:cNvPr id="0" name="cross_project.png"/>
                    <pic:cNvPicPr/>
                  </pic:nvPicPr>
                  <pic:blipFill>
                    <a:blip r:embed="rId21"/>
                    <a:stretch>
                      <a:fillRect/>
                    </a:stretch>
                  </pic:blipFill>
                  <pic:spPr>
                    <a:xfrm>
                      <a:off x="0" y="0"/>
                      <a:ext cx="6012000" cy="4036629"/>
                    </a:xfrm>
                    <a:prstGeom prst="rect"/>
                  </pic:spPr>
                </pic:pic>
              </a:graphicData>
            </a:graphic>
          </wp:inline>
        </w:drawing>
      </w:r>
    </w:p>
    <w:p>
      <w:pPr>
        <w:pStyle w:val="Caption"/>
        <w:keepNext/>
        <w:spacing w:after="60"/>
      </w:pPr>
      <w:r>
        <w:rPr>
          <w:rFonts w:ascii="Times New Roman" w:hAnsi="Times New Roman"/>
          <w:b w:val="0"/>
        </w:rPr>
        <w:t>Рисунок 12 – Чувствительность межпроектного лексического сходства к обработке русских слов</w:t>
      </w:r>
    </w:p>
    <w:p>
      <w:pPr>
        <w:pStyle w:val="SourceNote"/>
        <w:keepLines/>
        <w:spacing w:after="140"/>
      </w:pPr>
      <w:r>
        <w:rPr>
          <w:rFonts w:ascii="Times New Roman" w:hAnsi="Times New Roman"/>
          <w:b w:val="0"/>
        </w:rPr>
        <w:t xml:space="preserve">Пять ближайших профилей по базовой модели сопоставлены с вариантом выделения основ слов. Шкала – косинусное сходство. Более высокий коэффициент не доказывает более сильную экономическую зависимость. «Семья» не включена из-за различия жанра исходного документа. Авторские расчёты. </w:t>
      </w:r>
      <w:r>
        <w:rPr>
          <w:rStyle w:val="FootnoteReference"/>
        </w:rPr>
        <w:footnoteReference w:id="124"/>
      </w:r>
    </w:p>
    <w:p>
      <w:r>
        <w:rPr>
          <w:rFonts w:ascii="Times New Roman" w:hAnsi="Times New Roman"/>
          <w:b w:val="0"/>
        </w:rPr>
        <w:t>При обработке русских слов методом выделения основ первое место сохраняет «Эффективная и конкурентная экономика» с коэффициентом 0,220. Второе и третье места занимают «Экономика данных» и «Инфраструктура для жизни» с коэффициентами 0,194 и 0,188. В первой тройке двух вариантов совпадают два проекта. Порядок близких проектов чувствителен к обработке языка. Экономические зависимости требуют отдельной содержательной проверки.</w:t>
      </w:r>
    </w:p>
    <w:p>
      <w:r>
        <w:rPr>
          <w:rFonts w:ascii="Times New Roman" w:hAnsi="Times New Roman"/>
          <w:b w:val="0"/>
        </w:rPr>
        <w:t>Паспорт «Семьи» не включён в сопоставимую диаграмму, поскольку в сравнительном материале он представлен документом другого жанра. Его включение в единое ранжирование потребовало бы согласования состава текстовых полей. Различие жанров не исключает содержательной связи семейной политики с доступностью отдыха.</w:t>
      </w:r>
    </w:p>
    <w:p>
      <w:r>
        <w:rPr>
          <w:rFonts w:ascii="Times New Roman" w:hAnsi="Times New Roman"/>
          <w:b w:val="0"/>
        </w:rPr>
        <w:t>Экономические зависимости могут быть существенными при умеренной текстовой близости. Для туризма транспортная доступность определяет возможность поездки, а качество городской и коммунальной среды влияет на пребывание. Экологическое состояние территорий связано с устойчивостью туристического спроса. Для совместной оценки предлагается проверять конкретные проекты на общей территории и в один и тот же период, фиксируя вклад каждой инфраструктурной системы.</w:t>
      </w:r>
    </w:p>
    <w:p>
      <w:r>
        <w:rPr>
          <w:rFonts w:ascii="Times New Roman" w:hAnsi="Times New Roman"/>
          <w:b w:val="0"/>
        </w:rPr>
        <w:t>Поэтому межпроектное взаимодействие следует описывать через согласованные результаты. Примером служит одновременная готовность дороги, коммунальных сетей и гостиницы, позволяющая открыть объект в установленный сезон. Для кадровых программ таким результатом является обеспечение работающего комплекса подготовленными сотрудниками. Для цифровых систем – сопоставимые сведения об объектах и завершённых услугах, пригодные для статистики и управленческой оценки.</w:t>
      </w:r>
    </w:p>
    <w:p>
      <w:pPr>
        <w:pStyle w:val="Heading1"/>
      </w:pPr>
      <w:bookmarkStart w:id="50" w:name="sec_49"/>
      <w:r>
        <w:t>7 Предложения по повышению результативности и проверяемости проекта</w:t>
      </w:r>
      <w:bookmarkEnd w:id="50"/>
    </w:p>
    <w:p>
      <w:pPr>
        <w:pStyle w:val="Heading2"/>
      </w:pPr>
      <w:bookmarkStart w:id="51" w:name="sec_50"/>
      <w:r>
        <w:t>7.1 Согласование показателей и статусов оценок</w:t>
      </w:r>
      <w:bookmarkEnd w:id="51"/>
    </w:p>
    <w:p>
      <w:r>
        <w:rPr>
          <w:rFonts w:ascii="Times New Roman" w:hAnsi="Times New Roman"/>
          <w:b w:val="0"/>
        </w:rPr>
        <w:t>В первую очередь предлагается согласовать паспортные цели, действующие методики и статистические публикации. Для каждого показателя нужна единая карточка, содержащая определение совокупности, единицу измерения, период накопления, источники числителя и знаменателя, даты публикации и порядок пересмотра. Следует отдельно обозначать денежный результат, физический прокси, административную запись и величину, временно принятую равной плану.</w:t>
      </w:r>
    </w:p>
    <w:p>
      <w:r>
        <w:rPr>
          <w:rFonts w:ascii="Times New Roman" w:hAnsi="Times New Roman"/>
          <w:b w:val="0"/>
        </w:rPr>
        <w:t>История методик должна сопровождаться описанием разрывов ряда. При изменении охвата средств размещения требуется установить, пересчитаны ли прошлые периоды и каким образом новые категории влияют на уровень показателя. Если сопоставимость восстановлена только для части совокупности, полезно публиковать параллельный ряд постоянного охвата. Постоянный охват даст возможность различать изменение деятельности и расширение наблюдения.</w:t>
      </w:r>
    </w:p>
    <w:p>
      <w:r>
        <w:rPr>
          <w:rFonts w:ascii="Times New Roman" w:hAnsi="Times New Roman"/>
          <w:b w:val="0"/>
        </w:rPr>
        <w:t>Для первой годовой оценки, основанной на плане, предлагается использовать отдельный визуальный и машинно-читаемый статус. При появлении статистического результата следует раскрывать заменённую величину, дату и размер пересмотра. Расчёт выполнения цели должен опираться на независимое наблюдение установленной совокупности. Автоматическое повторение предварительной величины в нескольких публикациях не увеличивает доказательность результата.</w:t>
      </w:r>
    </w:p>
    <w:p>
      <w:r>
        <w:rPr>
          <w:rFonts w:ascii="Times New Roman" w:hAnsi="Times New Roman"/>
          <w:b w:val="0"/>
        </w:rPr>
        <w:t>Название денежного показателя должно соответствовать используемой формуле. Для доли туристской отрасли следует раскрывать экономический смысл обеих частей отношения и систему цен. При международном сравнении необходимо согласовать показатели туристских отраслей с показателями, относимыми к потреблению посетителей. Номинальную величину полезно дополнять динамикой в сопоставимых ценах, когда её можно рассчитать по официальным данным.</w:t>
      </w:r>
    </w:p>
    <w:p>
      <w:pPr>
        <w:pStyle w:val="Heading2"/>
      </w:pPr>
      <w:bookmarkStart w:id="52" w:name="sec_51"/>
      <w:r>
        <w:t>7.2 Работающий номерной фонд и сезонность</w:t>
      </w:r>
      <w:bookmarkEnd w:id="52"/>
    </w:p>
    <w:p>
      <w:r>
        <w:rPr>
          <w:rFonts w:ascii="Times New Roman" w:hAnsi="Times New Roman"/>
          <w:b w:val="0"/>
        </w:rPr>
        <w:t>В мониторинге номерного фонда предлагается учитывать три связанных состояния: число номеров в реестре, фонд, допущенный к работе, и фактически открытая мощность за период. Для каждого объекта должны быть различимы строительный ввод, начало обслуживания, временное прекращение работы, изменение категории и выбытие. Единый идентификатор позволит связать реестр, государственную поддержку и статистику размещения без повторного учёта.</w:t>
      </w:r>
    </w:p>
    <w:p>
      <w:r>
        <w:rPr>
          <w:rFonts w:ascii="Times New Roman" w:hAnsi="Times New Roman"/>
          <w:b w:val="0"/>
        </w:rPr>
        <w:t>Количество открытых номеро-суток отражает доступную мощность с учётом продолжительности работы. Коммерческая загрузка определяется отношением проданных номеро-суток к открытым. При использовании данных о местах и ночёвках нужен отдельный расчёт загрузки мест: номер может иметь несколько мест, поэтому смешивать эти знаменатели нельзя. Показатели следует строить для сопоставимых групп средств размещения с раскрытием охвата.</w:t>
      </w:r>
    </w:p>
    <w:p>
      <w:pPr>
        <w:keepNext/>
        <w:spacing w:line="240" w:lineRule="auto" w:before="180" w:after="180"/>
        <w:ind w:firstLine="0"/>
        <w:jc w:val="center"/>
      </w:pPr>
      <m:oMath>
        <m:r>
          <m:rPr>
            <m:sty m:val="p"/>
          </m:rPr>
          <m:t>Z = </m:t>
        </m:r>
        <m:f>
          <m:num>
            <m:sSub>
              <m:e>
                <m:r>
                  <m:rPr>
                    <m:sty m:val="p"/>
                  </m:rPr>
                  <m:t>R</m:t>
                </m:r>
              </m:e>
              <m:sub>
                <m:r>
                  <m:rPr>
                    <m:sty m:val="p"/>
                  </m:rPr>
                  <m:t>прод</m:t>
                </m:r>
              </m:sub>
            </m:sSub>
          </m:num>
          <m:den>
            <m:sSub>
              <m:e>
                <m:r>
                  <m:rPr>
                    <m:sty m:val="p"/>
                  </m:rPr>
                  <m:t>R</m:t>
                </m:r>
              </m:e>
              <m:sub>
                <m:r>
                  <m:rPr>
                    <m:sty m:val="p"/>
                  </m:rPr>
                  <m:t>откр</m:t>
                </m:r>
              </m:sub>
            </m:sSub>
          </m:den>
        </m:f>
        <m:r>
          <m:rPr>
            <m:sty m:val="p"/>
          </m:rPr>
          <m:t> × 100 %</m:t>
        </m:r>
      </m:oMath>
      <w:r>
        <w:t xml:space="preserve">    (4)</w:t>
      </w:r>
    </w:p>
    <w:p>
      <w:r>
        <w:rPr>
          <w:rFonts w:ascii="Times New Roman" w:hAnsi="Times New Roman"/>
          <w:b w:val="0"/>
        </w:rPr>
        <w:t>В формуле показатель коммерческой загрузки номеров выражается в процентах. Числитель – фактически проданные номеро-сутки, знаменатель – номеро-сутки, открытые для размещения в том же периоде. Для объекта, полностью закрытого в рассматриваемый период, отношение не рассчитывается. Нулевая загрузка и отсутствие доступной мощности имеют различный смысл. Для измерения физического использования числитель должен содержать фактически занятые номеро-сутки. Правила учёта оплаченных незаездов и бесплатного размещения следует раскрывать отдельно.</w:t>
      </w:r>
    </w:p>
    <w:p>
      <w:r>
        <w:rPr>
          <w:rFonts w:ascii="Times New Roman" w:hAnsi="Times New Roman"/>
          <w:b w:val="0"/>
        </w:rPr>
        <w:t>Для проверки круглогодичности необходимо помесячное распределение показателей. Годового итога для этого недостаточно. В качестве дополнительного измерения предлагается доля ночёвок, приходящихся на три месяца с наибольшим числом ночёвок. Выбор месяцев производится отдельно для каждого года и территории, поэтому показатель отражает концентрацию независимо от того, приходится ли пик на лето или зиму. Результат следует сопровождать самим месячным рядом.</w:t>
      </w:r>
    </w:p>
    <w:p>
      <w:pPr>
        <w:keepNext/>
        <w:spacing w:line="240" w:lineRule="auto" w:before="180" w:after="180"/>
        <w:ind w:firstLine="0"/>
        <w:jc w:val="center"/>
      </w:pPr>
      <m:oMath>
        <m:sSub>
          <m:e>
            <m:r>
              <m:rPr>
                <m:sty m:val="p"/>
              </m:rPr>
              <m:t>S</m:t>
            </m:r>
          </m:e>
          <m:sub>
            <m:r>
              <m:rPr>
                <m:sty m:val="p"/>
              </m:rPr>
              <m:t>3</m:t>
            </m:r>
          </m:sub>
        </m:sSub>
        <m:r>
          <m:rPr>
            <m:sty m:val="p"/>
          </m:rPr>
          <m:t> = </m:t>
        </m:r>
        <m:f>
          <m:num>
            <m:sSub>
              <m:e>
                <m:r>
                  <m:rPr>
                    <m:sty m:val="p"/>
                  </m:rPr>
                  <m:t>N</m:t>
                </m:r>
              </m:e>
              <m:sub>
                <m:r>
                  <m:rPr>
                    <m:sty m:val="p"/>
                  </m:rPr>
                  <m:t>(1)</m:t>
                </m:r>
              </m:sub>
            </m:sSub>
            <m:r>
              <m:rPr>
                <m:sty m:val="p"/>
              </m:rPr>
              <m:t> + </m:t>
            </m:r>
            <m:sSub>
              <m:e>
                <m:r>
                  <m:rPr>
                    <m:sty m:val="p"/>
                  </m:rPr>
                  <m:t>N</m:t>
                </m:r>
              </m:e>
              <m:sub>
                <m:r>
                  <m:rPr>
                    <m:sty m:val="p"/>
                  </m:rPr>
                  <m:t>(2)</m:t>
                </m:r>
              </m:sub>
            </m:sSub>
            <m:r>
              <m:rPr>
                <m:sty m:val="p"/>
              </m:rPr>
              <m:t> + </m:t>
            </m:r>
            <m:sSub>
              <m:e>
                <m:r>
                  <m:rPr>
                    <m:sty m:val="p"/>
                  </m:rPr>
                  <m:t>N</m:t>
                </m:r>
              </m:e>
              <m:sub>
                <m:r>
                  <m:rPr>
                    <m:sty m:val="p"/>
                  </m:rPr>
                  <m:t>(3)</m:t>
                </m:r>
              </m:sub>
            </m:sSub>
          </m:num>
          <m:den>
            <m:sSub>
              <m:e>
                <m:r>
                  <m:rPr>
                    <m:sty m:val="p"/>
                  </m:rPr>
                  <m:t>N</m:t>
                </m:r>
              </m:e>
              <m:sub>
                <m:r>
                  <m:rPr>
                    <m:sty m:val="p"/>
                  </m:rPr>
                  <m:t>год</m:t>
                </m:r>
              </m:sub>
            </m:sSub>
          </m:den>
        </m:f>
        <m:r>
          <m:rPr>
            <m:sty m:val="p"/>
          </m:rPr>
          <m:t> × 100 %</m:t>
        </m:r>
      </m:oMath>
      <w:r>
        <w:t xml:space="preserve">    (5)</w:t>
      </w:r>
    </w:p>
    <w:p>
      <w:r>
        <w:rPr>
          <w:rFonts w:ascii="Times New Roman" w:hAnsi="Times New Roman"/>
          <w:b w:val="0"/>
        </w:rPr>
        <w:t>В числителе суммируются ночёвки трёх месяцев с наибольшим числом ночёвок, в знаменателе – ночёвки всех двенадцати месяцев. При нулевом годовом числе ночёвок показатель не рассчитывается. При одинаковом потоке в каждом месяце доля составляет 25%. Более высокая величина характеризует концентрацию, но не устанавливает её причину. Для расчёта нужны действительные месячные наблюдения одной редакции и одинакового охвата. Разности накопительных публикаций с неодновременными пересмотрами могут быть непригодны для этой задачи.</w:t>
      </w:r>
    </w:p>
    <w:p>
      <w:r>
        <w:rPr>
          <w:rFonts w:ascii="Times New Roman" w:hAnsi="Times New Roman"/>
          <w:b w:val="0"/>
        </w:rPr>
        <w:t>Оценка круглогодичных курортов должна дополнительно показывать число месяцев работы, доступность услуг вне пика, годовой доход и устойчивость занятости. Снижение сезонности может сопровождаться ростом расходов на отопление и обслуживание. Поэтому равномерность загрузки следует рассматривать вместе с затратами и качеством, сохраняя возможность экономически обоснованной сезонной модели там, где круглогодичность не подтверждена спросом.</w:t>
      </w:r>
    </w:p>
    <w:p>
      <w:pPr>
        <w:pStyle w:val="Heading2"/>
      </w:pPr>
      <w:bookmarkStart w:id="53" w:name="sec_52"/>
      <w:r>
        <w:t>7.3 Полная стоимость и дополнительность государственной поддержки</w:t>
      </w:r>
      <w:bookmarkEnd w:id="53"/>
    </w:p>
    <w:p>
      <w:r>
        <w:rPr>
          <w:rFonts w:ascii="Times New Roman" w:hAnsi="Times New Roman"/>
          <w:b w:val="0"/>
        </w:rPr>
        <w:t>Финансовый мониторинг предлагается вести по объекту, получателю и инструменту поддержки одновременно. Для каждого обязательства нужны сведения о бюджетном источнике, межбюджетном перечислении, конечном использовании, сроке и фактическом исполнении. Федеральный трансферт, включённый в региональные расходы, учитывается однократно при консолидации. Субсидирование процентов, основной долг кредита и инвестиции частного получателя имеют различную экономическую природу.</w:t>
      </w:r>
    </w:p>
    <w:p>
      <w:pPr>
        <w:keepNext/>
        <w:spacing w:line="240" w:lineRule="auto" w:before="180" w:after="180"/>
        <w:ind w:firstLine="0"/>
        <w:jc w:val="center"/>
      </w:pPr>
      <m:oMath>
        <m:sSub>
          <m:e>
            <m:r>
              <m:rPr>
                <m:sty m:val="p"/>
              </m:rPr>
              <m:t>B</m:t>
            </m:r>
          </m:e>
          <m:sub>
            <m:r>
              <m:rPr>
                <m:sty m:val="p"/>
              </m:rPr>
              <m:t>конс</m:t>
            </m:r>
          </m:sub>
        </m:sSub>
        <m:r>
          <m:rPr>
            <m:sty m:val="p"/>
          </m:rPr>
          <m:t> = </m:t>
        </m:r>
        <m:sSub>
          <m:e>
            <m:r>
              <m:rPr>
                <m:sty m:val="p"/>
              </m:rPr>
              <m:t>B</m:t>
            </m:r>
          </m:e>
          <m:sub>
            <m:r>
              <m:rPr>
                <m:sty m:val="p"/>
              </m:rPr>
              <m:t>фед</m:t>
            </m:r>
          </m:sub>
        </m:sSub>
        <m:r>
          <m:rPr>
            <m:sty m:val="p"/>
          </m:rPr>
          <m:t> + </m:t>
        </m:r>
        <m:sSub>
          <m:e>
            <m:r>
              <m:rPr>
                <m:sty m:val="p"/>
              </m:rPr>
              <m:t>B</m:t>
            </m:r>
          </m:e>
          <m:sub>
            <m:r>
              <m:rPr>
                <m:sty m:val="p"/>
              </m:rPr>
              <m:t>рег</m:t>
            </m:r>
          </m:sub>
        </m:sSub>
        <m:r>
          <m:rPr>
            <m:sty m:val="p"/>
          </m:rPr>
          <m:t> − T</m:t>
        </m:r>
      </m:oMath>
      <w:r>
        <w:t xml:space="preserve">    (6)</w:t>
      </w:r>
    </w:p>
    <w:p>
      <w:r>
        <w:rPr>
          <w:rFonts w:ascii="Times New Roman" w:hAnsi="Times New Roman"/>
          <w:b w:val="0"/>
        </w:rPr>
        <w:t>В формуле федеральные и региональные расходы объединяются с исключением трансфертов между соответствующими бюджетами. При добавлении внебюджетных вложений необходимо проверить отсутствие их повторного отражения в других компонентах и подтвердить единство периода. Формула задаёт правило консолидации, но не заменяет проверку первичных строк. Для текущего проекта отсутствие полного сопоставимого вычета сохраняется как ограничение агрегированной финансовой оценки.</w:t>
      </w:r>
    </w:p>
    <w:p>
      <w:r>
        <w:rPr>
          <w:rFonts w:ascii="Times New Roman" w:hAnsi="Times New Roman"/>
          <w:b w:val="0"/>
        </w:rPr>
        <w:t>Стоимость инфраструктурного результата следует определять за жизненный цикл, включая подготовку, создание, подключение, эксплуатацию, капитальный ремонт и завершение использования. Для гостиничных комплексов бюджетная нагрузка может сохраняться после строительного ввода через процентные субсидии, обслуживание общих сетей и иные обязательства. Решение о продолжении поддержки должно опираться на подтверждённую готовность, использование и изменение полной стоимости услуги. Сопоставление требует общего базового года цен и согласованного приведения разновременных расходов. При различающихся сроках службы нужно учитывать замену и остаточную стоимость либо применять эквивалентные годовые затраты.</w:t>
      </w:r>
    </w:p>
    <w:p>
      <w:r>
        <w:rPr>
          <w:rFonts w:ascii="Times New Roman" w:hAnsi="Times New Roman"/>
          <w:b w:val="0"/>
        </w:rPr>
        <w:t>Удельные затраты полезны при согласованном знаменателе. Стоимость введённого номера, открытого номеро-дня и дополнительной ночёвки отвечают на разные вопросы. Дополнительный результат требует сравнения с обоснованным сценарием без поддержки. Деление всех расходов проекта на общий туристический поток включает поездки, которые могли бы состояться независимо от программы, и потому не даёт оценки эффективности конкретной меры.</w:t>
      </w:r>
    </w:p>
    <w:p>
      <w:r>
        <w:rPr>
          <w:rFonts w:ascii="Times New Roman" w:hAnsi="Times New Roman"/>
          <w:b w:val="0"/>
        </w:rPr>
        <w:t>Для кредитной поддержки предлагается отдельно раскрывать число новых обязательств, поддержку действующего портфеля и чувствительность будущих расходов к процентным условиям. Для прямых инвестиций существенны сроки ввода и распределение рисков между участниками. Для компенсации скидок производителям оборудования – дополнительные поставки, качество и стоимость обслуживания. Одинаковая денежная сумма разных инструментов не означает одинаковой бюджетной нагрузки или одинакового результата.</w:t>
      </w:r>
    </w:p>
    <w:p>
      <w:pPr>
        <w:pStyle w:val="Heading2"/>
      </w:pPr>
      <w:bookmarkStart w:id="54" w:name="sec_53"/>
      <w:r>
        <w:t>7.4 Доступность отдыха и результаты для принимающих территорий</w:t>
      </w:r>
      <w:bookmarkEnd w:id="54"/>
    </w:p>
    <w:p>
      <w:r>
        <w:rPr>
          <w:rFonts w:ascii="Times New Roman" w:hAnsi="Times New Roman"/>
          <w:b w:val="0"/>
        </w:rPr>
        <w:t>Социальную оценку предлагается дополнить наблюдением доли жителей, совершивших хотя бы одну поездку с целью отдыха за год, и причин отказа от неё. Единица счёта – человек. Для семей необходимы показатели участия детей и совместных поездок, а также расходы на стандартную поездку для разного состава домохозяйства. Опросы должны сохранять сопоставимые вопросы и период воспоминания.</w:t>
      </w:r>
    </w:p>
    <w:p>
      <w:r>
        <w:rPr>
          <w:rFonts w:ascii="Times New Roman" w:hAnsi="Times New Roman"/>
          <w:b w:val="0"/>
        </w:rPr>
        <w:t>Стоимость отдыха целесообразно оценивать как совокупность транспортных расходов, размещения, питания и обязательных сопутствующих услуг. Сравнение одной гостиничной цены не описывает доступность для жителя удалённой территории. Для межрегионального анализа нужен фиксированный состав поездки и единое окно бронирования, дополненные вариантами по сезону. Отношение такой стоимости к располагаемому доходу следует показывать по группам населения, поскольку средняя величина скрывает распределение возможностей.</w:t>
      </w:r>
    </w:p>
    <w:p>
      <w:r>
        <w:rPr>
          <w:rFonts w:ascii="Times New Roman" w:hAnsi="Times New Roman"/>
          <w:b w:val="0"/>
        </w:rPr>
        <w:t>Физическая доступность включает всю последовательность перемещений и получения услуг: транспорт, размещение, санитарные условия, объекты показа и коммуникацию. Наличие отдельного адаптированного элемента не подтверждает возможность завершить поездку. Для людей с ограниченной мобильностью полезна проверка маршрута целиком с участием пользователей. Проверка должна различать формальное наличие оборудования и фактическую пригодность услуги.</w:t>
      </w:r>
    </w:p>
    <w:p>
      <w:r>
        <w:rPr>
          <w:rFonts w:ascii="Times New Roman" w:hAnsi="Times New Roman"/>
          <w:b w:val="0"/>
        </w:rPr>
        <w:t>На принимающих территориях предлагается наблюдать постоянную и сезонную занятость, доходы работников, долю местных закупок и изменение нагрузки на инфраструктуру. Данные о созданных рабочих местах следует связывать с фактической занятостью и продолжительностью трудовых отношений. Участие работников из других территорий само по себе не является отрицательным результатом, но влияет на распределение доходов, потребность в жилье и ежедневные перемещения.</w:t>
      </w:r>
    </w:p>
    <w:p>
      <w:r>
        <w:rPr>
          <w:rFonts w:ascii="Times New Roman" w:hAnsi="Times New Roman"/>
          <w:b w:val="0"/>
        </w:rPr>
        <w:t>Для небольших поселений и крупных курортных узлов нужны разные масштабы наблюдения. Региональный средний показатель может скрывать локальную перегрузку. Предлагается формировать показатели по муниципалитетам и функциональным туристическим территориям, сохраняя возможность согласования с итогом по субъекту Федерации. Поток посетителей следует соотносить с численностью населения, фактически находящегося на территории в соответствующий сезон, при планировании водоснабжения, обращения с отходами и транспортного обслуживания.</w:t>
      </w:r>
    </w:p>
    <w:p>
      <w:pPr>
        <w:pStyle w:val="Caption"/>
        <w:keepNext/>
      </w:pPr>
      <w:r>
        <w:rPr>
          <w:rFonts w:ascii="Times New Roman" w:hAnsi="Times New Roman"/>
          <w:b w:val="0"/>
        </w:rPr>
        <w:t>Таблица 14 – Дополнительные измерения использования, доступности и территориального результата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041"/>
        <w:gridCol w:w="3515"/>
        <w:gridCol w:w="4082"/>
      </w:tblGrid>
      <w:tr>
        <w:trPr>
          <w:cantSplit/>
          <w:tblHeader w:val="true"/>
        </w:trPr>
        <w:tc>
          <w:tcPr>
            <w:tcW w:type="dxa" w:w="2041"/>
            <w:vAlign w:val="center"/>
            <w:shd w:val="clear" w:fill="FFFFFF"/>
          </w:tcPr>
          <w:p>
            <w:pPr>
              <w:keepNext w:val="0"/>
              <w:keepLines w:val="0"/>
              <w:spacing w:line="240" w:lineRule="auto" w:before="20" w:after="20"/>
              <w:ind w:firstLine="0"/>
              <w:jc w:val="center"/>
            </w:pPr>
            <w:r>
              <w:rPr>
                <w:rFonts w:ascii="Times New Roman" w:hAnsi="Times New Roman"/>
                <w:b/>
                <w:sz w:val="22"/>
              </w:rPr>
              <w:t>Измерение</w:t>
            </w:r>
          </w:p>
        </w:tc>
        <w:tc>
          <w:tcPr>
            <w:tcW w:type="dxa" w:w="3515"/>
            <w:vAlign w:val="center"/>
            <w:shd w:val="clear" w:fill="FFFFFF"/>
          </w:tcPr>
          <w:p>
            <w:pPr>
              <w:keepNext w:val="0"/>
              <w:keepLines w:val="0"/>
              <w:spacing w:line="240" w:lineRule="auto" w:before="20" w:after="20"/>
              <w:ind w:firstLine="0"/>
              <w:jc w:val="center"/>
            </w:pPr>
            <w:r>
              <w:rPr>
                <w:rFonts w:ascii="Times New Roman" w:hAnsi="Times New Roman"/>
                <w:b/>
                <w:sz w:val="22"/>
              </w:rPr>
              <w:t>Предлагаемый показатель</w:t>
            </w:r>
          </w:p>
        </w:tc>
        <w:tc>
          <w:tcPr>
            <w:tcW w:type="dxa" w:w="4082"/>
            <w:vAlign w:val="center"/>
            <w:shd w:val="clear" w:fill="FFFFFF"/>
          </w:tcPr>
          <w:p>
            <w:pPr>
              <w:keepNext w:val="0"/>
              <w:keepLines w:val="0"/>
              <w:spacing w:line="240" w:lineRule="auto" w:before="20" w:after="20"/>
              <w:ind w:firstLine="0"/>
              <w:jc w:val="center"/>
            </w:pPr>
            <w:r>
              <w:rPr>
                <w:rFonts w:ascii="Times New Roman" w:hAnsi="Times New Roman"/>
                <w:b/>
                <w:sz w:val="22"/>
              </w:rPr>
              <w:t>Условие корректного расчёта</w:t>
            </w:r>
          </w:p>
        </w:tc>
      </w:tr>
      <w:tr>
        <w:trPr>
          <w:cantSplit/>
        </w:trPr>
        <w:tc>
          <w:tcPr>
            <w:tcW w:type="dxa" w:w="2041"/>
            <w:vAlign w:val="center"/>
          </w:tcPr>
          <w:p>
            <w:pPr>
              <w:keepNext w:val="0"/>
              <w:keepLines w:val="0"/>
              <w:spacing w:line="240" w:lineRule="auto" w:before="20" w:after="20"/>
              <w:ind w:firstLine="0"/>
              <w:jc w:val="left"/>
            </w:pPr>
            <w:r>
              <w:rPr>
                <w:rFonts w:ascii="Times New Roman" w:hAnsi="Times New Roman"/>
                <w:b w:val="0"/>
                <w:sz w:val="22"/>
              </w:rPr>
              <w:t>Работающая мощность</w:t>
            </w:r>
          </w:p>
        </w:tc>
        <w:tc>
          <w:tcPr>
            <w:tcW w:type="dxa" w:w="3515"/>
            <w:vAlign w:val="center"/>
          </w:tcPr>
          <w:p>
            <w:pPr>
              <w:keepNext w:val="0"/>
              <w:keepLines w:val="0"/>
              <w:spacing w:line="240" w:lineRule="auto" w:before="20" w:after="20"/>
              <w:ind w:firstLine="0"/>
              <w:jc w:val="left"/>
            </w:pPr>
            <w:r>
              <w:rPr>
                <w:rFonts w:ascii="Times New Roman" w:hAnsi="Times New Roman"/>
                <w:b w:val="0"/>
                <w:sz w:val="22"/>
              </w:rPr>
              <w:t>Открытые номеро-сутки за период</w:t>
            </w:r>
          </w:p>
        </w:tc>
        <w:tc>
          <w:tcPr>
            <w:tcW w:type="dxa" w:w="4082"/>
            <w:vAlign w:val="center"/>
          </w:tcPr>
          <w:p>
            <w:pPr>
              <w:keepNext w:val="0"/>
              <w:keepLines w:val="0"/>
              <w:spacing w:line="240" w:lineRule="auto" w:before="20" w:after="20"/>
              <w:ind w:firstLine="0"/>
              <w:jc w:val="left"/>
            </w:pPr>
            <w:r>
              <w:rPr>
                <w:rFonts w:ascii="Times New Roman" w:hAnsi="Times New Roman"/>
                <w:b w:val="0"/>
                <w:sz w:val="22"/>
              </w:rPr>
              <w:t>Учитываются фактически доступные номера и дни работы</w:t>
            </w:r>
          </w:p>
        </w:tc>
      </w:tr>
      <w:tr>
        <w:trPr>
          <w:cantSplit/>
        </w:trPr>
        <w:tc>
          <w:tcPr>
            <w:tcW w:type="dxa" w:w="2041"/>
            <w:vAlign w:val="center"/>
          </w:tcPr>
          <w:p>
            <w:pPr>
              <w:keepNext w:val="0"/>
              <w:keepLines w:val="0"/>
              <w:spacing w:line="240" w:lineRule="auto" w:before="20" w:after="20"/>
              <w:ind w:firstLine="0"/>
              <w:jc w:val="left"/>
            </w:pPr>
            <w:r>
              <w:rPr>
                <w:rFonts w:ascii="Times New Roman" w:hAnsi="Times New Roman"/>
                <w:b w:val="0"/>
                <w:sz w:val="22"/>
              </w:rPr>
              <w:t>Коммерческая загрузка</w:t>
            </w:r>
          </w:p>
        </w:tc>
        <w:tc>
          <w:tcPr>
            <w:tcW w:type="dxa" w:w="3515"/>
            <w:vAlign w:val="center"/>
          </w:tcPr>
          <w:p>
            <w:pPr>
              <w:keepNext w:val="0"/>
              <w:keepLines w:val="0"/>
              <w:spacing w:line="240" w:lineRule="auto" w:before="20" w:after="20"/>
              <w:ind w:firstLine="0"/>
              <w:jc w:val="left"/>
            </w:pPr>
            <w:r>
              <w:rPr>
                <w:rFonts w:ascii="Times New Roman" w:hAnsi="Times New Roman"/>
                <w:b w:val="0"/>
                <w:sz w:val="22"/>
              </w:rPr>
              <w:t>Проданные / открытые номеро-сутки, %</w:t>
            </w:r>
          </w:p>
        </w:tc>
        <w:tc>
          <w:tcPr>
            <w:tcW w:type="dxa" w:w="4082"/>
            <w:vAlign w:val="center"/>
          </w:tcPr>
          <w:p>
            <w:pPr>
              <w:keepNext w:val="0"/>
              <w:keepLines w:val="0"/>
              <w:spacing w:line="240" w:lineRule="auto" w:before="20" w:after="20"/>
              <w:ind w:firstLine="0"/>
              <w:jc w:val="left"/>
            </w:pPr>
            <w:r>
              <w:rPr>
                <w:rFonts w:ascii="Times New Roman" w:hAnsi="Times New Roman"/>
                <w:b w:val="0"/>
                <w:sz w:val="22"/>
              </w:rPr>
              <w:t>Одинаковый период. При нулевом знаменателе не рассчитывается</w:t>
            </w:r>
          </w:p>
        </w:tc>
      </w:tr>
      <w:tr>
        <w:trPr>
          <w:cantSplit/>
        </w:trPr>
        <w:tc>
          <w:tcPr>
            <w:tcW w:type="dxa" w:w="2041"/>
            <w:vAlign w:val="center"/>
          </w:tcPr>
          <w:p>
            <w:pPr>
              <w:keepNext w:val="0"/>
              <w:keepLines w:val="0"/>
              <w:spacing w:line="240" w:lineRule="auto" w:before="20" w:after="20"/>
              <w:ind w:firstLine="0"/>
              <w:jc w:val="left"/>
            </w:pPr>
            <w:r>
              <w:rPr>
                <w:rFonts w:ascii="Times New Roman" w:hAnsi="Times New Roman"/>
                <w:b w:val="0"/>
                <w:sz w:val="22"/>
              </w:rPr>
              <w:t>Сезонность</w:t>
            </w:r>
          </w:p>
        </w:tc>
        <w:tc>
          <w:tcPr>
            <w:tcW w:type="dxa" w:w="3515"/>
            <w:vAlign w:val="center"/>
          </w:tcPr>
          <w:p>
            <w:pPr>
              <w:keepNext w:val="0"/>
              <w:keepLines w:val="0"/>
              <w:spacing w:line="240" w:lineRule="auto" w:before="20" w:after="20"/>
              <w:ind w:firstLine="0"/>
              <w:jc w:val="left"/>
            </w:pPr>
            <w:r>
              <w:rPr>
                <w:rFonts w:ascii="Times New Roman" w:hAnsi="Times New Roman"/>
                <w:b w:val="0"/>
                <w:sz w:val="22"/>
              </w:rPr>
              <w:t>Ночёвки трёх месяцев с наибольшим числом ночёвок / годовые ночёвки, %</w:t>
            </w:r>
          </w:p>
        </w:tc>
        <w:tc>
          <w:tcPr>
            <w:tcW w:type="dxa" w:w="4082"/>
            <w:vAlign w:val="center"/>
          </w:tcPr>
          <w:p>
            <w:pPr>
              <w:keepNext w:val="0"/>
              <w:keepLines w:val="0"/>
              <w:spacing w:line="240" w:lineRule="auto" w:before="20" w:after="20"/>
              <w:ind w:firstLine="0"/>
              <w:jc w:val="left"/>
            </w:pPr>
            <w:r>
              <w:rPr>
                <w:rFonts w:ascii="Times New Roman" w:hAnsi="Times New Roman"/>
                <w:b w:val="0"/>
                <w:sz w:val="22"/>
              </w:rPr>
              <w:t>Одинаковый охват. При годовом нуле не рассчитывается</w:t>
            </w:r>
          </w:p>
        </w:tc>
      </w:tr>
      <w:tr>
        <w:trPr>
          <w:cantSplit/>
        </w:trPr>
        <w:tc>
          <w:tcPr>
            <w:tcW w:type="dxa" w:w="2041"/>
            <w:vAlign w:val="center"/>
          </w:tcPr>
          <w:p>
            <w:pPr>
              <w:keepNext w:val="0"/>
              <w:keepLines w:val="0"/>
              <w:spacing w:line="240" w:lineRule="auto" w:before="20" w:after="20"/>
              <w:ind w:firstLine="0"/>
              <w:jc w:val="left"/>
            </w:pPr>
            <w:r>
              <w:rPr>
                <w:rFonts w:ascii="Times New Roman" w:hAnsi="Times New Roman"/>
                <w:b w:val="0"/>
                <w:sz w:val="22"/>
              </w:rPr>
              <w:t>Участие в отдыхе</w:t>
            </w:r>
          </w:p>
        </w:tc>
        <w:tc>
          <w:tcPr>
            <w:tcW w:type="dxa" w:w="3515"/>
            <w:vAlign w:val="center"/>
          </w:tcPr>
          <w:p>
            <w:pPr>
              <w:keepNext w:val="0"/>
              <w:keepLines w:val="0"/>
              <w:spacing w:line="240" w:lineRule="auto" w:before="20" w:after="20"/>
              <w:ind w:firstLine="0"/>
              <w:jc w:val="left"/>
            </w:pPr>
            <w:r>
              <w:rPr>
                <w:rFonts w:ascii="Times New Roman" w:hAnsi="Times New Roman"/>
                <w:b w:val="0"/>
                <w:sz w:val="22"/>
              </w:rPr>
              <w:t>Доля жителей хотя бы с одной поездкой с целью отдыха за год</w:t>
            </w:r>
          </w:p>
        </w:tc>
        <w:tc>
          <w:tcPr>
            <w:tcW w:type="dxa" w:w="4082"/>
            <w:vAlign w:val="center"/>
          </w:tcPr>
          <w:p>
            <w:pPr>
              <w:keepNext w:val="0"/>
              <w:keepLines w:val="0"/>
              <w:spacing w:line="240" w:lineRule="auto" w:before="20" w:after="20"/>
              <w:ind w:firstLine="0"/>
              <w:jc w:val="left"/>
            </w:pPr>
            <w:r>
              <w:rPr>
                <w:rFonts w:ascii="Times New Roman" w:hAnsi="Times New Roman"/>
                <w:b w:val="0"/>
                <w:sz w:val="22"/>
              </w:rPr>
              <w:t>Счёт людей, совершивших поездку. Сопоставимая выборка</w:t>
            </w:r>
          </w:p>
        </w:tc>
      </w:tr>
      <w:tr>
        <w:trPr>
          <w:cantSplit/>
        </w:trPr>
        <w:tc>
          <w:tcPr>
            <w:tcW w:type="dxa" w:w="2041"/>
            <w:vAlign w:val="center"/>
          </w:tcPr>
          <w:p>
            <w:pPr>
              <w:keepNext w:val="0"/>
              <w:keepLines w:val="0"/>
              <w:spacing w:line="240" w:lineRule="auto" w:before="20" w:after="20"/>
              <w:ind w:firstLine="0"/>
              <w:jc w:val="left"/>
            </w:pPr>
            <w:r>
              <w:rPr>
                <w:rFonts w:ascii="Times New Roman" w:hAnsi="Times New Roman"/>
                <w:b w:val="0"/>
                <w:sz w:val="22"/>
              </w:rPr>
              <w:t>Ценовая доступность</w:t>
            </w:r>
          </w:p>
        </w:tc>
        <w:tc>
          <w:tcPr>
            <w:tcW w:type="dxa" w:w="3515"/>
            <w:vAlign w:val="center"/>
          </w:tcPr>
          <w:p>
            <w:pPr>
              <w:keepNext w:val="0"/>
              <w:keepLines w:val="0"/>
              <w:spacing w:line="240" w:lineRule="auto" w:before="20" w:after="20"/>
              <w:ind w:firstLine="0"/>
              <w:jc w:val="left"/>
            </w:pPr>
            <w:r>
              <w:rPr>
                <w:rFonts w:ascii="Times New Roman" w:hAnsi="Times New Roman"/>
                <w:b w:val="0"/>
                <w:sz w:val="22"/>
              </w:rPr>
              <w:t>Стоимость стандартной поездки / располагаемый доход</w:t>
            </w:r>
          </w:p>
        </w:tc>
        <w:tc>
          <w:tcPr>
            <w:tcW w:type="dxa" w:w="4082"/>
            <w:vAlign w:val="center"/>
          </w:tcPr>
          <w:p>
            <w:pPr>
              <w:keepNext w:val="0"/>
              <w:keepLines w:val="0"/>
              <w:spacing w:line="240" w:lineRule="auto" w:before="20" w:after="20"/>
              <w:ind w:firstLine="0"/>
              <w:jc w:val="left"/>
            </w:pPr>
            <w:r>
              <w:rPr>
                <w:rFonts w:ascii="Times New Roman" w:hAnsi="Times New Roman"/>
                <w:b w:val="0"/>
                <w:sz w:val="22"/>
              </w:rPr>
              <w:t>Фиксированные состав поездки, сезон и окно бронирования, группы дохода</w:t>
            </w:r>
          </w:p>
        </w:tc>
      </w:tr>
      <w:tr>
        <w:trPr>
          <w:cantSplit/>
        </w:trPr>
        <w:tc>
          <w:tcPr>
            <w:tcW w:type="dxa" w:w="2041"/>
            <w:vAlign w:val="center"/>
          </w:tcPr>
          <w:p>
            <w:pPr>
              <w:keepNext w:val="0"/>
              <w:keepLines w:val="0"/>
              <w:spacing w:line="240" w:lineRule="auto" w:before="20" w:after="20"/>
              <w:ind w:firstLine="0"/>
              <w:jc w:val="left"/>
            </w:pPr>
            <w:r>
              <w:rPr>
                <w:rFonts w:ascii="Times New Roman" w:hAnsi="Times New Roman"/>
                <w:b w:val="0"/>
                <w:sz w:val="22"/>
              </w:rPr>
              <w:t>Физическая доступность</w:t>
            </w:r>
          </w:p>
        </w:tc>
        <w:tc>
          <w:tcPr>
            <w:tcW w:type="dxa" w:w="3515"/>
            <w:vAlign w:val="center"/>
          </w:tcPr>
          <w:p>
            <w:pPr>
              <w:keepNext w:val="0"/>
              <w:keepLines w:val="0"/>
              <w:spacing w:line="240" w:lineRule="auto" w:before="20" w:after="20"/>
              <w:ind w:firstLine="0"/>
              <w:jc w:val="left"/>
            </w:pPr>
            <w:r>
              <w:rPr>
                <w:rFonts w:ascii="Times New Roman" w:hAnsi="Times New Roman"/>
                <w:b w:val="0"/>
                <w:sz w:val="22"/>
              </w:rPr>
              <w:t>Возможность завершить весь маршрут и получить услуги</w:t>
            </w:r>
          </w:p>
        </w:tc>
        <w:tc>
          <w:tcPr>
            <w:tcW w:type="dxa" w:w="4082"/>
            <w:vAlign w:val="center"/>
          </w:tcPr>
          <w:p>
            <w:pPr>
              <w:keepNext w:val="0"/>
              <w:keepLines w:val="0"/>
              <w:spacing w:line="240" w:lineRule="auto" w:before="20" w:after="20"/>
              <w:ind w:firstLine="0"/>
              <w:jc w:val="left"/>
            </w:pPr>
            <w:r>
              <w:rPr>
                <w:rFonts w:ascii="Times New Roman" w:hAnsi="Times New Roman"/>
                <w:b w:val="0"/>
                <w:sz w:val="22"/>
              </w:rPr>
              <w:t>Проверка пользователями. Одного наличия адаптированного элемента недостаточно</w:t>
            </w:r>
          </w:p>
        </w:tc>
      </w:tr>
      <w:tr>
        <w:trPr>
          <w:cantSplit/>
        </w:trPr>
        <w:tc>
          <w:tcPr>
            <w:tcW w:type="dxa" w:w="2041"/>
            <w:vAlign w:val="center"/>
          </w:tcPr>
          <w:p>
            <w:pPr>
              <w:keepNext w:val="0"/>
              <w:keepLines w:val="0"/>
              <w:spacing w:line="240" w:lineRule="auto" w:before="20" w:after="20"/>
              <w:ind w:firstLine="0"/>
              <w:jc w:val="left"/>
            </w:pPr>
            <w:r>
              <w:rPr>
                <w:rFonts w:ascii="Times New Roman" w:hAnsi="Times New Roman"/>
                <w:b w:val="0"/>
                <w:sz w:val="22"/>
              </w:rPr>
              <w:t>Местный результат</w:t>
            </w:r>
          </w:p>
        </w:tc>
        <w:tc>
          <w:tcPr>
            <w:tcW w:type="dxa" w:w="3515"/>
            <w:vAlign w:val="center"/>
          </w:tcPr>
          <w:p>
            <w:pPr>
              <w:keepNext w:val="0"/>
              <w:keepLines w:val="0"/>
              <w:spacing w:line="240" w:lineRule="auto" w:before="20" w:after="20"/>
              <w:ind w:firstLine="0"/>
              <w:jc w:val="left"/>
            </w:pPr>
            <w:r>
              <w:rPr>
                <w:rFonts w:ascii="Times New Roman" w:hAnsi="Times New Roman"/>
                <w:b w:val="0"/>
                <w:sz w:val="22"/>
              </w:rPr>
              <w:t>Постоянная и сезонная занятость, доходы, местные закупки</w:t>
            </w:r>
          </w:p>
        </w:tc>
        <w:tc>
          <w:tcPr>
            <w:tcW w:type="dxa" w:w="4082"/>
            <w:vAlign w:val="center"/>
          </w:tcPr>
          <w:p>
            <w:pPr>
              <w:keepNext w:val="0"/>
              <w:keepLines w:val="0"/>
              <w:spacing w:line="240" w:lineRule="auto" w:before="20" w:after="20"/>
              <w:ind w:firstLine="0"/>
              <w:jc w:val="left"/>
            </w:pPr>
            <w:r>
              <w:rPr>
                <w:rFonts w:ascii="Times New Roman" w:hAnsi="Times New Roman"/>
                <w:b w:val="0"/>
                <w:sz w:val="22"/>
              </w:rPr>
              <w:t>Фактические получатели и длительность занятости</w:t>
            </w:r>
          </w:p>
        </w:tc>
      </w:tr>
      <w:tr>
        <w:trPr>
          <w:cantSplit/>
        </w:trPr>
        <w:tc>
          <w:tcPr>
            <w:tcW w:type="dxa" w:w="2041"/>
            <w:vAlign w:val="center"/>
          </w:tcPr>
          <w:p>
            <w:pPr>
              <w:keepNext/>
              <w:keepLines w:val="0"/>
              <w:spacing w:line="240" w:lineRule="auto" w:before="20" w:after="20"/>
              <w:ind w:firstLine="0"/>
              <w:jc w:val="left"/>
            </w:pPr>
            <w:r>
              <w:rPr>
                <w:rFonts w:ascii="Times New Roman" w:hAnsi="Times New Roman"/>
                <w:b w:val="0"/>
                <w:sz w:val="22"/>
              </w:rPr>
              <w:t>Нагрузка на среду</w:t>
            </w:r>
          </w:p>
        </w:tc>
        <w:tc>
          <w:tcPr>
            <w:tcW w:type="dxa" w:w="3515"/>
            <w:vAlign w:val="center"/>
          </w:tcPr>
          <w:p>
            <w:pPr>
              <w:keepNext/>
              <w:keepLines w:val="0"/>
              <w:spacing w:line="240" w:lineRule="auto" w:before="20" w:after="20"/>
              <w:ind w:firstLine="0"/>
              <w:jc w:val="left"/>
            </w:pPr>
            <w:r>
              <w:rPr>
                <w:rFonts w:ascii="Times New Roman" w:hAnsi="Times New Roman"/>
                <w:b w:val="0"/>
                <w:sz w:val="22"/>
              </w:rPr>
              <w:t>Вода, отходы и нагрузка на сети – всего и на ночёвку</w:t>
            </w:r>
          </w:p>
        </w:tc>
        <w:tc>
          <w:tcPr>
            <w:tcW w:type="dxa" w:w="4082"/>
            <w:vAlign w:val="center"/>
          </w:tcPr>
          <w:p>
            <w:pPr>
              <w:keepNext/>
              <w:keepLines w:val="0"/>
              <w:spacing w:line="240" w:lineRule="auto" w:before="20" w:after="20"/>
              <w:ind w:firstLine="0"/>
              <w:jc w:val="left"/>
            </w:pPr>
            <w:r>
              <w:rPr>
                <w:rFonts w:ascii="Times New Roman" w:hAnsi="Times New Roman"/>
                <w:b w:val="0"/>
                <w:sz w:val="22"/>
              </w:rPr>
              <w:t>Одинаковая территория. Удельное снижение не исключает роста общей нагрузки</w:t>
            </w:r>
          </w:p>
        </w:tc>
      </w:tr>
    </w:tbl>
    <w:p>
      <w:pPr>
        <w:pStyle w:val="SourceNote"/>
        <w:keepLines/>
        <w:spacing w:before="80" w:after="120"/>
      </w:pPr>
      <w:r>
        <w:rPr>
          <w:rFonts w:ascii="Times New Roman" w:hAnsi="Times New Roman"/>
          <w:b w:val="0"/>
        </w:rPr>
        <w:t xml:space="preserve">Авторские предложения, не утверждённые паспортные целевые значения. Физическое использование номеров требует данных о занятых номеро-сутках и отличается от коммерческой загрузки. </w:t>
      </w:r>
      <w:r>
        <w:rPr>
          <w:rStyle w:val="FootnoteReference"/>
        </w:rPr>
        <w:footnoteReference w:id="125"/>
      </w:r>
    </w:p>
    <w:p>
      <w:r>
        <w:rPr>
          <w:rFonts w:ascii="Times New Roman" w:hAnsi="Times New Roman"/>
          <w:b w:val="0"/>
        </w:rPr>
        <w:t>Показатели воздействия на среду должны рассчитываться как в абсолютных величинах, так и на единицу туристической услуги. Снижение расхода воды на одну ночёвку может сочетаться с увеличением общей нагрузки при быстром росте потока. Установление допустимой нагрузки требует территориального обследования, характеристик сетей и природных ограничений. Универсальный норматив, одинаковый для всех курортов, в настоящей экспертизе не предлагается.</w:t>
      </w:r>
    </w:p>
    <w:p>
      <w:pPr>
        <w:pStyle w:val="Heading2"/>
      </w:pPr>
      <w:bookmarkStart w:id="55" w:name="sec_54"/>
      <w:r>
        <w:t>7.5 Оценка дополнительного эффекта</w:t>
      </w:r>
      <w:bookmarkEnd w:id="55"/>
    </w:p>
    <w:p>
      <w:r>
        <w:rPr>
          <w:rFonts w:ascii="Times New Roman" w:hAnsi="Times New Roman"/>
          <w:b w:val="0"/>
        </w:rPr>
        <w:t>Для проверки дополнительности отдельных инструментов предлагается формировать панель поддержанных объектов и сопоставимых объектов сравнения. До начала оценки необходимо определить измеряемый результат, дату воздействия и механизм отбора получателей. Для гостиниц следует оценивать ввод работающей мощности, загрузку, ночёвки и занятость. Для продвижения – дополнительный спрос на целевом рынке. Для обучения – применение навыков и дальнейшая занятость участников.</w:t>
      </w:r>
    </w:p>
    <w:p>
      <w:r>
        <w:rPr>
          <w:rFonts w:ascii="Times New Roman" w:hAnsi="Times New Roman"/>
          <w:b w:val="0"/>
        </w:rPr>
        <w:t xml:space="preserve">Разность изменений может использоваться для оценки при наличии сопоставимой динамики до воздействия. Она сравнивает изменение результата у получателей поддержки с изменением у группы сравнения. При различающихся сроках участия и неоднородных эффектах нужны оценки для соответствующих когорт и периодов. Современная методология разностей разностей позволяет сформулировать такие оценки при явно заданных предпосылках идентификации. </w:t>
      </w:r>
      <w:r>
        <w:rPr>
          <w:rStyle w:val="FootnoteReference"/>
        </w:rPr>
        <w:footnoteReference w:id="126"/>
      </w:r>
    </w:p>
    <w:p>
      <w:pPr>
        <w:keepNext/>
        <w:spacing w:line="240" w:lineRule="auto" w:before="180" w:after="180"/>
        <w:ind w:firstLine="0"/>
        <w:jc w:val="center"/>
      </w:pPr>
      <m:oMath>
        <m:r>
          <m:rPr>
            <m:sty m:val="p"/>
          </m:rPr>
          <m:t>τ = (</m:t>
        </m:r>
        <m:sSub>
          <m:e>
            <m:bar>
              <m:barPr>
                <m:pos m:val="top"/>
              </m:barPr>
              <m:e>
                <m:r>
                  <m:rPr>
                    <m:sty m:val="p"/>
                  </m:rPr>
                  <m:t>Y</m:t>
                </m:r>
              </m:e>
            </m:bar>
          </m:e>
          <m:sub>
            <m:r>
              <m:rPr>
                <m:sty m:val="p"/>
              </m:rPr>
              <m:t>1,после</m:t>
            </m:r>
          </m:sub>
        </m:sSub>
        <m:r>
          <m:rPr>
            <m:sty m:val="p"/>
          </m:rPr>
          <m:t> − </m:t>
        </m:r>
        <m:sSub>
          <m:e>
            <m:bar>
              <m:barPr>
                <m:pos m:val="top"/>
              </m:barPr>
              <m:e>
                <m:r>
                  <m:rPr>
                    <m:sty m:val="p"/>
                  </m:rPr>
                  <m:t>Y</m:t>
                </m:r>
              </m:e>
            </m:bar>
          </m:e>
          <m:sub>
            <m:r>
              <m:rPr>
                <m:sty m:val="p"/>
              </m:rPr>
              <m:t>1,до</m:t>
            </m:r>
          </m:sub>
        </m:sSub>
        <m:r>
          <m:rPr>
            <m:sty m:val="p"/>
          </m:rPr>
          <m:t>) − (</m:t>
        </m:r>
        <m:sSub>
          <m:e>
            <m:bar>
              <m:barPr>
                <m:pos m:val="top"/>
              </m:barPr>
              <m:e>
                <m:r>
                  <m:rPr>
                    <m:sty m:val="p"/>
                  </m:rPr>
                  <m:t>Y</m:t>
                </m:r>
              </m:e>
            </m:bar>
          </m:e>
          <m:sub>
            <m:r>
              <m:rPr>
                <m:sty m:val="p"/>
              </m:rPr>
              <m:t>0,после</m:t>
            </m:r>
          </m:sub>
        </m:sSub>
        <m:r>
          <m:rPr>
            <m:sty m:val="p"/>
          </m:rPr>
          <m:t> − </m:t>
        </m:r>
        <m:sSub>
          <m:e>
            <m:bar>
              <m:barPr>
                <m:pos m:val="top"/>
              </m:barPr>
              <m:e>
                <m:r>
                  <m:rPr>
                    <m:sty m:val="p"/>
                  </m:rPr>
                  <m:t>Y</m:t>
                </m:r>
              </m:e>
            </m:bar>
          </m:e>
          <m:sub>
            <m:r>
              <m:rPr>
                <m:sty m:val="p"/>
              </m:rPr>
              <m:t>0,до</m:t>
            </m:r>
          </m:sub>
        </m:sSub>
        <m:r>
          <m:rPr>
            <m:sty m:val="p"/>
          </m:rPr>
          <m:t>)</m:t>
        </m:r>
      </m:oMath>
      <w:r>
        <w:t xml:space="preserve">    (7)</w:t>
      </w:r>
    </w:p>
    <w:p>
      <w:r>
        <w:rPr>
          <w:rFonts w:ascii="Times New Roman" w:hAnsi="Times New Roman"/>
          <w:b w:val="0"/>
        </w:rPr>
        <w:t>В выражении сопоставляются средние результаты получателей поддержки и группы сравнения до воздействия и после него. Формула иллюстрирует принцип и не является выполненной оценкой эффекта национального проекта. Для её применения нужны проверяемые данные об объектах, достаточная предыстория, совместимость измерений и анализ условий отбора.</w:t>
      </w:r>
    </w:p>
    <w:p>
      <w:r>
        <w:rPr>
          <w:rFonts w:ascii="Times New Roman" w:hAnsi="Times New Roman"/>
          <w:b w:val="0"/>
        </w:rPr>
        <w:t>В туризме необходимо учитывать сезонный календарь, транспортные ограничения, изменение классификации и внешние события, неодинаково затрагивающие территории. Сравнивать разные месяцы до и после открытия гостиницы без сезонной корректировки недостаточно. Если поддержка распределяется в ответ на спад спроса, исходное положение получателей может существенно отличаться от других объектов. Для обоснованного сравнения следует исследовать предшествующую динамику и условия включения в программу.</w:t>
      </w:r>
    </w:p>
    <w:p>
      <w:r>
        <w:rPr>
          <w:rFonts w:ascii="Times New Roman" w:hAnsi="Times New Roman"/>
          <w:b w:val="0"/>
        </w:rPr>
        <w:t>Возможны пространственные эффекты: новый комплекс способен привлекать дополнительные поездки, перераспределять посетителей между соседними объектами или увеличивать спрос на сопутствующие услуги. Поэтому оценка на уровне получателя и оценка на уровне территории должны дополнять друг друга. Суммирование индивидуальных приростов без учёта вытеснения может завысить общий дополнительный результат.</w:t>
      </w:r>
    </w:p>
    <w:p>
      <w:r>
        <w:rPr>
          <w:rFonts w:ascii="Times New Roman" w:hAnsi="Times New Roman"/>
          <w:b w:val="0"/>
        </w:rPr>
        <w:t>Экспериментальные и квазиэкспериментальные процедуры целесообразно начинать с мер, для которых наблюдаемы дата воздействия и сопоставимая группа: отдельные программы обучения, продвижение на выбранных рынках, очереди подключений или волны инвестиционной поддержки. Решение о распространении инструмента должно зависеть от полученного эффекта, его стоимости и ограничений переноса на другие территории.</w:t>
      </w:r>
    </w:p>
    <w:p>
      <w:pPr>
        <w:pStyle w:val="Heading2"/>
      </w:pPr>
      <w:bookmarkStart w:id="56" w:name="sec_55"/>
      <w:r>
        <w:t>7.6 Последовательность внедрения предложений</w:t>
      </w:r>
      <w:bookmarkEnd w:id="56"/>
    </w:p>
    <w:p>
      <w:r>
        <w:rPr>
          <w:rFonts w:ascii="Times New Roman" w:hAnsi="Times New Roman"/>
          <w:b w:val="0"/>
        </w:rPr>
        <w:t>Предлагаемые изменения можно реализовать поэтапно. Сначала необходимо устранить неоднозначность определения и статуса действующих показателей, согласовать финансовые потоки и идентификаторы объектов. Затем можно расширить сбор данных об использовании инфраструктуры и доступности услуг. Оценка дополнительного эффекта требует накопления совместимых данных и подготовки групп сравнения, поэтому её следует планировать заранее.</w:t>
      </w:r>
    </w:p>
    <w:p>
      <w:pPr>
        <w:pStyle w:val="Caption"/>
        <w:keepNext/>
      </w:pPr>
      <w:r>
        <w:rPr>
          <w:rFonts w:ascii="Times New Roman" w:hAnsi="Times New Roman"/>
          <w:b w:val="0"/>
        </w:rPr>
        <w:t>Таблица 15 – Последовательность внедрения предложений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154"/>
        <w:gridCol w:w="3515"/>
        <w:gridCol w:w="3969"/>
      </w:tblGrid>
      <w:tr>
        <w:trPr>
          <w:cantSplit/>
          <w:tblHeader w:val="true"/>
        </w:trPr>
        <w:tc>
          <w:tcPr>
            <w:tcW w:type="dxa" w:w="2154"/>
            <w:vAlign w:val="center"/>
            <w:shd w:val="clear" w:fill="FFFFFF"/>
          </w:tcPr>
          <w:p>
            <w:pPr>
              <w:keepNext w:val="0"/>
              <w:keepLines w:val="0"/>
              <w:spacing w:line="240" w:lineRule="auto" w:before="20" w:after="20"/>
              <w:ind w:firstLine="0"/>
              <w:jc w:val="center"/>
            </w:pPr>
            <w:r>
              <w:rPr>
                <w:rFonts w:ascii="Times New Roman" w:hAnsi="Times New Roman"/>
                <w:b/>
                <w:sz w:val="22"/>
              </w:rPr>
              <w:t>Этап</w:t>
            </w:r>
          </w:p>
        </w:tc>
        <w:tc>
          <w:tcPr>
            <w:tcW w:type="dxa" w:w="3515"/>
            <w:vAlign w:val="center"/>
            <w:shd w:val="clear" w:fill="FFFFFF"/>
          </w:tcPr>
          <w:p>
            <w:pPr>
              <w:keepNext w:val="0"/>
              <w:keepLines w:val="0"/>
              <w:spacing w:line="240" w:lineRule="auto" w:before="20" w:after="20"/>
              <w:ind w:firstLine="0"/>
              <w:jc w:val="center"/>
            </w:pPr>
            <w:r>
              <w:rPr>
                <w:rFonts w:ascii="Times New Roman" w:hAnsi="Times New Roman"/>
                <w:b/>
                <w:sz w:val="22"/>
              </w:rPr>
              <w:t>Основное действие</w:t>
            </w:r>
          </w:p>
        </w:tc>
        <w:tc>
          <w:tcPr>
            <w:tcW w:type="dxa" w:w="3969"/>
            <w:vAlign w:val="center"/>
            <w:shd w:val="clear" w:fill="FFFFFF"/>
          </w:tcPr>
          <w:p>
            <w:pPr>
              <w:keepNext w:val="0"/>
              <w:keepLines w:val="0"/>
              <w:spacing w:line="240" w:lineRule="auto" w:before="20" w:after="20"/>
              <w:ind w:firstLine="0"/>
              <w:jc w:val="center"/>
            </w:pPr>
            <w:r>
              <w:rPr>
                <w:rFonts w:ascii="Times New Roman" w:hAnsi="Times New Roman"/>
                <w:b/>
                <w:sz w:val="22"/>
              </w:rPr>
              <w:t>Проверяемый результат</w:t>
            </w:r>
          </w:p>
        </w:tc>
      </w:tr>
      <w:tr>
        <w:trPr>
          <w:cantSplit/>
        </w:trPr>
        <w:tc>
          <w:tcPr>
            <w:tcW w:type="dxa" w:w="2154"/>
            <w:vAlign w:val="center"/>
          </w:tcPr>
          <w:p>
            <w:pPr>
              <w:keepNext w:val="0"/>
              <w:keepLines w:val="0"/>
              <w:spacing w:line="240" w:lineRule="auto" w:before="20" w:after="20"/>
              <w:ind w:firstLine="0"/>
              <w:jc w:val="left"/>
            </w:pPr>
            <w:r>
              <w:rPr>
                <w:rFonts w:ascii="Times New Roman" w:hAnsi="Times New Roman"/>
                <w:b w:val="0"/>
                <w:sz w:val="22"/>
              </w:rPr>
              <w:t>Согласование определений</w:t>
            </w:r>
          </w:p>
        </w:tc>
        <w:tc>
          <w:tcPr>
            <w:tcW w:type="dxa" w:w="3515"/>
            <w:vAlign w:val="center"/>
          </w:tcPr>
          <w:p>
            <w:pPr>
              <w:keepNext w:val="0"/>
              <w:keepLines w:val="0"/>
              <w:spacing w:line="240" w:lineRule="auto" w:before="20" w:after="20"/>
              <w:ind w:firstLine="0"/>
              <w:jc w:val="left"/>
            </w:pPr>
            <w:r>
              <w:rPr>
                <w:rFonts w:ascii="Times New Roman" w:hAnsi="Times New Roman"/>
                <w:b w:val="0"/>
                <w:sz w:val="22"/>
              </w:rPr>
              <w:t>Единые карточки показателей, статусы оценок и история пересмотров</w:t>
            </w:r>
          </w:p>
        </w:tc>
        <w:tc>
          <w:tcPr>
            <w:tcW w:type="dxa" w:w="3969"/>
            <w:vAlign w:val="center"/>
          </w:tcPr>
          <w:p>
            <w:pPr>
              <w:keepNext w:val="0"/>
              <w:keepLines w:val="0"/>
              <w:spacing w:line="240" w:lineRule="auto" w:before="20" w:after="20"/>
              <w:ind w:firstLine="0"/>
              <w:jc w:val="left"/>
            </w:pPr>
            <w:r>
              <w:rPr>
                <w:rFonts w:ascii="Times New Roman" w:hAnsi="Times New Roman"/>
                <w:b w:val="0"/>
                <w:sz w:val="22"/>
              </w:rPr>
              <w:t>Сопоставимые определения, периоды и версии данных</w:t>
            </w:r>
          </w:p>
        </w:tc>
      </w:tr>
      <w:tr>
        <w:trPr>
          <w:cantSplit/>
        </w:trPr>
        <w:tc>
          <w:tcPr>
            <w:tcW w:type="dxa" w:w="2154"/>
            <w:vAlign w:val="center"/>
          </w:tcPr>
          <w:p>
            <w:pPr>
              <w:keepNext w:val="0"/>
              <w:keepLines w:val="0"/>
              <w:spacing w:line="240" w:lineRule="auto" w:before="20" w:after="20"/>
              <w:ind w:firstLine="0"/>
              <w:jc w:val="left"/>
            </w:pPr>
            <w:r>
              <w:rPr>
                <w:rFonts w:ascii="Times New Roman" w:hAnsi="Times New Roman"/>
                <w:b w:val="0"/>
                <w:sz w:val="22"/>
              </w:rPr>
              <w:t>Сверка финансов и объектов</w:t>
            </w:r>
          </w:p>
        </w:tc>
        <w:tc>
          <w:tcPr>
            <w:tcW w:type="dxa" w:w="3515"/>
            <w:vAlign w:val="center"/>
          </w:tcPr>
          <w:p>
            <w:pPr>
              <w:keepNext w:val="0"/>
              <w:keepLines w:val="0"/>
              <w:spacing w:line="240" w:lineRule="auto" w:before="20" w:after="20"/>
              <w:ind w:firstLine="0"/>
              <w:jc w:val="left"/>
            </w:pPr>
            <w:r>
              <w:rPr>
                <w:rFonts w:ascii="Times New Roman" w:hAnsi="Times New Roman"/>
                <w:b w:val="0"/>
                <w:sz w:val="22"/>
              </w:rPr>
              <w:t>Связать получателя, инструмент, объект и платёж. Исключить трансферты</w:t>
            </w:r>
          </w:p>
        </w:tc>
        <w:tc>
          <w:tcPr>
            <w:tcW w:type="dxa" w:w="3969"/>
            <w:vAlign w:val="center"/>
          </w:tcPr>
          <w:p>
            <w:pPr>
              <w:keepNext w:val="0"/>
              <w:keepLines w:val="0"/>
              <w:spacing w:line="240" w:lineRule="auto" w:before="20" w:after="20"/>
              <w:ind w:firstLine="0"/>
              <w:jc w:val="left"/>
            </w:pPr>
            <w:r>
              <w:rPr>
                <w:rFonts w:ascii="Times New Roman" w:hAnsi="Times New Roman"/>
                <w:b w:val="0"/>
                <w:sz w:val="22"/>
              </w:rPr>
              <w:t>Реестр поддержки без повторного учёта финансовых потоков и результатов</w:t>
            </w:r>
          </w:p>
        </w:tc>
      </w:tr>
      <w:tr>
        <w:trPr>
          <w:cantSplit/>
        </w:trPr>
        <w:tc>
          <w:tcPr>
            <w:tcW w:type="dxa" w:w="2154"/>
            <w:vAlign w:val="center"/>
          </w:tcPr>
          <w:p>
            <w:pPr>
              <w:keepNext w:val="0"/>
              <w:keepLines w:val="0"/>
              <w:spacing w:line="240" w:lineRule="auto" w:before="20" w:after="20"/>
              <w:ind w:firstLine="0"/>
              <w:jc w:val="left"/>
            </w:pPr>
            <w:r>
              <w:rPr>
                <w:rFonts w:ascii="Times New Roman" w:hAnsi="Times New Roman"/>
                <w:b w:val="0"/>
                <w:sz w:val="22"/>
              </w:rPr>
              <w:t>Наблюдение использования</w:t>
            </w:r>
          </w:p>
        </w:tc>
        <w:tc>
          <w:tcPr>
            <w:tcW w:type="dxa" w:w="3515"/>
            <w:vAlign w:val="center"/>
          </w:tcPr>
          <w:p>
            <w:pPr>
              <w:keepNext w:val="0"/>
              <w:keepLines w:val="0"/>
              <w:spacing w:line="240" w:lineRule="auto" w:before="20" w:after="20"/>
              <w:ind w:firstLine="0"/>
              <w:jc w:val="left"/>
            </w:pPr>
            <w:r>
              <w:rPr>
                <w:rFonts w:ascii="Times New Roman" w:hAnsi="Times New Roman"/>
                <w:b w:val="0"/>
                <w:sz w:val="22"/>
              </w:rPr>
              <w:t>Связать реестр с работой объектов, загрузкой и доступностью услуг</w:t>
            </w:r>
          </w:p>
        </w:tc>
        <w:tc>
          <w:tcPr>
            <w:tcW w:type="dxa" w:w="3969"/>
            <w:vAlign w:val="center"/>
          </w:tcPr>
          <w:p>
            <w:pPr>
              <w:keepNext w:val="0"/>
              <w:keepLines w:val="0"/>
              <w:spacing w:line="240" w:lineRule="auto" w:before="20" w:after="20"/>
              <w:ind w:firstLine="0"/>
              <w:jc w:val="left"/>
            </w:pPr>
            <w:r>
              <w:rPr>
                <w:rFonts w:ascii="Times New Roman" w:hAnsi="Times New Roman"/>
                <w:b w:val="0"/>
                <w:sz w:val="22"/>
              </w:rPr>
              <w:t>Совместимые помесячные и распределительные данные</w:t>
            </w:r>
          </w:p>
        </w:tc>
      </w:tr>
      <w:tr>
        <w:trPr>
          <w:cantSplit/>
        </w:trPr>
        <w:tc>
          <w:tcPr>
            <w:tcW w:type="dxa" w:w="2154"/>
            <w:vAlign w:val="center"/>
          </w:tcPr>
          <w:p>
            <w:pPr>
              <w:keepNext w:val="0"/>
              <w:keepLines w:val="0"/>
              <w:spacing w:line="240" w:lineRule="auto" w:before="20" w:after="20"/>
              <w:ind w:firstLine="0"/>
              <w:jc w:val="left"/>
            </w:pPr>
            <w:r>
              <w:rPr>
                <w:rFonts w:ascii="Times New Roman" w:hAnsi="Times New Roman"/>
                <w:b w:val="0"/>
                <w:sz w:val="22"/>
              </w:rPr>
              <w:t>Подготовка оценки эффекта</w:t>
            </w:r>
          </w:p>
        </w:tc>
        <w:tc>
          <w:tcPr>
            <w:tcW w:type="dxa" w:w="3515"/>
            <w:vAlign w:val="center"/>
          </w:tcPr>
          <w:p>
            <w:pPr>
              <w:keepNext w:val="0"/>
              <w:keepLines w:val="0"/>
              <w:spacing w:line="240" w:lineRule="auto" w:before="20" w:after="20"/>
              <w:ind w:firstLine="0"/>
              <w:jc w:val="left"/>
            </w:pPr>
            <w:r>
              <w:rPr>
                <w:rFonts w:ascii="Times New Roman" w:hAnsi="Times New Roman"/>
                <w:b w:val="0"/>
                <w:sz w:val="22"/>
              </w:rPr>
              <w:t>Задать воздействие, предысторию, когорты и группу сравнения</w:t>
            </w:r>
          </w:p>
        </w:tc>
        <w:tc>
          <w:tcPr>
            <w:tcW w:type="dxa" w:w="3969"/>
            <w:vAlign w:val="center"/>
          </w:tcPr>
          <w:p>
            <w:pPr>
              <w:keepNext w:val="0"/>
              <w:keepLines w:val="0"/>
              <w:spacing w:line="240" w:lineRule="auto" w:before="20" w:after="20"/>
              <w:ind w:firstLine="0"/>
              <w:jc w:val="left"/>
            </w:pPr>
            <w:r>
              <w:rPr>
                <w:rFonts w:ascii="Times New Roman" w:hAnsi="Times New Roman"/>
                <w:b w:val="0"/>
                <w:sz w:val="22"/>
              </w:rPr>
              <w:t>Проверяемый план оценки дополнительного эффекта до интерпретации результата</w:t>
            </w:r>
          </w:p>
        </w:tc>
      </w:tr>
      <w:tr>
        <w:trPr>
          <w:cantSplit/>
        </w:trPr>
        <w:tc>
          <w:tcPr>
            <w:tcW w:type="dxa" w:w="2154"/>
            <w:vAlign w:val="center"/>
          </w:tcPr>
          <w:p>
            <w:pPr>
              <w:keepNext/>
              <w:keepLines w:val="0"/>
              <w:spacing w:line="240" w:lineRule="auto" w:before="20" w:after="20"/>
              <w:ind w:firstLine="0"/>
              <w:jc w:val="left"/>
            </w:pPr>
            <w:r>
              <w:rPr>
                <w:rFonts w:ascii="Times New Roman" w:hAnsi="Times New Roman"/>
                <w:b w:val="0"/>
                <w:sz w:val="22"/>
              </w:rPr>
              <w:t>Корректировка инструментов</w:t>
            </w:r>
          </w:p>
        </w:tc>
        <w:tc>
          <w:tcPr>
            <w:tcW w:type="dxa" w:w="3515"/>
            <w:vAlign w:val="center"/>
          </w:tcPr>
          <w:p>
            <w:pPr>
              <w:keepNext/>
              <w:keepLines w:val="0"/>
              <w:spacing w:line="240" w:lineRule="auto" w:before="20" w:after="20"/>
              <w:ind w:firstLine="0"/>
              <w:jc w:val="left"/>
            </w:pPr>
            <w:r>
              <w:rPr>
                <w:rFonts w:ascii="Times New Roman" w:hAnsi="Times New Roman"/>
                <w:b w:val="0"/>
                <w:sz w:val="22"/>
              </w:rPr>
              <w:t>Сопоставить дополнительный эффект с полной стоимостью и рисками</w:t>
            </w:r>
          </w:p>
        </w:tc>
        <w:tc>
          <w:tcPr>
            <w:tcW w:type="dxa" w:w="3969"/>
            <w:vAlign w:val="center"/>
          </w:tcPr>
          <w:p>
            <w:pPr>
              <w:keepNext/>
              <w:keepLines w:val="0"/>
              <w:spacing w:line="240" w:lineRule="auto" w:before="20" w:after="20"/>
              <w:ind w:firstLine="0"/>
              <w:jc w:val="left"/>
            </w:pPr>
            <w:r>
              <w:rPr>
                <w:rFonts w:ascii="Times New Roman" w:hAnsi="Times New Roman"/>
                <w:b w:val="0"/>
                <w:sz w:val="22"/>
              </w:rPr>
              <w:t>Обоснование сохранения, изменения или расширения поддержки</w:t>
            </w:r>
          </w:p>
        </w:tc>
      </w:tr>
    </w:tbl>
    <w:p>
      <w:pPr>
        <w:pStyle w:val="SourceNote"/>
        <w:keepLines/>
        <w:spacing w:before="80" w:after="120"/>
      </w:pPr>
      <w:r>
        <w:rPr>
          <w:rFonts w:ascii="Times New Roman" w:hAnsi="Times New Roman"/>
          <w:b w:val="0"/>
        </w:rPr>
        <w:t xml:space="preserve">Предлагаемая автором последовательность, без установления новых нормативных сроков. Для полной стоимости нужны общий год цен, учёт разновременных расходов и сопоставимый срок службы. </w:t>
      </w:r>
      <w:r>
        <w:rPr>
          <w:rStyle w:val="FootnoteReference"/>
        </w:rPr>
        <w:footnoteReference w:id="127"/>
      </w:r>
    </w:p>
    <w:p>
      <w:r>
        <w:rPr>
          <w:rFonts w:ascii="Times New Roman" w:hAnsi="Times New Roman"/>
          <w:b w:val="0"/>
        </w:rPr>
        <w:t>Публикация показателей должна сопровождаться ответственностью за их содержательную интерпретацию. Для пересмотра числа поездок нужно раскрывать причину изменения и затронутые периоды. Для бюджетной поддержки – принадлежность расхода конкретному инструменту и объекту. Для результатов, основанных на реестре, – движение записей и статусы работы. Согласование этих элементов повысит пригодность данных для научной экспертизы и управленческих решений.</w:t>
      </w:r>
    </w:p>
    <w:p>
      <w:pPr>
        <w:pStyle w:val="Heading1"/>
      </w:pPr>
      <w:bookmarkStart w:id="57" w:name="sec_56"/>
      <w:r>
        <w:t>Заключение</w:t>
      </w:r>
      <w:bookmarkEnd w:id="57"/>
    </w:p>
    <w:p>
      <w:r>
        <w:rPr>
          <w:rFonts w:ascii="Times New Roman" w:hAnsi="Times New Roman"/>
          <w:b w:val="0"/>
        </w:rPr>
        <w:t>Национальный проект «Туризм и гостеприимство» объединяет инструменты развития предложения, спроса, кадров и промышленного обеспечения. Его результативность зависит от совместной готовности объектов и инфраструктуры, устойчивости использования и доступности услуг. Масштаб плановых ресурсов и изменение отраслевых показателей необходимо оценивать с учётом периодов планирования и получения результатов, правил консолидации и действующих методик.</w:t>
      </w:r>
    </w:p>
    <w:p>
      <w:r>
        <w:rPr>
          <w:rFonts w:ascii="Times New Roman" w:hAnsi="Times New Roman"/>
          <w:b w:val="0"/>
        </w:rPr>
        <w:t>Паспортные и статистические показатели имеют разные уровни представления. Часть предварительных величин может формироваться с использованием плана, поэтому совпадение с целью требует проверки статуса. Обновление учёта средств размещения влияет на сопоставимость ряда. Федеральные трансферты должны исключаться при консолидации расходов, а внебюджетные намерения требуют подтверждения фактическими вложениями.</w:t>
      </w:r>
    </w:p>
    <w:p>
      <w:r>
        <w:rPr>
          <w:rFonts w:ascii="Times New Roman" w:hAnsi="Times New Roman"/>
          <w:b w:val="0"/>
        </w:rPr>
        <w:t>Региональная статистика позволяет исследовать концентрацию туристического потока, однако сама по себе не раскрывает участие населения, качество занятости и распределение доходов. Для анализа сезонности нужны самостоятельные месячные наблюдения постоянного охвата. Для социальной оценки существенны различия между количеством поездок и числом путешествующих людей, а также причины отказа от отдыха вне места проживания.</w:t>
      </w:r>
    </w:p>
    <w:p>
      <w:r>
        <w:rPr>
          <w:rFonts w:ascii="Times New Roman" w:hAnsi="Times New Roman"/>
          <w:b w:val="0"/>
        </w:rPr>
        <w:t>Документированная структура подтверждает наличие связей мероприятий с задачами, но недостаточна для количественной оценки причинного вклада. Лексическое сопоставление помогает находить содержательные пересечения и потенциально ложные соответствия. Дополнительный эффект следует оценивать в отдельном исследовании с учётом сроков участия, территориальной неоднородности и перераспределения спроса.</w:t>
      </w:r>
    </w:p>
    <w:p>
      <w:pPr>
        <w:keepLines w:val="1"/>
      </w:pPr>
      <w:r>
        <w:rPr>
          <w:rFonts w:ascii="Times New Roman" w:hAnsi="Times New Roman"/>
          <w:b w:val="0"/>
        </w:rPr>
        <w:t>В первую очередь предлагается дополнить регистрацию ресурсов и технических результатов совместным наблюдением работающей мощности, её использования, полной стоимости и результата для населения. Совместное наблюдение позволит обоснованно сохранять эффективные инструменты поддержки, корректировать условия их применения и выявлять случаи, когда рост опубликованного показателя связан преимущественно с изменением учёта.</w:t>
      </w:r>
    </w:p>
    <w:p>
      <w:pPr>
        <w:pStyle w:val="Heading1"/>
      </w:pPr>
      <w:bookmarkStart w:id="58" w:name="sec_57"/>
      <w:r>
        <w:t>Приложение. Реестр показателей и границы наблюдения</w:t>
      </w:r>
      <w:bookmarkEnd w:id="58"/>
    </w:p>
    <w:p>
      <w:r>
        <w:rPr>
          <w:rFonts w:ascii="Times New Roman" w:hAnsi="Times New Roman"/>
          <w:b w:val="0"/>
        </w:rPr>
        <w:t xml:space="preserve">В приложении приведены десять статистических кодов раздела 2.14 каталога официальной статистической информации. Показатель количества подготовленных специалистов добавлен отдельно как паспортная метрика, которой в проверенном перечне не соответствует самостоятельный статистический код. Число карточек в паспортах, число различных наименований и число статистических кодов не совпадают: один показатель может повторяться на национальном и федеральном уровнях. </w:t>
      </w:r>
      <w:r>
        <w:rPr>
          <w:rStyle w:val="FootnoteReference"/>
        </w:rPr>
        <w:footnoteReference w:id="128"/>
      </w:r>
    </w:p>
    <w:p>
      <w:r>
        <w:rPr>
          <w:rFonts w:ascii="Times New Roman" w:hAnsi="Times New Roman"/>
          <w:b w:val="0"/>
        </w:rPr>
        <w:t xml:space="preserve">Отсутствие прямой ссылки в каталоге не всегда означает отсутствие содержательно соответствующей публикации. В частности, показатель иностранных размещений 63347 найден среди источников физического прокси экспорта. Он рассматривается отдельно в соответствии с методикой и собственной единицей измерения. Отсутствующие числовые результаты не заменяются нулями. </w:t>
      </w:r>
      <w:r>
        <w:rPr>
          <w:rStyle w:val="FootnoteReference"/>
        </w:rPr>
        <w:footnoteReference w:id="129"/>
      </w:r>
    </w:p>
    <w:p>
      <w:pPr>
        <w:pStyle w:val="Caption"/>
        <w:keepNext/>
      </w:pPr>
      <w:r>
        <w:rPr>
          <w:rFonts w:ascii="Times New Roman" w:hAnsi="Times New Roman"/>
          <w:b w:val="0"/>
        </w:rPr>
        <w:t>Таблица 16 – Показатели национального проекта: статистические коды, наблюдения и ограничения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304"/>
        <w:gridCol w:w="2891"/>
        <w:gridCol w:w="2154"/>
        <w:gridCol w:w="3288"/>
      </w:tblGrid>
      <w:tr>
        <w:trPr>
          <w:cantSplit/>
          <w:tblHeader w:val="true"/>
        </w:trPr>
        <w:tc>
          <w:tcPr>
            <w:tcW w:type="dxa" w:w="1304"/>
            <w:vAlign w:val="center"/>
            <w:shd w:val="clear" w:fill="FFFFFF"/>
          </w:tcPr>
          <w:p>
            <w:pPr>
              <w:keepNext w:val="0"/>
              <w:keepLines w:val="0"/>
              <w:spacing w:line="240" w:lineRule="auto" w:before="20" w:after="20"/>
              <w:ind w:firstLine="0"/>
              <w:jc w:val="center"/>
            </w:pPr>
            <w:r>
              <w:rPr>
                <w:rFonts w:ascii="Times New Roman" w:hAnsi="Times New Roman"/>
                <w:b/>
                <w:sz w:val="22"/>
              </w:rPr>
              <w:t>Код</w:t>
            </w:r>
          </w:p>
        </w:tc>
        <w:tc>
          <w:tcPr>
            <w:tcW w:type="dxa" w:w="2891"/>
            <w:vAlign w:val="center"/>
            <w:shd w:val="clear" w:fill="FFFFFF"/>
          </w:tcPr>
          <w:p>
            <w:pPr>
              <w:keepNext w:val="0"/>
              <w:keepLines w:val="0"/>
              <w:spacing w:line="240" w:lineRule="auto" w:before="20" w:after="20"/>
              <w:ind w:firstLine="0"/>
              <w:jc w:val="center"/>
            </w:pPr>
            <w:r>
              <w:rPr>
                <w:rFonts w:ascii="Times New Roman" w:hAnsi="Times New Roman"/>
                <w:b/>
                <w:sz w:val="22"/>
              </w:rPr>
              <w:t>Показатель</w:t>
            </w:r>
          </w:p>
        </w:tc>
        <w:tc>
          <w:tcPr>
            <w:tcW w:type="dxa" w:w="2154"/>
            <w:vAlign w:val="center"/>
            <w:shd w:val="clear" w:fill="FFFFFF"/>
          </w:tcPr>
          <w:p>
            <w:pPr>
              <w:keepNext w:val="0"/>
              <w:keepLines w:val="0"/>
              <w:spacing w:line="240" w:lineRule="auto" w:before="20" w:after="20"/>
              <w:ind w:firstLine="0"/>
              <w:jc w:val="center"/>
            </w:pPr>
            <w:r>
              <w:rPr>
                <w:rFonts w:ascii="Times New Roman" w:hAnsi="Times New Roman"/>
                <w:b/>
                <w:sz w:val="22"/>
              </w:rPr>
              <w:t>Проверенная публикация</w:t>
            </w:r>
          </w:p>
        </w:tc>
        <w:tc>
          <w:tcPr>
            <w:tcW w:type="dxa" w:w="3288"/>
            <w:vAlign w:val="center"/>
            <w:shd w:val="clear" w:fill="FFFFFF"/>
          </w:tcPr>
          <w:p>
            <w:pPr>
              <w:keepNext w:val="0"/>
              <w:keepLines w:val="0"/>
              <w:spacing w:line="240" w:lineRule="auto" w:before="20" w:after="20"/>
              <w:ind w:firstLine="0"/>
              <w:jc w:val="center"/>
            </w:pPr>
            <w:r>
              <w:rPr>
                <w:rFonts w:ascii="Times New Roman" w:hAnsi="Times New Roman"/>
                <w:b/>
                <w:sz w:val="22"/>
              </w:rPr>
              <w:t>Основное ограничение</w:t>
            </w:r>
          </w:p>
        </w:tc>
      </w:tr>
      <w:tr>
        <w:trPr>
          <w:cantSplit/>
        </w:trPr>
        <w:tc>
          <w:tcPr>
            <w:tcW w:type="dxa" w:w="1304"/>
            <w:vAlign w:val="center"/>
          </w:tcPr>
          <w:p>
            <w:pPr>
              <w:keepNext w:val="0"/>
              <w:keepLines w:val="0"/>
              <w:spacing w:line="240" w:lineRule="auto" w:before="20" w:after="20"/>
              <w:ind w:firstLine="0"/>
              <w:jc w:val="left"/>
            </w:pPr>
            <w:r>
              <w:rPr>
                <w:rFonts w:ascii="Times New Roman" w:hAnsi="Times New Roman"/>
                <w:b w:val="0"/>
                <w:sz w:val="22"/>
              </w:rPr>
              <w:t>2.14.П.1</w:t>
            </w:r>
          </w:p>
        </w:tc>
        <w:tc>
          <w:tcPr>
            <w:tcW w:type="dxa" w:w="2891"/>
            <w:vAlign w:val="center"/>
          </w:tcPr>
          <w:p>
            <w:pPr>
              <w:keepNext w:val="0"/>
              <w:keepLines w:val="0"/>
              <w:spacing w:line="240" w:lineRule="auto" w:before="20" w:after="20"/>
              <w:ind w:firstLine="0"/>
              <w:jc w:val="left"/>
            </w:pPr>
            <w:r>
              <w:rPr>
                <w:rFonts w:ascii="Times New Roman" w:hAnsi="Times New Roman"/>
                <w:b w:val="0"/>
                <w:sz w:val="22"/>
              </w:rPr>
              <w:t>Объём экспорта туристских услуг</w:t>
            </w:r>
          </w:p>
        </w:tc>
        <w:tc>
          <w:tcPr>
            <w:tcW w:type="dxa" w:w="2154"/>
            <w:vAlign w:val="center"/>
          </w:tcPr>
          <w:p>
            <w:pPr>
              <w:keepNext w:val="0"/>
              <w:keepLines w:val="0"/>
              <w:spacing w:line="240" w:lineRule="auto" w:before="20" w:after="20"/>
              <w:ind w:firstLine="0"/>
              <w:jc w:val="left"/>
            </w:pPr>
            <w:r>
              <w:rPr>
                <w:rFonts w:ascii="Times New Roman" w:hAnsi="Times New Roman"/>
                <w:b w:val="0"/>
                <w:sz w:val="22"/>
              </w:rPr>
              <w:t>62902; денежная оценка. 63347; физический прокси</w:t>
            </w:r>
          </w:p>
        </w:tc>
        <w:tc>
          <w:tcPr>
            <w:tcW w:type="dxa" w:w="3288"/>
            <w:vAlign w:val="center"/>
          </w:tcPr>
          <w:p>
            <w:pPr>
              <w:keepNext w:val="0"/>
              <w:keepLines w:val="0"/>
              <w:spacing w:line="240" w:lineRule="auto" w:before="20" w:after="20"/>
              <w:ind w:firstLine="0"/>
              <w:jc w:val="left"/>
            </w:pPr>
            <w:r>
              <w:rPr>
                <w:rFonts w:ascii="Times New Roman" w:hAnsi="Times New Roman"/>
                <w:b w:val="0"/>
                <w:sz w:val="22"/>
              </w:rPr>
              <w:t>Разные единицы. Первая годовая оценка экспорта приравнивается к плану</w:t>
            </w:r>
          </w:p>
        </w:tc>
      </w:tr>
      <w:tr>
        <w:trPr>
          <w:cantSplit/>
        </w:trPr>
        <w:tc>
          <w:tcPr>
            <w:tcW w:type="dxa" w:w="1304"/>
            <w:vAlign w:val="center"/>
          </w:tcPr>
          <w:p>
            <w:pPr>
              <w:keepNext w:val="0"/>
              <w:keepLines w:val="0"/>
              <w:spacing w:line="240" w:lineRule="auto" w:before="20" w:after="20"/>
              <w:ind w:firstLine="0"/>
              <w:jc w:val="left"/>
            </w:pPr>
            <w:r>
              <w:rPr>
                <w:rFonts w:ascii="Times New Roman" w:hAnsi="Times New Roman"/>
                <w:b w:val="0"/>
                <w:sz w:val="22"/>
              </w:rPr>
              <w:t>2.14.П.2</w:t>
            </w:r>
          </w:p>
        </w:tc>
        <w:tc>
          <w:tcPr>
            <w:tcW w:type="dxa" w:w="2891"/>
            <w:vAlign w:val="center"/>
          </w:tcPr>
          <w:p>
            <w:pPr>
              <w:keepNext w:val="0"/>
              <w:keepLines w:val="0"/>
              <w:spacing w:line="240" w:lineRule="auto" w:before="20" w:after="20"/>
              <w:ind w:firstLine="0"/>
              <w:jc w:val="left"/>
            </w:pPr>
            <w:r>
              <w:rPr>
                <w:rFonts w:ascii="Times New Roman" w:hAnsi="Times New Roman"/>
                <w:b w:val="0"/>
                <w:sz w:val="22"/>
              </w:rPr>
              <w:t>Количество туристических поездок по территории РФ</w:t>
            </w:r>
          </w:p>
        </w:tc>
        <w:tc>
          <w:tcPr>
            <w:tcW w:type="dxa" w:w="2154"/>
            <w:vAlign w:val="center"/>
          </w:tcPr>
          <w:p>
            <w:pPr>
              <w:keepNext w:val="0"/>
              <w:keepLines w:val="0"/>
              <w:spacing w:line="240" w:lineRule="auto" w:before="20" w:after="20"/>
              <w:ind w:firstLine="0"/>
              <w:jc w:val="left"/>
            </w:pPr>
            <w:r>
              <w:rPr>
                <w:rFonts w:ascii="Times New Roman" w:hAnsi="Times New Roman"/>
                <w:b w:val="0"/>
                <w:sz w:val="22"/>
              </w:rPr>
              <w:t>62900; РФ и 85 территорий</w:t>
            </w:r>
          </w:p>
        </w:tc>
        <w:tc>
          <w:tcPr>
            <w:tcW w:type="dxa" w:w="3288"/>
            <w:vAlign w:val="center"/>
          </w:tcPr>
          <w:p>
            <w:pPr>
              <w:keepNext w:val="0"/>
              <w:keepLines w:val="0"/>
              <w:spacing w:line="240" w:lineRule="auto" w:before="20" w:after="20"/>
              <w:ind w:firstLine="0"/>
              <w:jc w:val="left"/>
            </w:pPr>
            <w:r>
              <w:rPr>
                <w:rFonts w:ascii="Times New Roman" w:hAnsi="Times New Roman"/>
                <w:b w:val="0"/>
                <w:sz w:val="22"/>
              </w:rPr>
              <w:t>Повторные поездки и размещения, накопление, пересмотры и изменение охвата</w:t>
            </w:r>
          </w:p>
        </w:tc>
      </w:tr>
      <w:tr>
        <w:trPr>
          <w:cantSplit/>
        </w:trPr>
        <w:tc>
          <w:tcPr>
            <w:tcW w:type="dxa" w:w="1304"/>
            <w:vAlign w:val="center"/>
          </w:tcPr>
          <w:p>
            <w:pPr>
              <w:keepNext w:val="0"/>
              <w:keepLines w:val="0"/>
              <w:spacing w:line="240" w:lineRule="auto" w:before="20" w:after="20"/>
              <w:ind w:firstLine="0"/>
              <w:jc w:val="left"/>
            </w:pPr>
            <w:r>
              <w:rPr>
                <w:rFonts w:ascii="Times New Roman" w:hAnsi="Times New Roman"/>
                <w:b w:val="0"/>
                <w:sz w:val="22"/>
              </w:rPr>
              <w:t>2.14.П.3</w:t>
            </w:r>
          </w:p>
        </w:tc>
        <w:tc>
          <w:tcPr>
            <w:tcW w:type="dxa" w:w="2891"/>
            <w:vAlign w:val="center"/>
          </w:tcPr>
          <w:p>
            <w:pPr>
              <w:keepNext w:val="0"/>
              <w:keepLines w:val="0"/>
              <w:spacing w:line="240" w:lineRule="auto" w:before="20" w:after="20"/>
              <w:ind w:firstLine="0"/>
              <w:jc w:val="left"/>
            </w:pPr>
            <w:r>
              <w:rPr>
                <w:rFonts w:ascii="Times New Roman" w:hAnsi="Times New Roman"/>
                <w:b w:val="0"/>
                <w:sz w:val="22"/>
              </w:rPr>
              <w:t>Доля ВДС туристской индустрии в ВВП РФ</w:t>
            </w:r>
          </w:p>
        </w:tc>
        <w:tc>
          <w:tcPr>
            <w:tcW w:type="dxa" w:w="2154"/>
            <w:vAlign w:val="center"/>
          </w:tcPr>
          <w:p>
            <w:pPr>
              <w:keepNext w:val="0"/>
              <w:keepLines w:val="0"/>
              <w:spacing w:line="240" w:lineRule="auto" w:before="20" w:after="20"/>
              <w:ind w:firstLine="0"/>
              <w:jc w:val="left"/>
            </w:pPr>
            <w:r>
              <w:rPr>
                <w:rFonts w:ascii="Times New Roman" w:hAnsi="Times New Roman"/>
                <w:b w:val="0"/>
                <w:sz w:val="22"/>
              </w:rPr>
              <w:t>62903; дополнено сообщением Росстата</w:t>
            </w:r>
          </w:p>
        </w:tc>
        <w:tc>
          <w:tcPr>
            <w:tcW w:type="dxa" w:w="3288"/>
            <w:vAlign w:val="center"/>
          </w:tcPr>
          <w:p>
            <w:pPr>
              <w:keepNext w:val="0"/>
              <w:keepLines w:val="0"/>
              <w:spacing w:line="240" w:lineRule="auto" w:before="20" w:after="20"/>
              <w:ind w:firstLine="0"/>
              <w:jc w:val="left"/>
            </w:pPr>
            <w:r>
              <w:rPr>
                <w:rFonts w:ascii="Times New Roman" w:hAnsi="Times New Roman"/>
                <w:b w:val="0"/>
                <w:sz w:val="22"/>
              </w:rPr>
              <w:t>В знаменателе ВДС всех отраслей. Первая оценка равна плану</w:t>
            </w:r>
          </w:p>
        </w:tc>
      </w:tr>
      <w:tr>
        <w:trPr>
          <w:cantSplit/>
        </w:trPr>
        <w:tc>
          <w:tcPr>
            <w:tcW w:type="dxa" w:w="1304"/>
            <w:vAlign w:val="center"/>
          </w:tcPr>
          <w:p>
            <w:pPr>
              <w:keepNext w:val="0"/>
              <w:keepLines w:val="0"/>
              <w:spacing w:line="240" w:lineRule="auto" w:before="20" w:after="20"/>
              <w:ind w:firstLine="0"/>
              <w:jc w:val="left"/>
            </w:pPr>
            <w:r>
              <w:rPr>
                <w:rFonts w:ascii="Times New Roman" w:hAnsi="Times New Roman"/>
                <w:b w:val="0"/>
                <w:sz w:val="22"/>
              </w:rPr>
              <w:t>2.14.П1.1</w:t>
            </w:r>
          </w:p>
        </w:tc>
        <w:tc>
          <w:tcPr>
            <w:tcW w:type="dxa" w:w="2891"/>
            <w:vAlign w:val="center"/>
          </w:tcPr>
          <w:p>
            <w:pPr>
              <w:keepNext w:val="0"/>
              <w:keepLines w:val="0"/>
              <w:spacing w:line="240" w:lineRule="auto" w:before="20" w:after="20"/>
              <w:ind w:firstLine="0"/>
              <w:jc w:val="left"/>
            </w:pPr>
            <w:r>
              <w:rPr>
                <w:rFonts w:ascii="Times New Roman" w:hAnsi="Times New Roman"/>
                <w:b w:val="0"/>
                <w:sz w:val="22"/>
              </w:rPr>
              <w:t>Количество номеров в классифицированных средствах размещения</w:t>
            </w:r>
          </w:p>
        </w:tc>
        <w:tc>
          <w:tcPr>
            <w:tcW w:type="dxa" w:w="2154"/>
            <w:vAlign w:val="center"/>
          </w:tcPr>
          <w:p>
            <w:pPr>
              <w:keepNext w:val="0"/>
              <w:keepLines w:val="0"/>
              <w:spacing w:line="240" w:lineRule="auto" w:before="20" w:after="20"/>
              <w:ind w:firstLine="0"/>
              <w:jc w:val="left"/>
            </w:pPr>
            <w:r>
              <w:rPr>
                <w:rFonts w:ascii="Times New Roman" w:hAnsi="Times New Roman"/>
                <w:b w:val="0"/>
                <w:sz w:val="22"/>
              </w:rPr>
              <w:t>62159; месячный запас</w:t>
            </w:r>
          </w:p>
        </w:tc>
        <w:tc>
          <w:tcPr>
            <w:tcW w:type="dxa" w:w="3288"/>
            <w:vAlign w:val="center"/>
          </w:tcPr>
          <w:p>
            <w:pPr>
              <w:keepNext w:val="0"/>
              <w:keepLines w:val="0"/>
              <w:spacing w:line="240" w:lineRule="auto" w:before="20" w:after="20"/>
              <w:ind w:firstLine="0"/>
              <w:jc w:val="left"/>
            </w:pPr>
            <w:r>
              <w:rPr>
                <w:rFonts w:ascii="Times New Roman" w:hAnsi="Times New Roman"/>
                <w:b w:val="0"/>
                <w:sz w:val="22"/>
              </w:rPr>
              <w:t>Учтённая ёмкость не равна строительному вводу или открытой мощности</w:t>
            </w:r>
          </w:p>
        </w:tc>
      </w:tr>
      <w:tr>
        <w:trPr>
          <w:cantSplit/>
        </w:trPr>
        <w:tc>
          <w:tcPr>
            <w:tcW w:type="dxa" w:w="1304"/>
            <w:vAlign w:val="center"/>
          </w:tcPr>
          <w:p>
            <w:pPr>
              <w:keepNext w:val="0"/>
              <w:keepLines w:val="0"/>
              <w:spacing w:line="240" w:lineRule="auto" w:before="20" w:after="20"/>
              <w:ind w:firstLine="0"/>
              <w:jc w:val="left"/>
            </w:pPr>
            <w:r>
              <w:rPr>
                <w:rFonts w:ascii="Times New Roman" w:hAnsi="Times New Roman"/>
                <w:b w:val="0"/>
                <w:sz w:val="22"/>
              </w:rPr>
              <w:t>2.14.П2.1</w:t>
            </w:r>
          </w:p>
        </w:tc>
        <w:tc>
          <w:tcPr>
            <w:tcW w:type="dxa" w:w="2891"/>
            <w:vAlign w:val="center"/>
          </w:tcPr>
          <w:p>
            <w:pPr>
              <w:keepNext w:val="0"/>
              <w:keepLines w:val="0"/>
              <w:spacing w:line="240" w:lineRule="auto" w:before="20" w:after="20"/>
              <w:ind w:firstLine="0"/>
              <w:jc w:val="left"/>
            </w:pPr>
            <w:r>
              <w:rPr>
                <w:rFonts w:ascii="Times New Roman" w:hAnsi="Times New Roman"/>
                <w:b w:val="0"/>
                <w:sz w:val="22"/>
              </w:rPr>
              <w:t>Число поездок в новые современные круглогодичные гостиничные комплексы</w:t>
            </w:r>
          </w:p>
        </w:tc>
        <w:tc>
          <w:tcPr>
            <w:tcW w:type="dxa" w:w="2154"/>
            <w:vAlign w:val="center"/>
          </w:tcPr>
          <w:p>
            <w:pPr>
              <w:keepNext w:val="0"/>
              <w:keepLines w:val="0"/>
              <w:spacing w:line="240" w:lineRule="auto" w:before="20" w:after="20"/>
              <w:ind w:firstLine="0"/>
              <w:jc w:val="left"/>
            </w:pPr>
            <w:r>
              <w:rPr>
                <w:rFonts w:ascii="Times New Roman" w:hAnsi="Times New Roman"/>
                <w:b w:val="0"/>
                <w:sz w:val="22"/>
              </w:rPr>
              <w:t>Проверенного числового результата нет</w:t>
            </w:r>
          </w:p>
        </w:tc>
        <w:tc>
          <w:tcPr>
            <w:tcW w:type="dxa" w:w="3288"/>
            <w:vAlign w:val="center"/>
          </w:tcPr>
          <w:p>
            <w:pPr>
              <w:keepNext w:val="0"/>
              <w:keepLines w:val="0"/>
              <w:spacing w:line="240" w:lineRule="auto" w:before="20" w:after="20"/>
              <w:ind w:firstLine="0"/>
              <w:jc w:val="left"/>
            </w:pPr>
            <w:r>
              <w:rPr>
                <w:rFonts w:ascii="Times New Roman" w:hAnsi="Times New Roman"/>
                <w:b w:val="0"/>
                <w:sz w:val="22"/>
              </w:rPr>
              <w:t>Паспортные цели начинаются с 2028 года. Пустые ранние годы не означают невыполнение</w:t>
            </w:r>
          </w:p>
        </w:tc>
      </w:tr>
      <w:tr>
        <w:trPr>
          <w:cantSplit/>
        </w:trPr>
        <w:tc>
          <w:tcPr>
            <w:tcW w:type="dxa" w:w="1304"/>
            <w:vAlign w:val="center"/>
          </w:tcPr>
          <w:p>
            <w:pPr>
              <w:keepNext w:val="0"/>
              <w:keepLines w:val="0"/>
              <w:spacing w:line="240" w:lineRule="auto" w:before="20" w:after="20"/>
              <w:ind w:firstLine="0"/>
              <w:jc w:val="left"/>
            </w:pPr>
            <w:r>
              <w:rPr>
                <w:rFonts w:ascii="Times New Roman" w:hAnsi="Times New Roman"/>
                <w:b w:val="0"/>
                <w:sz w:val="22"/>
              </w:rPr>
              <w:t>2.14.П3.1</w:t>
            </w:r>
          </w:p>
        </w:tc>
        <w:tc>
          <w:tcPr>
            <w:tcW w:type="dxa" w:w="2891"/>
            <w:vAlign w:val="center"/>
          </w:tcPr>
          <w:p>
            <w:pPr>
              <w:keepNext w:val="0"/>
              <w:keepLines w:val="0"/>
              <w:spacing w:line="240" w:lineRule="auto" w:before="20" w:after="20"/>
              <w:ind w:firstLine="0"/>
              <w:jc w:val="left"/>
            </w:pPr>
            <w:r>
              <w:rPr>
                <w:rFonts w:ascii="Times New Roman" w:hAnsi="Times New Roman"/>
                <w:b w:val="0"/>
                <w:sz w:val="22"/>
              </w:rPr>
              <w:t>Численность иностранных граждан, размещённых в коллективных средствах размещения</w:t>
            </w:r>
          </w:p>
        </w:tc>
        <w:tc>
          <w:tcPr>
            <w:tcW w:type="dxa" w:w="2154"/>
            <w:vAlign w:val="center"/>
          </w:tcPr>
          <w:p>
            <w:pPr>
              <w:keepNext w:val="0"/>
              <w:keepLines w:val="0"/>
              <w:spacing w:line="240" w:lineRule="auto" w:before="20" w:after="20"/>
              <w:ind w:firstLine="0"/>
              <w:jc w:val="left"/>
            </w:pPr>
            <w:r>
              <w:rPr>
                <w:rFonts w:ascii="Times New Roman" w:hAnsi="Times New Roman"/>
                <w:b w:val="0"/>
                <w:sz w:val="22"/>
              </w:rPr>
              <w:t>63347; соответствующая физическая публикация</w:t>
            </w:r>
          </w:p>
        </w:tc>
        <w:tc>
          <w:tcPr>
            <w:tcW w:type="dxa" w:w="3288"/>
            <w:vAlign w:val="center"/>
          </w:tcPr>
          <w:p>
            <w:pPr>
              <w:keepNext w:val="0"/>
              <w:keepLines w:val="0"/>
              <w:spacing w:line="240" w:lineRule="auto" w:before="20" w:after="20"/>
              <w:ind w:firstLine="0"/>
              <w:jc w:val="left"/>
            </w:pPr>
            <w:r>
              <w:rPr>
                <w:rFonts w:ascii="Times New Roman" w:hAnsi="Times New Roman"/>
                <w:b w:val="0"/>
                <w:sz w:val="22"/>
              </w:rPr>
              <w:t>Не число уникальных иностранцев и не денежный экспорт. Требуется проверка редакции охвата</w:t>
            </w:r>
          </w:p>
        </w:tc>
      </w:tr>
      <w:tr>
        <w:trPr>
          <w:cantSplit/>
        </w:trPr>
        <w:tc>
          <w:tcPr>
            <w:tcW w:type="dxa" w:w="1304"/>
            <w:vAlign w:val="center"/>
          </w:tcPr>
          <w:p>
            <w:pPr>
              <w:keepNext w:val="0"/>
              <w:keepLines w:val="0"/>
              <w:spacing w:line="240" w:lineRule="auto" w:before="20" w:after="20"/>
              <w:ind w:firstLine="0"/>
              <w:jc w:val="left"/>
            </w:pPr>
            <w:r>
              <w:rPr>
                <w:rFonts w:ascii="Times New Roman" w:hAnsi="Times New Roman"/>
                <w:b w:val="0"/>
                <w:sz w:val="22"/>
              </w:rPr>
              <w:t>2.14.П3.2</w:t>
            </w:r>
          </w:p>
        </w:tc>
        <w:tc>
          <w:tcPr>
            <w:tcW w:type="dxa" w:w="2891"/>
            <w:vAlign w:val="center"/>
          </w:tcPr>
          <w:p>
            <w:pPr>
              <w:keepNext w:val="0"/>
              <w:keepLines w:val="0"/>
              <w:spacing w:line="240" w:lineRule="auto" w:before="20" w:after="20"/>
              <w:ind w:firstLine="0"/>
              <w:jc w:val="left"/>
            </w:pPr>
            <w:r>
              <w:rPr>
                <w:rFonts w:ascii="Times New Roman" w:hAnsi="Times New Roman"/>
                <w:b w:val="0"/>
                <w:sz w:val="22"/>
              </w:rPr>
              <w:t>Индекс удовлетворённости граждан в сфере туризма и гостеприимства</w:t>
            </w:r>
          </w:p>
        </w:tc>
        <w:tc>
          <w:tcPr>
            <w:tcW w:type="dxa" w:w="2154"/>
            <w:vAlign w:val="center"/>
          </w:tcPr>
          <w:p>
            <w:pPr>
              <w:keepNext w:val="0"/>
              <w:keepLines w:val="0"/>
              <w:spacing w:line="240" w:lineRule="auto" w:before="20" w:after="20"/>
              <w:ind w:firstLine="0"/>
              <w:jc w:val="left"/>
            </w:pPr>
            <w:r>
              <w:rPr>
                <w:rFonts w:ascii="Times New Roman" w:hAnsi="Times New Roman"/>
                <w:b w:val="0"/>
                <w:sz w:val="22"/>
              </w:rPr>
              <w:t>Проверенного числового результата нет</w:t>
            </w:r>
          </w:p>
        </w:tc>
        <w:tc>
          <w:tcPr>
            <w:tcW w:type="dxa" w:w="3288"/>
            <w:vAlign w:val="center"/>
          </w:tcPr>
          <w:p>
            <w:pPr>
              <w:keepNext w:val="0"/>
              <w:keepLines w:val="0"/>
              <w:spacing w:line="240" w:lineRule="auto" w:before="20" w:after="20"/>
              <w:ind w:firstLine="0"/>
              <w:jc w:val="left"/>
            </w:pPr>
            <w:r>
              <w:rPr>
                <w:rFonts w:ascii="Times New Roman" w:hAnsi="Times New Roman"/>
                <w:b w:val="0"/>
                <w:sz w:val="22"/>
              </w:rPr>
              <w:t>Взвешенный индекс оценок. Не доля удовлетворённых и не доступность для непутешествующих</w:t>
            </w:r>
          </w:p>
        </w:tc>
      </w:tr>
      <w:tr>
        <w:trPr>
          <w:cantSplit/>
        </w:trPr>
        <w:tc>
          <w:tcPr>
            <w:tcW w:type="dxa" w:w="1304"/>
            <w:vAlign w:val="center"/>
          </w:tcPr>
          <w:p>
            <w:pPr>
              <w:keepNext w:val="0"/>
              <w:keepLines w:val="0"/>
              <w:spacing w:line="240" w:lineRule="auto" w:before="20" w:after="20"/>
              <w:ind w:firstLine="0"/>
              <w:jc w:val="left"/>
            </w:pPr>
            <w:r>
              <w:rPr>
                <w:rFonts w:ascii="Times New Roman" w:hAnsi="Times New Roman"/>
                <w:b w:val="0"/>
                <w:sz w:val="22"/>
              </w:rPr>
              <w:t>2.14.П3.3</w:t>
            </w:r>
          </w:p>
        </w:tc>
        <w:tc>
          <w:tcPr>
            <w:tcW w:type="dxa" w:w="2891"/>
            <w:vAlign w:val="center"/>
          </w:tcPr>
          <w:p>
            <w:pPr>
              <w:keepNext w:val="0"/>
              <w:keepLines w:val="0"/>
              <w:spacing w:line="240" w:lineRule="auto" w:before="20" w:after="20"/>
              <w:ind w:firstLine="0"/>
              <w:jc w:val="left"/>
            </w:pPr>
            <w:r>
              <w:rPr>
                <w:rFonts w:ascii="Times New Roman" w:hAnsi="Times New Roman"/>
                <w:b w:val="0"/>
                <w:sz w:val="22"/>
              </w:rPr>
              <w:t>Число посещений Национального туристического портала</w:t>
            </w:r>
          </w:p>
        </w:tc>
        <w:tc>
          <w:tcPr>
            <w:tcW w:type="dxa" w:w="2154"/>
            <w:vAlign w:val="center"/>
          </w:tcPr>
          <w:p>
            <w:pPr>
              <w:keepNext w:val="0"/>
              <w:keepLines w:val="0"/>
              <w:spacing w:line="240" w:lineRule="auto" w:before="20" w:after="20"/>
              <w:ind w:firstLine="0"/>
              <w:jc w:val="left"/>
            </w:pPr>
            <w:r>
              <w:rPr>
                <w:rFonts w:ascii="Times New Roman" w:hAnsi="Times New Roman"/>
                <w:b w:val="0"/>
                <w:sz w:val="22"/>
              </w:rPr>
              <w:t>Проверенного числового результата нет</w:t>
            </w:r>
          </w:p>
        </w:tc>
        <w:tc>
          <w:tcPr>
            <w:tcW w:type="dxa" w:w="3288"/>
            <w:vAlign w:val="center"/>
          </w:tcPr>
          <w:p>
            <w:pPr>
              <w:keepNext w:val="0"/>
              <w:keepLines w:val="0"/>
              <w:spacing w:line="240" w:lineRule="auto" w:before="20" w:after="20"/>
              <w:ind w:firstLine="0"/>
              <w:jc w:val="left"/>
            </w:pPr>
            <w:r>
              <w:rPr>
                <w:rFonts w:ascii="Times New Roman" w:hAnsi="Times New Roman"/>
                <w:b w:val="0"/>
                <w:sz w:val="22"/>
              </w:rPr>
              <w:t>Визиты, а не уникальные пользователи, бронирования или поездки</w:t>
            </w:r>
          </w:p>
        </w:tc>
      </w:tr>
      <w:tr>
        <w:trPr>
          <w:cantSplit/>
        </w:trPr>
        <w:tc>
          <w:tcPr>
            <w:tcW w:type="dxa" w:w="1304"/>
            <w:vAlign w:val="center"/>
          </w:tcPr>
          <w:p>
            <w:pPr>
              <w:keepNext w:val="0"/>
              <w:keepLines w:val="0"/>
              <w:spacing w:line="240" w:lineRule="auto" w:before="20" w:after="20"/>
              <w:ind w:firstLine="0"/>
              <w:jc w:val="left"/>
            </w:pPr>
            <w:r>
              <w:rPr>
                <w:rFonts w:ascii="Times New Roman" w:hAnsi="Times New Roman"/>
                <w:b w:val="0"/>
                <w:sz w:val="22"/>
              </w:rPr>
              <w:t>2.14.П4.1</w:t>
            </w:r>
          </w:p>
        </w:tc>
        <w:tc>
          <w:tcPr>
            <w:tcW w:type="dxa" w:w="2891"/>
            <w:vAlign w:val="center"/>
          </w:tcPr>
          <w:p>
            <w:pPr>
              <w:keepNext w:val="0"/>
              <w:keepLines w:val="0"/>
              <w:spacing w:line="240" w:lineRule="auto" w:before="20" w:after="20"/>
              <w:ind w:firstLine="0"/>
              <w:jc w:val="left"/>
            </w:pPr>
            <w:r>
              <w:rPr>
                <w:rFonts w:ascii="Times New Roman" w:hAnsi="Times New Roman"/>
                <w:b w:val="0"/>
                <w:sz w:val="22"/>
              </w:rPr>
              <w:t>Доля прошедших обучение по программам переподготовки и повышения квалификации по направлению «Деятельность гостиниц и предприятий общественного питания» в численности занятых в отрасли туризма</w:t>
            </w:r>
          </w:p>
        </w:tc>
        <w:tc>
          <w:tcPr>
            <w:tcW w:type="dxa" w:w="2154"/>
            <w:vAlign w:val="center"/>
          </w:tcPr>
          <w:p>
            <w:pPr>
              <w:keepNext w:val="0"/>
              <w:keepLines w:val="0"/>
              <w:spacing w:line="240" w:lineRule="auto" w:before="20" w:after="20"/>
              <w:ind w:firstLine="0"/>
              <w:jc w:val="left"/>
            </w:pPr>
            <w:r>
              <w:rPr>
                <w:rFonts w:ascii="Times New Roman" w:hAnsi="Times New Roman"/>
                <w:b w:val="0"/>
                <w:sz w:val="22"/>
              </w:rPr>
              <w:t>Проверенного числового результата нет</w:t>
            </w:r>
          </w:p>
        </w:tc>
        <w:tc>
          <w:tcPr>
            <w:tcW w:type="dxa" w:w="3288"/>
            <w:vAlign w:val="center"/>
          </w:tcPr>
          <w:p>
            <w:pPr>
              <w:keepNext w:val="0"/>
              <w:keepLines w:val="0"/>
              <w:spacing w:line="240" w:lineRule="auto" w:before="20" w:after="20"/>
              <w:ind w:firstLine="0"/>
              <w:jc w:val="left"/>
            </w:pPr>
            <w:r>
              <w:rPr>
                <w:rFonts w:ascii="Times New Roman" w:hAnsi="Times New Roman"/>
                <w:b w:val="0"/>
                <w:sz w:val="22"/>
              </w:rPr>
              <w:t>Накопление обучений с 2024 года. Знаменатель ограничен работниками гостиниц и общественного питания</w:t>
            </w:r>
          </w:p>
        </w:tc>
      </w:tr>
      <w:tr>
        <w:trPr>
          <w:cantSplit/>
        </w:trPr>
        <w:tc>
          <w:tcPr>
            <w:tcW w:type="dxa" w:w="1304"/>
            <w:vAlign w:val="center"/>
          </w:tcPr>
          <w:p>
            <w:pPr>
              <w:keepNext w:val="0"/>
              <w:keepLines w:val="0"/>
              <w:spacing w:line="240" w:lineRule="auto" w:before="20" w:after="20"/>
              <w:ind w:firstLine="0"/>
              <w:jc w:val="left"/>
            </w:pPr>
            <w:r>
              <w:rPr>
                <w:rFonts w:ascii="Times New Roman" w:hAnsi="Times New Roman"/>
                <w:b w:val="0"/>
                <w:sz w:val="22"/>
              </w:rPr>
              <w:t>2.14.П5.1</w:t>
            </w:r>
          </w:p>
        </w:tc>
        <w:tc>
          <w:tcPr>
            <w:tcW w:type="dxa" w:w="2891"/>
            <w:vAlign w:val="center"/>
          </w:tcPr>
          <w:p>
            <w:pPr>
              <w:keepNext w:val="0"/>
              <w:keepLines w:val="0"/>
              <w:spacing w:line="240" w:lineRule="auto" w:before="20" w:after="20"/>
              <w:ind w:firstLine="0"/>
              <w:jc w:val="left"/>
            </w:pPr>
            <w:r>
              <w:rPr>
                <w:rFonts w:ascii="Times New Roman" w:hAnsi="Times New Roman"/>
                <w:b w:val="0"/>
                <w:sz w:val="22"/>
              </w:rPr>
              <w:t>Обеспеченность туристской индустрии отечественной промышленной продукцией</w:t>
            </w:r>
          </w:p>
        </w:tc>
        <w:tc>
          <w:tcPr>
            <w:tcW w:type="dxa" w:w="2154"/>
            <w:vAlign w:val="center"/>
          </w:tcPr>
          <w:p>
            <w:pPr>
              <w:keepNext w:val="0"/>
              <w:keepLines w:val="0"/>
              <w:spacing w:line="240" w:lineRule="auto" w:before="20" w:after="20"/>
              <w:ind w:firstLine="0"/>
              <w:jc w:val="left"/>
            </w:pPr>
            <w:r>
              <w:rPr>
                <w:rFonts w:ascii="Times New Roman" w:hAnsi="Times New Roman"/>
                <w:b w:val="0"/>
                <w:sz w:val="22"/>
              </w:rPr>
              <w:t>62780; сводная оценка</w:t>
            </w:r>
          </w:p>
        </w:tc>
        <w:tc>
          <w:tcPr>
            <w:tcW w:type="dxa" w:w="3288"/>
            <w:vAlign w:val="center"/>
          </w:tcPr>
          <w:p>
            <w:pPr>
              <w:keepNext w:val="0"/>
              <w:keepLines w:val="0"/>
              <w:spacing w:line="240" w:lineRule="auto" w:before="20" w:after="20"/>
              <w:ind w:firstLine="0"/>
              <w:jc w:val="left"/>
            </w:pPr>
            <w:r>
              <w:rPr>
                <w:rFonts w:ascii="Times New Roman" w:hAnsi="Times New Roman"/>
                <w:b w:val="0"/>
                <w:sz w:val="22"/>
              </w:rPr>
              <w:t>Взвешенное соотношение выпуска и потребности по определённой номенклатуре</w:t>
            </w:r>
          </w:p>
        </w:tc>
      </w:tr>
      <w:tr>
        <w:trPr>
          <w:cantSplit/>
        </w:trPr>
        <w:tc>
          <w:tcPr>
            <w:tcW w:type="dxa" w:w="1304"/>
            <w:vAlign w:val="center"/>
          </w:tcPr>
          <w:p>
            <w:pPr>
              <w:keepNext/>
              <w:keepLines w:val="0"/>
              <w:spacing w:line="240" w:lineRule="auto" w:before="20" w:after="20"/>
              <w:ind w:firstLine="0"/>
              <w:jc w:val="left"/>
            </w:pPr>
            <w:r>
              <w:rPr>
                <w:rFonts w:ascii="Times New Roman" w:hAnsi="Times New Roman"/>
                <w:b w:val="0"/>
                <w:sz w:val="22"/>
              </w:rPr>
              <w:t>П04611-П4 (паспорт)</w:t>
            </w:r>
          </w:p>
        </w:tc>
        <w:tc>
          <w:tcPr>
            <w:tcW w:type="dxa" w:w="2891"/>
            <w:vAlign w:val="center"/>
          </w:tcPr>
          <w:p>
            <w:pPr>
              <w:keepNext/>
              <w:keepLines w:val="0"/>
              <w:spacing w:line="240" w:lineRule="auto" w:before="20" w:after="20"/>
              <w:ind w:firstLine="0"/>
              <w:jc w:val="left"/>
            </w:pPr>
            <w:r>
              <w:rPr>
                <w:rFonts w:ascii="Times New Roman" w:hAnsi="Times New Roman"/>
                <w:b w:val="0"/>
                <w:sz w:val="22"/>
              </w:rPr>
              <w:t>Число специалистов, прошедших переподготовку и повышение квалификации по виду экономической деятельности «Деятельность гостиниц и предприятий общественного питания» в центрах подготовки кадров для туристской индустрии</w:t>
            </w:r>
          </w:p>
        </w:tc>
        <w:tc>
          <w:tcPr>
            <w:tcW w:type="dxa" w:w="2154"/>
            <w:vAlign w:val="center"/>
          </w:tcPr>
          <w:p>
            <w:pPr>
              <w:keepNext/>
              <w:keepLines w:val="0"/>
              <w:spacing w:line="240" w:lineRule="auto" w:before="20" w:after="20"/>
              <w:ind w:firstLine="0"/>
              <w:jc w:val="left"/>
            </w:pPr>
            <w:r>
              <w:rPr>
                <w:rFonts w:ascii="Times New Roman" w:hAnsi="Times New Roman"/>
                <w:b w:val="0"/>
                <w:sz w:val="22"/>
              </w:rPr>
              <w:t>Дополнительная паспортная метрика</w:t>
            </w:r>
          </w:p>
        </w:tc>
        <w:tc>
          <w:tcPr>
            <w:tcW w:type="dxa" w:w="3288"/>
            <w:vAlign w:val="center"/>
          </w:tcPr>
          <w:p>
            <w:pPr>
              <w:keepNext/>
              <w:keepLines w:val="0"/>
              <w:spacing w:line="240" w:lineRule="auto" w:before="20" w:after="20"/>
              <w:ind w:firstLine="0"/>
              <w:jc w:val="left"/>
            </w:pPr>
            <w:r>
              <w:rPr>
                <w:rFonts w:ascii="Times New Roman" w:hAnsi="Times New Roman"/>
                <w:b w:val="0"/>
                <w:sz w:val="22"/>
              </w:rPr>
              <w:t>Самостоятельный статистический код в проверенном каталоге не установлен. Допускается плановая подстановка</w:t>
            </w:r>
          </w:p>
        </w:tc>
      </w:tr>
    </w:tbl>
    <w:p>
      <w:pPr>
        <w:pStyle w:val="SourceNote"/>
        <w:keepLines/>
        <w:spacing w:before="80" w:after="120"/>
      </w:pPr>
      <w:r>
        <w:rPr>
          <w:rFonts w:ascii="Times New Roman" w:hAnsi="Times New Roman"/>
          <w:b w:val="0"/>
        </w:rPr>
        <w:t xml:space="preserve">Названия статистических строк сохранены по каталогу. Различия с формулировками паспортов и актуальными методиками раскрыты в главе 3. Коды 62900, 62159, 62902, 62903, 63347 и 62780 обозначают таблицы ЕМИСС, а не дополнительные проектные показатели. </w:t>
      </w:r>
      <w:r>
        <w:rPr>
          <w:rStyle w:val="FootnoteReference"/>
        </w:rPr>
        <w:footnoteReference w:id="130"/>
      </w:r>
    </w:p>
    <w:p>
      <w:r>
        <w:rPr>
          <w:rFonts w:ascii="Times New Roman" w:hAnsi="Times New Roman"/>
          <w:b w:val="0"/>
        </w:rPr>
        <w:t>Для воспроизведения сопоставлений необходимо сохранять одновременно редакцию цели, методику, период наблюдения, дату получения, официальный статус оценки и сведения о пересмотре. Таблица фиксирует состояние проверенной источниковой базы. Наличие или отсутствие данных во всех ведомственных системах по ней установить нельзя. Содержательная оценка каждой строки приведена в главах 3 и 4.</w:t>
      </w:r>
    </w:p>
    <w:sectPr w:rsidR="00FC693F" w:rsidRPr="0006063C" w:rsidSect="00034616">
      <w:footerReference w:type="default" r:id="rId9"/>
      <w:pgSz w:w="11906" w:h="16838"/>
      <w:pgMar w:top="1134" w:right="1134" w:bottom="1134" w:left="1134" w:header="39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rPr>
        <w:rFonts w:ascii="Times New Roman" w:hAnsi="Times New Roman"/>
        <w:sz w:val="24"/>
      </w:rPr>
    </w:r>
    <w:fldSimple w:instr="PAGE">
      <w:r>
        <w:t>1</w:t>
      </w:r>
    </w:fldSimpl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национального проекта «Туризм и гостеприимство». Версия 26.23. 16.10.2026. Выбранная редакция открытого представления. Дата обновления представления не удостоверяет дату утверждения паспорта. Режим доступа: https://databudget.ru/projects/np/26 (дата обращения: 29.10.2026).</w:t>
      </w:r>
    </w:p>
  </w:footnote>
  <w:footnote w:id="2">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туристических поездок по территории Российской Федерации. Показатель 62900. Данные получены 15.10.2026. Первичная статистическая таблица: 21 месячная накопительная отметка за 2025–2026 годы, Российская Федерация и 85 территорий. Единица – млн поездок. Региональный итог декабря 2025 года равен общероссийскому: 92,0428 млн. Дата получения данных не является датой официальной публикации каждого значения. Режим доступа: https://www.fedstat.ru/indicator/62900 (дата обращения: 29.10.2026).</w:t>
      </w:r>
    </w:p>
    <w:p>
      <w:pPr>
        <w:pStyle w:val="FootnoteText"/>
        <w:widowControl w:val="false"/>
      </w:pPr>
      <w:r>
        <w:t xml:space="preserve">Единая межведомственная информационно-статистическая система (ЕМИСС). Количество номеров в классифицированных средствах размещения. Показатель 62159. Данные получены 15.10.2026. Первичная статистическая таблица. Единица – тыс. номеров. Использованы декабрь 2025 года и январь–сентябрь 2026 года. Дата получения данных не равна дате официальной публикации отдельных наблюдений. Режим доступа: https://www.fedstat.ru/indicator/62159 (дата обращения: 29.10.2026).</w:t>
      </w:r>
    </w:p>
    <w:p>
      <w:pPr>
        <w:pStyle w:val="FootnoteText"/>
        <w:widowControl w:val="false"/>
      </w:pPr>
      <w:r>
        <w:t xml:space="preserve">DataBudget. Открытое представление паспортов «Электронного бюджета». Паспорт национального проекта «Туризм и гостеприимство». Версия 26.23. Метка обновления 16.10.2026. Вторичное представление официального паспорта. Дата обновления страницы не устанавливает дату утверждения редакции. Цели 2025 года рассматриваются ретроспективно по выбранной редакции. Режим доступа: https://databudget.ru/projects/np/26 (дата обращения: 29.10.2026).</w:t>
      </w:r>
    </w:p>
    <w:p>
      <w:pPr>
        <w:pStyle w:val="FootnoteText"/>
        <w:widowControl w:val="false"/>
      </w:pPr>
      <w:r>
        <w:t xml:space="preserve">DataBudget. Открытое представление паспортов «Электронного бюджета». Федеральный проект "Создание номерного фонда, инфраструктуры и новых точек притяжения". Версия 26.28. Метка обновления 16.10.2026. Вторичное представление официального паспорта. Цели относятся к выбранной редакции. Метка обновления страницы не равна дате утверждения паспорта. Режим доступа: https://databudget.ru/projects/fp/308 (дата обращения: 29.10.2026).</w:t>
      </w:r>
    </w:p>
  </w:footnote>
  <w:footnote w:id="3">
    <w:p>
      <w:pPr>
        <w:pStyle w:val="FootnoteText"/>
        <w:widowControl w:val="false"/>
      </w:pPr>
      <w:r>
        <w:rPr>
          <w:rStyle w:val="FootnoteReference"/>
        </w:rPr>
        <w:footnoteRef/>
      </w:r>
      <w:r>
        <w:t xml:space="preserve"> Министерство экономического развития Российской Федерации. Методика расчета показателя «Доля туристской отрасли в валовом внутреннем продукте» федерального проекта «Создание номерного фонда, инфраструктуры и новых точек притяжения» национального проекта «Туризм и гостеприимство». 30.09.2025. Приложение № 3 к приказу Минэкономразвития России № 647. Пункты 7, 11–16: годовая периодичность, первая оценка по плану, знаменатель – ВДС всех отраслей в основных текущих ценах. Режим доступа: https://www.consultant.ru/document/cons_doc_LAW_524217/72e6a21264f98e77bd8dff7286dfbd437a3d616d/ (дата обращения: 29.10.2026).</w:t>
      </w:r>
    </w:p>
    <w:p>
      <w:pPr>
        <w:pStyle w:val="FootnoteText"/>
        <w:widowControl w:val="false"/>
      </w:pPr>
      <w:r>
        <w:t xml:space="preserve">Министерство экономического развития Российской Федерации. Методика расчета показателя «Объем экспорта туристских услуг» федерального проекта «Туристическая привлекательность страны» национального проекта «Туризм и гостеприимство». 30.09.2025. Приложение № 4 к приказу № 647. Пункты 7, 10, 12–25: квартальные и годовые накопленные значения; млрд долларов США; различие ранних и уточнённых оценок. Режим доступа: https://www.consultant.ru/document/cons_doc_LAW_524217/de041da94e4c64306af20c8fd09aba936e8a5cda/ (дата обращения: 29.10.2026).</w:t>
      </w:r>
    </w:p>
  </w:footnote>
  <w:footnote w:id="4">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туристических поездок по территории Российской Федерации. Показатель 62900. Данные получены 15.10.2026. Первичная статистическая таблица: 21 месячная накопительная отметка за 2025–2026 годы, Российская Федерация и 85 территорий. Единица – млн поездок. Региональный итог декабря 2025 года равен общероссийскому: 92,0428 млн. Дата получения данных не является датой официальной публикации каждого значения. Режим доступа: https://www.fedstat.ru/indicator/62900 (дата обращения: 29.10.2026).</w:t>
      </w:r>
    </w:p>
    <w:p>
      <w:pPr>
        <w:pStyle w:val="FootnoteText"/>
        <w:widowControl w:val="false"/>
      </w:pPr>
      <w:r>
        <w:t xml:space="preserve">Фонд «Общественное мнение». Внутренний туризм: где отдыхают и чего ждут россияне. 21.07.2026. Первичная публикация ФОМнибуса. Определения вопросов и знаменатели сохранены при интерпретации. Режим доступа: https://fom.ru/Obraz-zhizni/15361 (дата обращения: 29.10.2026).</w:t>
      </w:r>
    </w:p>
  </w:footnote>
  <w:footnote w:id="5">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национального проекта «Туризм и гостеприимство». Версия 26.23.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https://databudget.ru/projects/np/26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«Пять морей и озеро Байкал». Версия 26.20.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https://databudget.ru/projects/fp/303 (дата обращения: 29.10.2026).</w:t>
      </w:r>
    </w:p>
    <w:p>
      <w:pPr>
        <w:pStyle w:val="FootnoteText"/>
        <w:widowControl w:val="false"/>
      </w:pPr>
      <w:r>
        <w:t xml:space="preserve">Министерство экономического развития Российской Федерации. Паспорт национального проекта «Туризм и гостеприимство». б. д. Первичный PDF опубликован Поволжским государственным университетом физической культуры, спорта и туризма. Раздел 5 «Финансовое обеспечение национального проекта», с. 7–13. Ранняя редакция. Дата утверждения в доступном документе не указана. Режим доступа: https://unifirst-files.storage.yandexcloud.net/media/files/2025-03/fayl-no1_0.pdf (дата обращения: 29.10.2026).</w:t>
      </w:r>
    </w:p>
  </w:footnote>
  <w:footnote w:id="6">
    <w:p>
      <w:pPr>
        <w:pStyle w:val="FootnoteText"/>
        <w:widowControl w:val="false"/>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4.1.9: национальный проект «Туризм и гостеприимство». 2026 год – сводная бюджетная роспись на 01.09.2026; 2027–2029 годы – предложения законопроекта. Текст правительственного документа воспроизведён в системе ГАРАНТ. Режим доступа: https://base.garant.ru/411685865/ (дата обращения: 29.10.2026).</w:t>
      </w:r>
    </w:p>
  </w:footnote>
  <w:footnote w:id="7">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национального проекта «Туризм и гостеприимство». Версия 26.23. 16.10.2026. Выбранная редакция открытого представления. Дата обновления представления не удостоверяет дату утверждения паспорта. Режим доступа: https://databudget.ru/projects/np/26 (дата обращения: 29.10.2026).</w:t>
      </w:r>
    </w:p>
  </w:footnote>
  <w:footnote w:id="8">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национального проекта «Туризм и гостеприимство». Версия 26.23. 16.10.2026. Выбранная редакция открытого представления. Дата обновления представления не удостоверяет дату утверждения паспорта. Режим доступа: https://databudget.ru/projects/np/26 (дата обращения: 29.10.2026).</w:t>
      </w:r>
    </w:p>
    <w:p>
      <w:pPr>
        <w:pStyle w:val="FootnoteText"/>
        <w:widowControl w:val="false"/>
      </w:pPr>
      <w:r>
        <w:t xml:space="preserve">scikit-learn developers. Feature extraction. TF–IDF term weighting. 2026. Официальная документация. Сглаженная обратная частота документа, сублинейная частота термина и нормирование вектора. Режим доступа: https://scikit-learn.org/stable/modules/feature_extraction.html#tfidf-term-weighting (дата обращения: 29.10.2026).</w:t>
      </w:r>
    </w:p>
  </w:footnote>
  <w:footnote w:id="9">
    <w:p>
      <w:pPr>
        <w:pStyle w:val="FootnoteText"/>
        <w:widowControl w:val="false"/>
      </w:pPr>
      <w:r>
        <w:rPr>
          <w:rStyle w:val="FootnoteReference"/>
        </w:rPr>
        <w:footnoteRef/>
      </w:r>
      <w:r>
        <w:t xml:space="preserve"> United Nations, Department of Economic and Social Affairs, Statistics Division. International Recommendations for Tourism Statistics 2008. New York, 2010. Statistical Papers, Series M, No. 83/Rev.1. Пункты 2.9, 2.29–2.30. Режим доступа: https://unstats.un.org/unsd/publication/seriesm/seriesm_83rev1e.pdf (дата обращения: 29.10.2026).</w:t>
      </w:r>
    </w:p>
  </w:footnote>
  <w:footnote w:id="10">
    <w:p>
      <w:pPr>
        <w:pStyle w:val="FootnoteText"/>
        <w:widowControl w:val="false"/>
      </w:pPr>
      <w:r>
        <w:rPr>
          <w:rStyle w:val="FootnoteReference"/>
        </w:rPr>
        <w:footnoteRef/>
      </w:r>
      <w:r>
        <w:t xml:space="preserve"> United Nations; European Commission; Organisation for Economic Co-operation and Development; World Tourism Organization. Tourism Satellite Account: Recommended Methodological Framework 2008. Luxembourg; Madrid; New York; Paris, 2010. Studies in Methods, Series F, No. 80/Rev.1. Пункты 4.86–4.98. Режим доступа: https://unstats.un.org/unsd/publication/seriesf/seriesf_80rev1e.pdf (дата обращения: 29.10.2026).</w:t>
      </w:r>
    </w:p>
  </w:footnote>
  <w:footnote w:id="11">
    <w:p>
      <w:pPr>
        <w:pStyle w:val="FootnoteText"/>
        <w:widowControl w:val="false"/>
      </w:pPr>
      <w:r>
        <w:rPr>
          <w:rStyle w:val="FootnoteReference"/>
        </w:rPr>
        <w:footnoteRef/>
      </w:r>
      <w:r>
        <w:t xml:space="preserve"> UN Tourism. Statistical Framework for Measuring the Sustainability of Tourism. 2025. Pre-edit version. Режим доступа: https://pre-webunwto.s3.eu-west-1.amazonaws.com/s3fs-public/2025-06/SF-MST_Pre_edit_VER_updated_01.pdf (дата обращения: 29.10.2026).</w:t>
      </w:r>
    </w:p>
  </w:footnote>
  <w:footnote w:id="12">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национального проекта «Туризм и гостеприимство». Версия 26.23. 16.10.2026. Выбранная редакция открытого представления. Дата обновления представления не удостоверяет дату утверждения паспорта. Режим доступа: https://databudget.ru/projects/np/26 (дата обращения: 29.10.2026).</w:t>
      </w:r>
    </w:p>
  </w:footnote>
  <w:footnote w:id="13">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национального проекта «Туризм и гостеприимство». Версия 26.23. 16.10.2026. Выбранная редакция открытого представления. Дата обновления представления не удостоверяет дату утверждения паспорта. Режим доступа: https://databudget.ru/projects/np/26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«Создание номерного фонда, инфраструктуры и новых точек притяжения». Версия 26.28.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https://databudget.ru/projects/fp/308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«Пять морей и озеро Байкал».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https://databudget.ru/projects/fp/303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«Туристическая привлекательность страны».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https://databudget.ru/projects/fp/301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«Кадры для туризма». Версия 26.14.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https://databudget.ru/projects/fp/309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«Производство отечественной продукции для туристской индустрии». Версия 26.5.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https://databudget.ru/projects/fp/310 (дата обращения: 29.10.2026).</w:t>
      </w:r>
    </w:p>
  </w:footnote>
  <w:footnote w:id="14">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национального проекта «Туризм и гостеприимство». Версия 26.23. 16.10.2026. Выбранная редакция открытого представления. Дата обновления представления не удостоверяет дату утверждения паспорта. Режим доступа: https://databudget.ru/projects/np/26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«Создание номерного фонда, инфраструктуры и новых точек притяжения». Версия 26.28.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https://databudget.ru/projects/fp/308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«Пять морей и озеро Байкал».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https://databudget.ru/projects/fp/303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«Туристическая привлекательность страны».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https://databudget.ru/projects/fp/301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«Кадры для туризма». Версия 26.14.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https://databudget.ru/projects/fp/309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«Производство отечественной продукции для туристской индустрии». Версия 26.5.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https://databudget.ru/projects/fp/310 (дата обращения: 29.10.2026).</w:t>
      </w:r>
    </w:p>
  </w:footnote>
  <w:footnote w:id="15">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федерального проекта «Создание номерного фонда, инфраструктуры и новых точек притяжения». Версия 26.28.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https://databudget.ru/projects/fp/308 (дата обращения: 29.10.2026).</w:t>
      </w:r>
    </w:p>
  </w:footnote>
  <w:footnote w:id="16">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федерального проекта «Пять морей и озеро Байкал».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https://databudget.ru/projects/fp/303 (дата обращения: 29.10.2026).</w:t>
      </w:r>
    </w:p>
  </w:footnote>
  <w:footnote w:id="17">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федерального проекта «Пять морей и озеро Байкал».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https://databudget.ru/projects/fp/303 (дата обращения: 29.10.2026).</w:t>
      </w:r>
    </w:p>
  </w:footnote>
  <w:footnote w:id="18">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федерального проекта «Туристическая привлекательность страны».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https://databudget.ru/projects/fp/301 (дата обращения: 29.10.2026).</w:t>
      </w:r>
    </w:p>
  </w:footnote>
  <w:footnote w:id="19">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федерального проекта «Кадры для туризма». Версия 26.14.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https://databudget.ru/projects/fp/309 (дата обращения: 29.10.2026).</w:t>
      </w:r>
    </w:p>
  </w:footnote>
  <w:footnote w:id="20">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федерального проекта «Производство отечественной продукции для туристской индустрии». Версия 26.5.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https://databudget.ru/projects/fp/310 (дата обращения: 29.10.2026).</w:t>
      </w:r>
    </w:p>
  </w:footnote>
  <w:footnote w:id="21">
    <w:p>
      <w:pPr>
        <w:pStyle w:val="FootnoteText"/>
        <w:widowControl w:val="false"/>
      </w:pPr>
      <w:r>
        <w:rPr>
          <w:rStyle w:val="FootnoteReference"/>
        </w:rPr>
        <w:footnoteRef/>
      </w:r>
      <w:r>
        <w:t xml:space="preserve"> Электронный бюджет; публичное представление DataBudget. Паспорт национального проекта «Туризм и гостеприимство». Версия 26.23. 16.10.2026. Период реализации: 01.01.2025–31.12.2030. Публичное представление паспортных сведений не подтверждает юридическую процедуру утверждения. Режим доступа: https://databudget.ru/projects/np/26 (дата обращения: 29.10.2026).</w:t>
      </w:r>
    </w:p>
    <w:p>
      <w:pPr>
        <w:pStyle w:val="FootnoteText"/>
        <w:widowControl w:val="false"/>
      </w:pPr>
      <w:r>
        <w:t xml:space="preserve">Министерство экономического развития Российской Федерации. Приказ от 28.12.2024 № 855 «Об утверждении методик расчета показателей федерального проекта “Туристическая привлекательность страны” национального проекта “Туризм и гостеприимство”». 28.12.2024. Историческая методика начального этапа нового нацпроекта. Признаёт не подлежащими применению методики Ростуризма для предыдущего проекта. Сам приказ № 855 утратил силу с 01.10.2025 согласно приказу № 647. Режим доступа: https://sudact.ru/law/prikaz-minekonomrazvitiia-rossii-ot-28122024-n-855/ (дата обращения: 29.10.2026).</w:t>
      </w:r>
    </w:p>
  </w:footnote>
  <w:footnote w:id="22">
    <w:p>
      <w:pPr>
        <w:pStyle w:val="FootnoteText"/>
        <w:widowControl w:val="false"/>
      </w:pPr>
      <w:r>
        <w:rPr>
          <w:rStyle w:val="FootnoteReference"/>
        </w:rPr>
        <w:footnoteRef/>
      </w:r>
      <w:r>
        <w:t xml:space="preserve"> Электронный бюджет; публичное представление DataBudget. Паспорт национального проекта «Туризм и гостеприимство». Версия 26.23. 16.10.2026. Период реализации: 01.01.2025–31.12.2030. Публичное представление паспортных сведений не подтверждает юридическую процедуру утверждения. Режим доступа: https://databudget.ru/projects/np/26 (дата обращения: 29.10.2026).</w:t>
      </w:r>
    </w:p>
    <w:p>
      <w:pPr>
        <w:pStyle w:val="FootnoteText"/>
        <w:widowControl w:val="false"/>
      </w:pPr>
      <w:r>
        <w:t xml:space="preserve">Единая межведомственная информационно-статистическая система (ЕМИСС). Каталог официальной статистической информации. Раздел 2.14 «Национальный проект “Туризм и гостеприимство”». б.д. Коды 2.14.П.1–2.14.П.3; 2.14.П1.1; 2.14.П2.1; 2.14.П3.1–2.14.П3.3; 2.14.П4.1; 2.14.П5.1. Режим доступа: https://www.fedstat.ru/organizations/ (дата обращения: 29.10.2026).</w:t>
      </w:r>
    </w:p>
  </w:footnote>
  <w:footnote w:id="23">
    <w:p>
      <w:pPr>
        <w:pStyle w:val="FootnoteText"/>
        <w:widowControl w:val="false"/>
      </w:pPr>
      <w:r>
        <w:rPr>
          <w:rStyle w:val="FootnoteReference"/>
        </w:rPr>
        <w:footnoteRef/>
      </w:r>
      <w:r>
        <w:t xml:space="preserve"> Единая межведомственная информационно-статистическая система (ЕМИСС). Каталог официальной статистической информации. Раздел 2.14 «Национальный проект “Туризм и гостеприимство”». б.д. Коды 2.14.П.1–2.14.П.3; 2.14.П1.1; 2.14.П2.1; 2.14.П3.1–2.14.П3.3; 2.14.П4.1; 2.14.П5.1. Режим доступа: https://www.fedstat.ru/organizations/ (дата обращения: 29.10.2026).</w:t>
      </w:r>
    </w:p>
  </w:footnote>
  <w:footnote w:id="24">
    <w:p>
      <w:pPr>
        <w:pStyle w:val="FootnoteText"/>
        <w:widowControl w:val="false"/>
      </w:pPr>
      <w:r>
        <w:rPr>
          <w:rStyle w:val="FootnoteReference"/>
        </w:rPr>
        <w:footnoteRef/>
      </w:r>
      <w:r>
        <w:t xml:space="preserve"> Министерство экономического развития Российской Федерации. Приказ от 03.08.2026 № 550 «Об утверждении методик расчета показателей федерального проекта “Кадры для туризма” национального проекта “Туризм и гостеприимство”». 03.08.2026. Полный текст. Приложения № 1 и № 2. Отмена приказа № 82 от 10.02.2025. Официальный указатель: https://rosstat.gov.ru/storage/mediabank/FP1004_N.htm. Режим доступа: https://rulaws.ru/acts/Prikaz-Minekonomrazvitiya-Rossii-ot-03.08.2026-N-550/ (дата обращения: 29.10.2026).</w:t>
      </w:r>
    </w:p>
    <w:p>
      <w:pPr>
        <w:pStyle w:val="FootnoteText"/>
        <w:widowControl w:val="false"/>
      </w:pPr>
      <w:r>
        <w:t xml:space="preserve">Электронный бюджет; публичное представление DataBudget. Паспорт федерального проекта «Кадры для туризма» («Кадры»). Версия 26.14. 16.10.2026. Доля обученных и число специалистов, обученных в центрах подготовки кадров для туристской индустрии. Режим доступа: https://databudget.ru/projects/fp/309 (дата обращения: 29.10.2026).</w:t>
      </w:r>
    </w:p>
  </w:footnote>
  <w:footnote w:id="25">
    <w:p>
      <w:pPr>
        <w:pStyle w:val="FootnoteText"/>
        <w:widowControl w:val="false"/>
      </w:pPr>
      <w:r>
        <w:rPr>
          <w:rStyle w:val="FootnoteReference"/>
        </w:rPr>
        <w:footnoteRef/>
      </w:r>
      <w:r>
        <w:t xml:space="preserve"> Министерство экономического развития Российской Федерации. Приказ от 30.09.2025 № 647 «Об утверждении методик расчета показателей федерального проекта “Создание номерного фонда, инфраструктуры и новых точек притяжения”, федерального проекта “Туристическая привлекательность страны” национального проекта “Туризм и гостеприимство”». 30.09.2025. Полный текст в правовой базе. Редакция от 30.09.2026. Вступление в силу с 01.10.2025. Отмена приказов № 854, № 855 и № 224. Изменяющие приказы № 87, № 169, № 684 проверены отдельно. Режим доступа: https://sudact.ru/law/prikaz-minekonomrazvitiia-rossii-ot-30092025-n-647/ (дата обращения: 29.10.2026).</w:t>
      </w:r>
    </w:p>
    <w:p>
      <w:pPr>
        <w:pStyle w:val="FootnoteText"/>
        <w:widowControl w:val="false"/>
      </w:pPr>
      <w:r>
        <w:t xml:space="preserve">Министерство экономического развития Российской Федерации. Приказ от 30.09.2026 № 684 «Об утверждении методики расчета показателя “Количество туристических поездок по территории Российской Федерации” федерального проекта “Создание номерного фонда, инфраструктуры и новых точек притяжения” национального проекта “Туризм и гостеприимство”». 30.09.2026. Полный текст приказа и методики в правовой базе. Официальный указатель: https://rosstat.gov.ru/storage/mediabank/NP10_N.htm. Пункты 3–10, 24–25, 29–40. Режим доступа: https://legalacts.ru/doc/prikaz-minekonomrazvitija-rossii-ot-30092026-n-684-ob-utverzhdenii/ (дата обращения: 29.10.2026).</w:t>
      </w:r>
    </w:p>
    <w:p>
      <w:pPr>
        <w:pStyle w:val="FootnoteText"/>
        <w:widowControl w:val="false"/>
      </w:pPr>
      <w:r>
        <w:t xml:space="preserve">Министерство экономического развития Российской Федерации. Приказ от 09.02.2026 № 87 «Об утверждении методики расчета показателя “Количество номеров в классифицированных средствах размещения” федерального проекта “Создание номерного фонда, инфраструктуры и новых точек притяжения” национального проекта “Туризм и гостеприимство”». 09.02.2026. Полный текст в правовой базе. Применяется к правоотношениям с 01.01.2026. Действует по 31.12.2027. Методика: пункты 3–4, 7, 10–14. Режим доступа: https://bazanpa.ru/minekonomrazvitiia-rossii-prikaz-n87-ot09022026-h7014255/ (дата обращения: 29.10.2026).</w:t>
      </w:r>
    </w:p>
    <w:p>
      <w:pPr>
        <w:pStyle w:val="FootnoteText"/>
        <w:widowControl w:val="false"/>
      </w:pPr>
      <w:r>
        <w:t xml:space="preserve">Министерство экономического развития Российской Федерации. Приказ от 06.03.2026 № 169 «О внесении изменений в приказ Минэкономразвития России от 30 сентября 2025 г. № 647 “Об утверждении методик расчета показателей федерального проекта ‘Создание номерного фонда, инфраструктуры и новых точек притяжения’, федерального проекта ‘Туристическая привлекательность страны’ национального проекта ‘Туризм и гостеприимство’”». 06.03.2026. Полный текст. Новая редакция приложения № 5 – методики численности иностранных граждан, размещённых в КСР. Применяется с 01.03.2026. Официальный указатель: https://rosstat.gov.ru/storage/mediabank/FP1003_N.htm. Режим доступа: https://bazanpa.ru/minekonomrazvitiia-rossii-prikaz-n169-ot06032026-h7041689/ (дата обращения: 29.10.2026).</w:t>
      </w:r>
    </w:p>
  </w:footnote>
  <w:footnote w:id="26">
    <w:p>
      <w:pPr>
        <w:pStyle w:val="FootnoteText"/>
        <w:widowControl w:val="false"/>
      </w:pPr>
      <w:r>
        <w:rPr>
          <w:rStyle w:val="FootnoteReference"/>
        </w:rPr>
        <w:footnoteRef/>
      </w:r>
      <w:r>
        <w:t xml:space="preserve"> Федеральная служба государственной статистики. Приказ от 26.02.2021 № 109 «Об утверждении методики оценки туристского потока». 26.02.2021. Первичная публикация методики на сайте территориального органа Росстата. Изменения от 01.03.2022 № 100 отражены в актуальном официальном указателе методологии туризма. Режим доступа: https://64.rosstat.gov.ru/storage/mediabank/met_tur_109-21.pdf (дата обращения: 29.10.2026).</w:t>
      </w:r>
    </w:p>
    <w:p>
      <w:pPr>
        <w:pStyle w:val="FootnoteText"/>
        <w:widowControl w:val="false"/>
      </w:pPr>
      <w:r>
        <w:t xml:space="preserve">Федеральная служба государственной статистики. Туризм. Методология: официальные статистические методологии формирования показателей. 2026. Указатель содержит приказы Росстата от 09.09.2025 № 462, от 08.04.2026 № 168 и от 20.07.2026 № 398, методику туристского потока № 109 и изменения № 100. Режим доступа: https://www.rosstat.gov.ru/statistics/turizm/methodology (дата обращения: 29.10.2026).</w:t>
      </w:r>
    </w:p>
  </w:footnote>
  <w:footnote w:id="27">
    <w:p>
      <w:pPr>
        <w:pStyle w:val="FootnoteText"/>
        <w:widowControl w:val="false"/>
      </w:pPr>
      <w:r>
        <w:rPr>
          <w:rStyle w:val="FootnoteReference"/>
        </w:rPr>
        <w:footnoteRef/>
      </w:r>
      <w:r>
        <w:t xml:space="preserve"> Министерство экономического развития Российской Федерации. Приказ от 30.09.2026 № 684 «Об утверждении методики расчета показателя “Количество туристических поездок по территории Российской Федерации” федерального проекта “Создание номерного фонда, инфраструктуры и новых точек притяжения” национального проекта “Туризм и гостеприимство”». 30.09.2026. Полный текст приказа и методики в правовой базе. Официальный указатель: https://rosstat.gov.ru/storage/mediabank/NP10_N.htm. Пункты 3–10, 24–25, 29–40. Режим доступа: https://legalacts.ru/doc/prikaz-minekonomrazvitija-rossii-ot-30092026-n-684-ob-utverzhdenii/ (дата обращения: 29.10.2026).</w:t>
      </w:r>
    </w:p>
  </w:footnote>
  <w:footnote w:id="28">
    <w:p>
      <w:pPr>
        <w:pStyle w:val="FootnoteText"/>
        <w:widowControl w:val="false"/>
      </w:pPr>
      <w:r>
        <w:rPr>
          <w:rStyle w:val="FootnoteReference"/>
        </w:rPr>
        <w:footnoteRef/>
      </w:r>
      <w:r>
        <w:t xml:space="preserve"> Министерство экономического развития Российской Федерации. Приказ от 30.09.2026 № 684 «Об утверждении методики расчета показателя “Количество туристических поездок по территории Российской Федерации” федерального проекта “Создание номерного фонда, инфраструктуры и новых точек притяжения” национального проекта “Туризм и гостеприимство”». 30.09.2026. Полный текст приказа и методики в правовой базе. Официальный указатель: https://rosstat.gov.ru/storage/mediabank/NP10_N.htm. Пункты 3–10, 24–25, 29–40. Режим доступа: https://legalacts.ru/doc/prikaz-minekonomrazvitija-rossii-ot-30092026-n-684-ob-utverzhdenii/ (дата обращения: 29.10.2026).</w:t>
      </w:r>
    </w:p>
  </w:footnote>
  <w:footnote w:id="29">
    <w:p>
      <w:pPr>
        <w:pStyle w:val="FootnoteText"/>
        <w:widowControl w:val="false"/>
      </w:pPr>
      <w:r>
        <w:rPr>
          <w:rStyle w:val="FootnoteReference"/>
        </w:rPr>
        <w:footnoteRef/>
      </w:r>
      <w:r>
        <w:t xml:space="preserve"> Министерство экономического развития Российской Федерации. Приказ от 30.09.2026 № 684 «Об утверждении методики расчета показателя “Количество туристических поездок по территории Российской Федерации” федерального проекта “Создание номерного фонда, инфраструктуры и новых точек притяжения” национального проекта “Туризм и гостеприимство”». 30.09.2026. Полный текст приказа и методики в правовой базе. Официальный указатель: https://rosstat.gov.ru/storage/mediabank/NP10_N.htm. Пункты 3–10, 24–25, 29–40. Режим доступа: https://legalacts.ru/doc/prikaz-minekonomrazvitija-rossii-ot-30092026-n-684-ob-utverzhdenii/ (дата обращения: 29.10.2026).</w:t>
      </w:r>
    </w:p>
  </w:footnote>
  <w:footnote w:id="30">
    <w:p>
      <w:pPr>
        <w:pStyle w:val="FootnoteText"/>
        <w:widowControl w:val="false"/>
      </w:pPr>
      <w:r>
        <w:rPr>
          <w:rStyle w:val="FootnoteReference"/>
        </w:rPr>
        <w:footnoteRef/>
      </w:r>
      <w:r>
        <w:t xml:space="preserve"> Федеральная служба государственной статистики. Туризм. Методология: официальные статистические методологии формирования показателей. 2026. Указатель содержит приказы Росстата от 09.09.2025 № 462, от 08.04.2026 № 168 и от 20.07.2026 № 398, методику туристского потока № 109 и изменения № 100. Режим доступа: https://www.rosstat.gov.ru/statistics/turizm/methodology (дата обращения: 29.10.2026).</w:t>
      </w:r>
    </w:p>
  </w:footnote>
  <w:footnote w:id="31">
    <w:p>
      <w:pPr>
        <w:pStyle w:val="FootnoteText"/>
        <w:widowControl w:val="false"/>
      </w:pPr>
      <w:r>
        <w:rPr>
          <w:rStyle w:val="FootnoteReference"/>
        </w:rPr>
        <w:footnoteRef/>
      </w:r>
      <w:r>
        <w:t xml:space="preserve"> Министерство экономического развития Российской Федерации. Приказ от 30.09.2026 № 684 «Об утверждении методики расчета показателя “Количество туристических поездок по территории Российской Федерации” федерального проекта “Создание номерного фонда, инфраструктуры и новых точек притяжения” национального проекта “Туризм и гостеприимство”». 30.09.2026. Полный текст приказа и методики в правовой базе. Официальный указатель: https://rosstat.gov.ru/storage/mediabank/NP10_N.htm. Пункты 3–10, 24–25, 29–40. Режим доступа: https://legalacts.ru/doc/prikaz-minekonomrazvitija-rossii-ot-30092026-n-684-ob-utverzhdenii/ (дата обращения: 29.10.2026).</w:t>
      </w:r>
    </w:p>
  </w:footnote>
  <w:footnote w:id="32">
    <w:p>
      <w:pPr>
        <w:pStyle w:val="FootnoteText"/>
        <w:widowControl w:val="false"/>
      </w:pPr>
      <w:r>
        <w:rPr>
          <w:rStyle w:val="FootnoteReference"/>
        </w:rPr>
        <w:footnoteRef/>
      </w:r>
      <w:r>
        <w:t xml:space="preserve"> Министерство экономического развития Российской Федерации. Приказ от 09.02.2026 № 87 «Об утверждении методики расчета показателя “Количество номеров в классифицированных средствах размещения” федерального проекта “Создание номерного фонда, инфраструктуры и новых точек притяжения” национального проекта “Туризм и гостеприимство”». 09.02.2026. Полный текст в правовой базе. Применяется к правоотношениям с 01.01.2026. Действует по 31.12.2027. Методика: пункты 3–4, 7, 10–14. Режим доступа: https://bazanpa.ru/minekonomrazvitiia-rossii-prikaz-n87-ot09022026-h7014255/ (дата обращения: 29.10.2026).</w:t>
      </w:r>
    </w:p>
  </w:footnote>
  <w:footnote w:id="33">
    <w:p>
      <w:pPr>
        <w:pStyle w:val="FootnoteText"/>
        <w:widowControl w:val="false"/>
      </w:pPr>
      <w:r>
        <w:rPr>
          <w:rStyle w:val="FootnoteReference"/>
        </w:rPr>
        <w:footnoteRef/>
      </w:r>
      <w:r>
        <w:t xml:space="preserve"> Правительство Российской Федерации. Постановление от 27.12.2024 № 1951 «Об утверждении Положения о классификации средств размещения». 27.12.2024. Официальное опубликование 31.12.2024, № 0001202412310014. Вступление в силу с 01.01.2025. Режим доступа: https://publication.pravo.gov.ru/document/0001202412310014 (дата обращения: 29.10.2026).</w:t>
      </w:r>
    </w:p>
    <w:p>
      <w:pPr>
        <w:pStyle w:val="FootnoteText"/>
        <w:widowControl w:val="false"/>
      </w:pPr>
      <w:r>
        <w:t xml:space="preserve">Правительство Российской Федерации. Постановление от 27.12.2024 № 1952 «Об утверждении Правил классификации средств размещения и Правил формирования и ведения единого реестра объектов классификации в сфере туристской индустрии». 27.12.2024. Текст нормативного акта в правовой базе. Правила классификации и формирования единого реестра. Поэтапное вступление отдельных положений в силу. Режим доступа: https://base.garant.ru/411240743/ (дата обращения: 29.10.2026).</w:t>
      </w:r>
    </w:p>
    <w:p>
      <w:pPr>
        <w:pStyle w:val="FootnoteText"/>
        <w:widowControl w:val="false"/>
      </w:pPr>
      <w:r>
        <w:t xml:space="preserve">Российская Федерация. Федеральный закон от 07.06.2025 № 127-ФЗ «О проведении эксперимента по предоставлению услуг гостевых домов». 07.06.2025. Официальное опубликование 07.06.2025, № 0001202506070003. Эксперимент с 01.09.2025 по 31.12.2027. Текст также опубликован: https://base.garant.ru/412133560/. Режим доступа: https://publication.pravo.gov.ru/document/0001202506070003 (дата обращения: 29.10.2026).</w:t>
      </w:r>
    </w:p>
    <w:p>
      <w:pPr>
        <w:pStyle w:val="FootnoteText"/>
        <w:widowControl w:val="false"/>
      </w:pPr>
      <w:r>
        <w:t xml:space="preserve">Правительство Российской Федерации. Постановление от 30.08.2025 № 1345 «Об утверждении Положения о классификации гостевых домов». 30.08.2025. Официальное опубликование 01.09.2025, № 0001202509010018. Действует с 01.09.2025 по 31.12.2027. Текст также опубликован: https://base.garant.ru/412620479/. Режим доступа: https://publication.pravo.gov.ru/document/0001202509010018 (дата обращения: 29.10.2026).</w:t>
      </w:r>
    </w:p>
  </w:footnote>
  <w:footnote w:id="34">
    <w:p>
      <w:pPr>
        <w:pStyle w:val="FootnoteText"/>
        <w:widowControl w:val="false"/>
      </w:pPr>
      <w:r>
        <w:rPr>
          <w:rStyle w:val="FootnoteReference"/>
        </w:rPr>
        <w:footnoteRef/>
      </w:r>
      <w:r>
        <w:t xml:space="preserve"> Министерство экономического развития Российской Федерации. Методика расчета показателя «Доля туристской отрасли в валовом внутреннем продукте» федерального проекта «Создание номерного фонда, инфраструктуры и новых точек притяжения» национального проекта «Туризм и гостеприимство». 30.09.2025. Приложение № 3 к приказу Минэкономразвития России № 647. Пункты 7, 11–16: годовая периодичность, первая оценка по плану, знаменатель – ВДС всех отраслей в основных текущих ценах. Режим доступа: https://www.consultant.ru/document/cons_doc_LAW_524217/72e6a21264f98e77bd8dff7286dfbd437a3d616d/ (дата обращения: 29.10.2026).</w:t>
      </w:r>
    </w:p>
  </w:footnote>
  <w:footnote w:id="35">
    <w:p>
      <w:pPr>
        <w:pStyle w:val="FootnoteText"/>
        <w:widowControl w:val="false"/>
      </w:pPr>
      <w:r>
        <w:rPr>
          <w:rStyle w:val="FootnoteReference"/>
        </w:rPr>
        <w:footnoteRef/>
      </w:r>
      <w:r>
        <w:t xml:space="preserve"> Министерство экономического развития Российской Федерации. Методика расчета показателя «Доля туристской отрасли в валовом внутреннем продукте» федерального проекта «Создание номерного фонда, инфраструктуры и новых точек притяжения» национального проекта «Туризм и гостеприимство». 30.09.2025. Приложение № 3 к приказу Минэкономразвития России № 647. Пункты 7, 11–16: годовая периодичность, первая оценка по плану, знаменатель – ВДС всех отраслей в основных текущих ценах. Режим доступа: https://www.consultant.ru/document/cons_doc_LAW_524217/72e6a21264f98e77bd8dff7286dfbd437a3d616d/ (дата обращения: 29.10.2026).</w:t>
      </w:r>
    </w:p>
  </w:footnote>
  <w:footnote w:id="36">
    <w:p>
      <w:pPr>
        <w:pStyle w:val="FootnoteText"/>
        <w:widowControl w:val="false"/>
      </w:pPr>
      <w:r>
        <w:rPr>
          <w:rStyle w:val="FootnoteReference"/>
        </w:rPr>
        <w:footnoteRef/>
      </w:r>
      <w:r>
        <w:t xml:space="preserve"> Федеральная служба государственной статистики. Приказ от 26.06.2025 № 310 «Об утверждении Официальной статистической методологии расчета показателей “Валовая добавленная стоимость туристской индустрии”, “Доля валовой добавленной стоимости туристской индустрии в валовом внутреннем продукте Российской Федерации” и “Индекс физического объема валовой добавленной стоимости туристской индустрии”». 26.06.2025. Официальный текст. Пункт 2.2 приказа: расчёт за 2025 год и пересчёт 2017–2024 годов. Приказ № 397 от 05.09.2024 признан утратившим силу. Текст методологии также доступен: https://base.garant.ru/412278242/. Режим доступа: https://rosstat.gov.ru/storage/mediabank/met310-26062025.pdf (дата обращения: 29.10.2026).</w:t>
      </w:r>
    </w:p>
  </w:footnote>
  <w:footnote w:id="37">
    <w:p>
      <w:pPr>
        <w:pStyle w:val="FootnoteText"/>
        <w:widowControl w:val="false"/>
      </w:pPr>
      <w:r>
        <w:rPr>
          <w:rStyle w:val="FootnoteReference"/>
        </w:rPr>
        <w:footnoteRef/>
      </w:r>
      <w:r>
        <w:t xml:space="preserve"> Министерство экономического развития Российской Федерации. Методика расчета показателя «Объем экспорта туристских услуг» федерального проекта «Туристическая привлекательность страны» национального проекта «Туризм и гостеприимство». 30.09.2025. Приложение № 4 к приказу № 647. Пункты 7, 10, 12–25: квартальные и годовые накопленные значения; млрд долларов США; различие ранних и уточнённых оценок. Режим доступа: https://www.consultant.ru/document/cons_doc_LAW_524217/de041da94e4c64306af20c8fd09aba936e8a5cda/ (дата обращения: 29.10.2026).</w:t>
      </w:r>
    </w:p>
  </w:footnote>
  <w:footnote w:id="38">
    <w:p>
      <w:pPr>
        <w:pStyle w:val="FootnoteText"/>
        <w:widowControl w:val="false"/>
      </w:pPr>
      <w:r>
        <w:rPr>
          <w:rStyle w:val="FootnoteReference"/>
        </w:rPr>
        <w:footnoteRef/>
      </w:r>
      <w:r>
        <w:t xml:space="preserve"> Министерство экономического развития Российской Федерации. Методика расчета показателя «Объем экспорта туристских услуг» федерального проекта «Туристическая привлекательность страны» национального проекта «Туризм и гостеприимство». 30.09.2025. Приложение № 4 к приказу № 647. Пункты 7, 10, 12–25: квартальные и годовые накопленные значения; млрд долларов США; различие ранних и уточнённых оценок. Режим доступа: https://www.consultant.ru/document/cons_doc_LAW_524217/de041da94e4c64306af20c8fd09aba936e8a5cda/ (дата обращения: 29.10.2026).</w:t>
      </w:r>
    </w:p>
  </w:footnote>
  <w:footnote w:id="39">
    <w:p>
      <w:pPr>
        <w:pStyle w:val="FootnoteText"/>
        <w:widowControl w:val="false"/>
      </w:pPr>
      <w:r>
        <w:rPr>
          <w:rStyle w:val="FootnoteReference"/>
        </w:rPr>
        <w:footnoteRef/>
      </w:r>
      <w:r>
        <w:t xml:space="preserve"> Министерство экономического развития Российской Федерации. Приказ от 06.03.2026 № 169 «О внесении изменений в приказ Минэкономразвития России от 30 сентября 2025 г. № 647 “Об утверждении методик расчета показателей федерального проекта ‘Создание номерного фонда, инфраструктуры и новых точек притяжения’, федерального проекта ‘Туристическая привлекательность страны’ национального проекта ‘Туризм и гостеприимство’”». 06.03.2026. Полный текст. Новая редакция приложения № 5 – методики численности иностранных граждан, размещённых в КСР. Применяется с 01.03.2026. Официальный указатель: https://rosstat.gov.ru/storage/mediabank/FP1003_N.htm. Режим доступа: https://bazanpa.ru/minekonomrazvitiia-rossii-prikaz-n169-ot06032026-h7041689/ (дата обращения: 29.10.2026).</w:t>
      </w:r>
    </w:p>
  </w:footnote>
  <w:footnote w:id="40">
    <w:p>
      <w:pPr>
        <w:pStyle w:val="FootnoteText"/>
        <w:widowControl w:val="false"/>
      </w:pPr>
      <w:r>
        <w:rPr>
          <w:rStyle w:val="FootnoteReference"/>
        </w:rPr>
        <w:footnoteRef/>
      </w:r>
      <w:r>
        <w:t xml:space="preserve"> Министерство экономического развития Российской Федерации. Методика расчета показателя «Индекс удовлетворенности граждан в сфере туризма и гостеприимства» федерального проекта «Туристическая привлекательность страны» национального проекта «Туризм и гостеприимство». 30.09.2025. Приложение № 6 к приказу № 647 и приложение к методике о проведении опроса. Пункты 5, 10–16; веса оценок и правила подстановки плана. Режим доступа: https://www.consultant.ru/document/cons_doc_LAW_524217/4e5ee2eb4c638fc01e275f14aed63b3f5265abb4/ (дата обращения: 29.10.2026).</w:t>
      </w:r>
    </w:p>
  </w:footnote>
  <w:footnote w:id="41">
    <w:p>
      <w:pPr>
        <w:pStyle w:val="FootnoteText"/>
        <w:widowControl w:val="false"/>
      </w:pPr>
      <w:r>
        <w:rPr>
          <w:rStyle w:val="FootnoteReference"/>
        </w:rPr>
        <w:footnoteRef/>
      </w:r>
      <w:r>
        <w:t xml:space="preserve"> Министерство экономического развития Российской Федерации. Методика расчета показателя «Число посещений Национального туристического портала» федерального проекта «Туристическая привлекательность страны» национального проекта «Туризм и гостеприимство». 30.09.2025. Приложение № 7 к приказу № 647. Пункты 3–4, 7, 11–15: визиты, субдомены и внешние ресурсы, накопление с начала года. Годовое значение равно декабрьскому. Режим доступа: https://www.consultant.ru/document/cons_doc_LAW_524217/528f0c3df1b98e9eaccedc3730a6e40a87a07bae/ (дата обращения: 29.10.2026).</w:t>
      </w:r>
    </w:p>
  </w:footnote>
  <w:footnote w:id="42">
    <w:p>
      <w:pPr>
        <w:pStyle w:val="FootnoteText"/>
        <w:widowControl w:val="false"/>
      </w:pPr>
      <w:r>
        <w:rPr>
          <w:rStyle w:val="FootnoteReference"/>
        </w:rPr>
        <w:footnoteRef/>
      </w:r>
      <w:r>
        <w:t xml:space="preserve"> Министерство экономического развития Российской Федерации. Приказ от 03.08.2026 № 550 «Об утверждении методик расчета показателей федерального проекта “Кадры для туризма” национального проекта “Туризм и гостеприимство”». 03.08.2026. Полный текст. Приложения № 1 и № 2. Отмена приказа № 82 от 10.02.2025. Официальный указатель: https://rosstat.gov.ru/storage/mediabank/FP1004_N.htm. Режим доступа: https://rulaws.ru/acts/Prikaz-Minekonomrazvitiya-Rossii-ot-03.08.2026-N-550/ (дата обращения: 29.10.2026).</w:t>
      </w:r>
    </w:p>
  </w:footnote>
  <w:footnote w:id="43">
    <w:p>
      <w:pPr>
        <w:pStyle w:val="FootnoteText"/>
        <w:widowControl w:val="false"/>
      </w:pPr>
      <w:r>
        <w:rPr>
          <w:rStyle w:val="FootnoteReference"/>
        </w:rPr>
        <w:footnoteRef/>
      </w:r>
      <w:r>
        <w:t xml:space="preserve"> Министерство экономического развития Российской Федерации. Приказ от 03.08.2026 № 550 «Об утверждении методик расчета показателей федерального проекта “Кадры для туризма” национального проекта “Туризм и гостеприимство”». 03.08.2026. Полный текст. Приложения № 1 и № 2. Отмена приказа № 82 от 10.02.2025. Официальный указатель: https://rosstat.gov.ru/storage/mediabank/FP1004_N.htm. Режим доступа: https://rulaws.ru/acts/Prikaz-Minekonomrazvitiya-Rossii-ot-03.08.2026-N-550/ (дата обращения: 29.10.2026).</w:t>
      </w:r>
    </w:p>
  </w:footnote>
  <w:footnote w:id="44">
    <w:p>
      <w:pPr>
        <w:pStyle w:val="FootnoteText"/>
        <w:widowControl w:val="false"/>
      </w:pPr>
      <w:r>
        <w:rPr>
          <w:rStyle w:val="FootnoteReference"/>
        </w:rPr>
        <w:footnoteRef/>
      </w:r>
      <w:r>
        <w:t xml:space="preserve"> Министерство промышленности и торговли Российской Федерации. Методика расчета показателя «Обеспеченность туристской индустрии отечественной промышленной продукцией». 16.01.2025. Приложение к приказу Минпромторга России от 16.01.2025 № 126. Пункты 5–12: периодичность, номенклатура, производство, потребность и весовые коэффициенты. Режим доступа: https://rosstat.gov.ru/storage/mediabank/MET_N_100501.pdf (дата обращения: 29.10.2026).</w:t>
      </w:r>
    </w:p>
  </w:footnote>
  <w:footnote w:id="45">
    <w:p>
      <w:pPr>
        <w:pStyle w:val="FootnoteText"/>
        <w:widowControl w:val="false"/>
      </w:pPr>
      <w:r>
        <w:rPr>
          <w:rStyle w:val="FootnoteReference"/>
        </w:rPr>
        <w:footnoteRef/>
      </w:r>
      <w:r>
        <w:t xml:space="preserve"> Электронный бюджет; публичное представление DataBudget. Паспорт федерального проекта «Пять морей и озеро Байкал» («Морские курорты»). Версия 26.20. 16.10.2026. Показатель числа поездок в новые современные круглогодичные гостиничные комплексы: числовые ориентиры с 2028 года, исходное значение на 31.12.2023. Режим доступа: https://databudget.ru/projects/fp/303 (дата обращения: 29.10.2026).</w:t>
      </w:r>
    </w:p>
  </w:footnote>
  <w:footnote w:id="46">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туристических поездок по территории Российской Федерации. Показатель 62900. Данные получены 15.10.2026. Первичная статистическая таблица: 21 месячная накопительная отметка за 2025–2026 годы, Российская Федерация и 85 территорий. Единица – млн поездок. Региональный итог декабря 2025 года равен общероссийскому: 92,0428 млн. Дата получения данных не является датой официальной публикации каждого значения. Режим доступа: https://www.fedstat.ru/indicator/62900 (дата обращения: 29.10.2026).</w:t>
      </w:r>
    </w:p>
    <w:p>
      <w:pPr>
        <w:pStyle w:val="FootnoteText"/>
        <w:widowControl w:val="false"/>
      </w:pPr>
      <w:r>
        <w:t xml:space="preserve">Министерство транспорта Российской Федерации. Дмитрий Чернышенко: Внутренний туризм в России вырос на 4,3%, въездной – на 20,1%. 05.08.2026. Официальное сообщение по данным Росстата за январь–июнь 2026 года: 43,2 млн поездок, рост 4,3%. Въездные поездки – свыше 2,5 млн, рост 20,1%. Причинные заявления выступающих не рассматриваются как независимая оценка эффекта национального проекта. Режим доступа: https://mintrans.gov.ru/eye/press-center/branch-news/9327 (дата обращения: 29.10.2026).</w:t>
      </w:r>
    </w:p>
  </w:footnote>
  <w:footnote w:id="47">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туристических поездок по территории Российской Федерации. Показатель 62900. Данные получены 15.10.2026. Первичная статистическая таблица: 21 месячная накопительная отметка за 2025–2026 годы, Российская Федерация и 85 территорий. Единица – млн поездок. Региональный итог декабря 2025 года равен общероссийскому: 92,0428 млн. Дата получения данных не является датой официальной публикации каждого значения. Режим доступа: https://www.fedstat.ru/indicator/62900 (дата обращения: 29.10.2026).</w:t>
      </w:r>
    </w:p>
    <w:p>
      <w:pPr>
        <w:pStyle w:val="FootnoteText"/>
        <w:widowControl w:val="false"/>
      </w:pPr>
      <w:r>
        <w:t xml:space="preserve">Единая межведомственная информационно-статистическая система (ЕМИСС). Количество номеров в классифицированных средствах размещения. Показатель 62159. Данные получены 15.10.2026. Первичная статистическая таблица. Единица – тыс. номеров. Использованы декабрь 2025 года и январь–сентябрь 2026 года. Дата получения данных не равна дате официальной публикации отдельных наблюдений. Режим доступа: https://www.fedstat.ru/indicator/62159 (дата обращения: 29.10.2026).</w:t>
      </w:r>
    </w:p>
    <w:p>
      <w:pPr>
        <w:pStyle w:val="FootnoteText"/>
        <w:widowControl w:val="false"/>
      </w:pPr>
      <w:r>
        <w:t xml:space="preserve">Единая межведомственная информационно-статистическая система (ЕМИСС). Объём экспорта туристских услуг. Показатель 62902. Данные получены 15.10.2026. Первичная статистическая таблица. Единица – млрд долларов США. Периодичность определяется методикой №647. Число месячных колонок её не устанавливает. Стадия уточнения декабрьской оценки не установлена. Дата получения данных не равна дате официальной публикации отдельных наблюдений. Режим доступа: https://www.fedstat.ru/indicator/62902 (дата обращения: 29.10.2026).</w:t>
      </w:r>
    </w:p>
    <w:p>
      <w:pPr>
        <w:pStyle w:val="FootnoteText"/>
        <w:widowControl w:val="false"/>
      </w:pPr>
      <w:r>
        <w:t xml:space="preserve">Единая межведомственная информационно-статистическая система (ЕМИСС). Численность иностранных граждан, размещённых в средствах размещения. Показатель 63347. Данные получены 15.10.2026. Первичная статистическая таблица. Единица – млн человек. Используется также как предусмотренный методикой месячный физический прокси экспорта. Денежным экспортом не является. Стадия уточнения декабрьской оценки 2025 года не установлена. Дата получения данных не равна дате официальной публикации отдельных наблюдений. Режим доступа: https://www.fedstat.ru/indicator/63347 (дата обращения: 29.10.2026).</w:t>
      </w:r>
    </w:p>
    <w:p>
      <w:pPr>
        <w:pStyle w:val="FootnoteText"/>
        <w:widowControl w:val="false"/>
      </w:pPr>
      <w:r>
        <w:t xml:space="preserve">Единая межведомственная информационно-статистическая система (ЕМИСС). Доля отечественной продукции для туристской индустрии. Показатель 62780. Данные получены 15.10.2026. Первичная статистическая таблица. Значение с сентября 2025 года по сентябрь 2026 года – 30,3%. Предшествующие нули не доказывают отсутствия отечественного производства. Дата получения данных не равна дате официальной публикации отдельных наблюдений. Режим доступа: https://www.fedstat.ru/indicator/62780 (дата обращения: 29.10.2026).</w:t>
      </w:r>
    </w:p>
    <w:p>
      <w:pPr>
        <w:pStyle w:val="FootnoteText"/>
        <w:widowControl w:val="false"/>
      </w:pPr>
      <w:r>
        <w:t xml:space="preserve">Единая межведомственная информационно-статистическая система (ЕМИСС). Доля туристской отрасли в валовом внутреннем продукте. Показатель 62903. Данные получены 15.10.2026. Первичная статистическая таблица. Январь–ноябрь 2025 года – 2,9%, декабрь – 3,0%. Январская ячейка 2026 года содержит ноль. По методике показатель годовой, поэтому эти колонки не образуют самостоятельного месячного ряда. Дата получения данных не равна дате официальной публикации отдельных наблюдений. Режим доступа: https://www.fedstat.ru/indicator/62903 (дата обращения: 29.10.2026).</w:t>
      </w:r>
    </w:p>
  </w:footnote>
  <w:footnote w:id="48">
    <w:p>
      <w:pPr>
        <w:pStyle w:val="FootnoteText"/>
        <w:widowControl w:val="false"/>
      </w:pPr>
      <w:r>
        <w:rPr>
          <w:rStyle w:val="FootnoteReference"/>
        </w:rPr>
        <w:footnoteRef/>
      </w:r>
      <w:r>
        <w:t xml:space="preserve"> Федеральная служба государственной статистики. Доля туризма в мировой экономике составила 9,8% в 2025 году. Сентябрь 2026. Официальное сообщение Росстата. Точный день публикации не установлен. Подтверждает долю туризма в экономике России 3,1% за 2025 год и общероссийские итоги размещений и ночёвок. Режим доступа: https://www.rosstat.gov.ru/folder/313/document/291160?print=1 (дата обращения: 29.10.2026).</w:t>
      </w:r>
    </w:p>
  </w:footnote>
  <w:footnote w:id="49">
    <w:p>
      <w:pPr>
        <w:pStyle w:val="FootnoteText"/>
        <w:widowControl w:val="false"/>
      </w:pPr>
      <w:r>
        <w:rPr>
          <w:rStyle w:val="FootnoteReference"/>
        </w:rPr>
        <w:footnoteRef/>
      </w:r>
      <w:r>
        <w:t xml:space="preserve"> Министерство экономического развития Российской Федерации. Приказ от 30.09.2025 №647 «Об утверждении методик расчёта показателей национального проекта “Туризм и гостеприимство”». 30.09.2025; доступная редакция 30.09.2026. Полный нормативный текст. Приложение 3: годовая доля ВДС, первая оценка равна плану. Приложение 4: квартальный накопительный экспорт, месячный физический прокси, последовательность уточнений и компоненты Банка России. Редакции не распространяются на прошлые периоды без отдельного основания. Режим доступа: https://sudact.ru/law/prikaz-minekonomrazvitiia-rossii-ot-30092025-n-647/ (дата обращения: 29.10.2026).</w:t>
      </w:r>
    </w:p>
    <w:p>
      <w:pPr>
        <w:pStyle w:val="FootnoteText"/>
        <w:widowControl w:val="false"/>
      </w:pPr>
      <w:r>
        <w:t xml:space="preserve">Министерство экономического развития Российской Федерации. Приказ от 30.09.2026 №684 об утверждении методики расчёта показателя «Количество туристических поездок по территории Российской Федерации». 30.09.2026. Полный нормативный текст. Накопительный показатель, первая и уточнённая оценки, гостевые дома и круизные суда. Отдельное основание для автоматического распространения новой методики на ранние значения 2026 года не установлено. Режим доступа: https://legalacts.ru/doc/prikaz-minekonomrazvitija-rossii-ot-30092026-n-684-ob-utverzhdenii/ (дата обращения: 29.10.2026).</w:t>
      </w:r>
    </w:p>
    <w:p>
      <w:pPr>
        <w:pStyle w:val="FootnoteText"/>
        <w:widowControl w:val="false"/>
      </w:pPr>
      <w:r>
        <w:t xml:space="preserve">Министерство экономического развития Российской Федерации. Приказ от 06.03.2026 №169 о методике расчёта численности иностранных граждан, размещённых в средствах размещения. 06.03.2026. Полный нормативный текст. Действует с 01.03.2026. Накопительный месячный показатель, отдельные годовые оценки и уточнение. Декабрьские данные 2025 года не переопределяются задним числом только на основании этого приказа. Режим доступа: https://bazanpa.ru/minekonomrazvitiia-rossii-prikaz-n169-ot06032026-h7041689/ (дата обращения: 29.10.2026).</w:t>
      </w:r>
    </w:p>
  </w:footnote>
  <w:footnote w:id="50">
    <w:p>
      <w:pPr>
        <w:pStyle w:val="FootnoteText"/>
        <w:widowControl w:val="false"/>
      </w:pPr>
      <w:r>
        <w:rPr>
          <w:rStyle w:val="FootnoteReference"/>
        </w:rPr>
        <w:footnoteRef/>
      </w:r>
      <w:r>
        <w:t xml:space="preserve"> Министерство экономического развития Российской Федерации. Приказ от 30.09.2026 №684 об утверждении методики расчёта показателя «Количество туристических поездок по территории Российской Федерации». 30.09.2026. Полный нормативный текст. Накопительный показатель, первая и уточнённая оценки, гостевые дома и круизные суда. Отдельное основание для автоматического распространения новой методики на ранние значения 2026 года не установлено. Режим доступа: https://legalacts.ru/doc/prikaz-minekonomrazvitija-rossii-ot-30092026-n-684-ob-utverzhdenii/ (дата обращения: 29.10.2026).</w:t>
      </w:r>
    </w:p>
    <w:p>
      <w:pPr>
        <w:pStyle w:val="FootnoteText"/>
        <w:widowControl w:val="false"/>
      </w:pPr>
      <w:r>
        <w:t xml:space="preserve">Федеральная служба государственной статистики. Туризм. Методология. Актуальный указатель на 29.10.2026. Официальный указатель, в том числе приказ Росстата от 08.04.2026 №168 о формировании месячных показателей по полному кругу средств размещения, от 09.09.2025 №462 и от 20.07.2026 №398. Наличие новой методологии не устанавливает её применение к каждому ранее опубликованному значению. Режим доступа: https://www.rosstat.gov.ru/statistics/turizm/methodology (дата обращения: 29.10.2026).</w:t>
      </w:r>
    </w:p>
  </w:footnote>
  <w:footnote w:id="51">
    <w:p>
      <w:pPr>
        <w:pStyle w:val="FootnoteText"/>
        <w:widowControl w:val="false"/>
      </w:pPr>
      <w:r>
        <w:rPr>
          <w:rStyle w:val="FootnoteReference"/>
        </w:rPr>
        <w:footnoteRef/>
      </w:r>
      <w:r>
        <w:t xml:space="preserve"> DataBudget. Открытое представление паспортов «Электронного бюджета». Паспорт национального проекта «Туризм и гостеприимство». Версия 26.23. Метка обновления 16.10.2026. Вторичное представление официального паспорта. Дата обновления страницы не устанавливает дату утверждения редакции. Цели 2025 года рассматриваются ретроспективно по выбранной редакции. Режим доступа: https://databudget.ru/projects/np/26 (дата обращения: 29.10.2026).</w:t>
      </w:r>
    </w:p>
    <w:p>
      <w:pPr>
        <w:pStyle w:val="FootnoteText"/>
        <w:widowControl w:val="false"/>
      </w:pPr>
      <w:r>
        <w:t xml:space="preserve">DataBudget. Открытое представление паспортов «Электронного бюджета». Федеральный проект "Туристическая привлекательность страны". Версия 26.20. Метка обновления 16.10.2026. Вторичное представление официального паспорта. Цели относятся к выбранной редакции. Метка обновления страницы не равна дате утверждения паспорта. Режим доступа: https://databudget.ru/projects/fp/301 (дата обращения: 29.10.2026).</w:t>
      </w:r>
    </w:p>
    <w:p>
      <w:pPr>
        <w:pStyle w:val="FootnoteText"/>
        <w:widowControl w:val="false"/>
      </w:pPr>
      <w:r>
        <w:t xml:space="preserve">DataBudget. Открытое представление паспортов «Электронного бюджета». Федеральный проект "Создание номерного фонда, инфраструктуры и новых точек притяжения". Версия 26.28. Метка обновления 16.10.2026. Вторичное представление официального паспорта. Цели относятся к выбранной редакции. Метка обновления страницы не равна дате утверждения паспорта. Режим доступа: https://databudget.ru/projects/fp/308 (дата обращения: 29.10.2026).</w:t>
      </w:r>
    </w:p>
    <w:p>
      <w:pPr>
        <w:pStyle w:val="FootnoteText"/>
        <w:widowControl w:val="false"/>
      </w:pPr>
      <w:r>
        <w:t xml:space="preserve">DataBudget. Открытое представление паспортов «Электронного бюджета». Федеральный проект "Производство отечественной продукции для туристской индустрии". Версия 26.5. Метка обновления 16.10.2026. Вторичное представление официального паспорта. Цели относятся к выбранной редакции. Метка обновления страницы не равна дате утверждения паспорта. Режим доступа: https://databudget.ru/projects/fp/310 (дата обращения: 29.10.2026).</w:t>
      </w:r>
    </w:p>
  </w:footnote>
  <w:footnote w:id="52">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туристических поездок по территории Российской Федерации. Показатель 62900. Данные получены 15.10.2026. Первичная статистическая таблица: 21 месячная накопительная отметка за 2025–2026 годы, Российская Федерация и 85 территорий. Единица – млн поездок. Региональный итог декабря 2025 года равен общероссийскому: 92,0428 млн. Дата получения данных не является датой официальной публикации каждого значения. Режим доступа: https://www.fedstat.ru/indicator/62900 (дата обращения: 29.10.2026).</w:t>
      </w:r>
    </w:p>
    <w:p>
      <w:pPr>
        <w:pStyle w:val="FootnoteText"/>
        <w:widowControl w:val="false"/>
      </w:pPr>
      <w:r>
        <w:t xml:space="preserve">DataBudget. Открытое представление паспортов «Электронного бюджета». Паспорт национального проекта «Туризм и гостеприимство». Версия 26.23. Метка обновления 16.10.2026. Вторичное представление официального паспорта. Дата обновления страницы не устанавливает дату утверждения редакции. Цели 2025 года рассматриваются ретроспективно по выбранной редакции. Режим доступа: https://databudget.ru/projects/np/26 (дата обращения: 29.10.2026).</w:t>
      </w:r>
    </w:p>
  </w:footnote>
  <w:footnote w:id="53">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номеров в классифицированных средствах размещения. Показатель 62159. Данные получены 15.10.2026. Первичная статистическая таблица. Единица – тыс. номеров. Использованы декабрь 2025 года и январь–сентябрь 2026 года. Дата получения данных не равна дате официальной публикации отдельных наблюдений. Режим доступа: https://www.fedstat.ru/indicator/62159 (дата обращения: 29.10.2026).</w:t>
      </w:r>
    </w:p>
    <w:p>
      <w:pPr>
        <w:pStyle w:val="FootnoteText"/>
        <w:widowControl w:val="false"/>
      </w:pPr>
      <w:r>
        <w:t xml:space="preserve">DataBudget. Открытое представление паспортов «Электронного бюджета». Федеральный проект "Создание номерного фонда, инфраструктуры и новых точек притяжения". Версия 26.28. Метка обновления 16.10.2026. Вторичное представление официального паспорта. Цели относятся к выбранной редакции. Метка обновления страницы не равна дате утверждения паспорта. Режим доступа: https://databudget.ru/projects/fp/308 (дата обращения: 29.10.2026).</w:t>
      </w:r>
    </w:p>
  </w:footnote>
  <w:footnote w:id="54">
    <w:p>
      <w:pPr>
        <w:pStyle w:val="FootnoteText"/>
        <w:widowControl w:val="false"/>
      </w:pPr>
      <w:r>
        <w:rPr>
          <w:rStyle w:val="FootnoteReference"/>
        </w:rPr>
        <w:footnoteRef/>
      </w:r>
      <w:r>
        <w:t xml:space="preserve"> Федеральная служба государственной статистики. Доля туризма в мировой экономике составила 9,8% в 2025 году. Сентябрь 2026. Официальное сообщение Росстата. Точный день публикации не установлен. Подтверждает долю туризма в экономике России 3,1% за 2025 год и общероссийские итоги размещений и ночёвок. Режим доступа: https://www.rosstat.gov.ru/folder/313/document/291160?print=1 (дата обращения: 29.10.2026).</w:t>
      </w:r>
    </w:p>
    <w:p>
      <w:pPr>
        <w:pStyle w:val="FootnoteText"/>
        <w:widowControl w:val="false"/>
      </w:pPr>
      <w:r>
        <w:t xml:space="preserve">Министерство экономического развития Российской Федерации. Приказ от 30.09.2025 №647 «Об утверждении методик расчёта показателей национального проекта “Туризм и гостеприимство”». 30.09.2025; доступная редакция 30.09.2026. Полный нормативный текст. Приложение 3: годовая доля ВДС, первая оценка равна плану. Приложение 4: квартальный накопительный экспорт, месячный физический прокси, последовательность уточнений и компоненты Банка России. Редакции не распространяются на прошлые периоды без отдельного основания. Режим доступа: https://sudact.ru/law/prikaz-minekonomrazvitiia-rossii-ot-30092025-n-647/ (дата обращения: 29.10.2026).</w:t>
      </w:r>
    </w:p>
    <w:p>
      <w:pPr>
        <w:pStyle w:val="FootnoteText"/>
        <w:widowControl w:val="false"/>
      </w:pPr>
      <w:r>
        <w:t xml:space="preserve">Единая межведомственная информационно-статистическая система (ЕМИСС). Доля туристской отрасли в валовом внутреннем продукте. Показатель 62903. Данные получены 15.10.2026. Первичная статистическая таблица. Январь–ноябрь 2025 года – 2,9%, декабрь – 3,0%. Январская ячейка 2026 года содержит ноль. По методике показатель годовой, поэтому эти колонки не образуют самостоятельного месячного ряда. Дата получения данных не равна дате официальной публикации отдельных наблюдений. Режим доступа: https://www.fedstat.ru/indicator/62903 (дата обращения: 29.10.2026).</w:t>
      </w:r>
    </w:p>
  </w:footnote>
  <w:footnote w:id="55">
    <w:p>
      <w:pPr>
        <w:pStyle w:val="FootnoteText"/>
        <w:widowControl w:val="false"/>
      </w:pPr>
      <w:r>
        <w:rPr>
          <w:rStyle w:val="FootnoteReference"/>
        </w:rPr>
        <w:footnoteRef/>
      </w:r>
      <w:r>
        <w:t xml:space="preserve"> Единая межведомственная информационно-статистическая система (ЕМИСС). Объём экспорта туристских услуг. Показатель 62902. Данные получены 15.10.2026. Первичная статистическая таблица. Единица – млрд долларов США. Периодичность определяется методикой №647. Число месячных колонок её не устанавливает. Стадия уточнения декабрьской оценки не установлена. Дата получения данных не равна дате официальной публикации отдельных наблюдений. Режим доступа: https://www.fedstat.ru/indicator/62902 (дата обращения: 29.10.2026).</w:t>
      </w:r>
    </w:p>
    <w:p>
      <w:pPr>
        <w:pStyle w:val="FootnoteText"/>
        <w:widowControl w:val="false"/>
      </w:pPr>
      <w:r>
        <w:t xml:space="preserve">Единая межведомственная информационно-статистическая система (ЕМИСС). Численность иностранных граждан, размещённых в средствах размещения. Показатель 63347. Данные получены 15.10.2026. Первичная статистическая таблица. Единица – млн человек. Используется также как предусмотренный методикой месячный физический прокси экспорта. Денежным экспортом не является. Стадия уточнения декабрьской оценки 2025 года не установлена. Дата получения данных не равна дате официальной публикации отдельных наблюдений. Режим доступа: https://www.fedstat.ru/indicator/63347 (дата обращения: 29.10.2026).</w:t>
      </w:r>
    </w:p>
    <w:p>
      <w:pPr>
        <w:pStyle w:val="FootnoteText"/>
        <w:widowControl w:val="false"/>
      </w:pPr>
      <w:r>
        <w:t xml:space="preserve">Министерство экономического развития Российской Федерации. Приказ от 30.09.2025 №647 «Об утверждении методик расчёта показателей национального проекта “Туризм и гостеприимство”». 30.09.2025; доступная редакция 30.09.2026. Полный нормативный текст. Приложение 3: годовая доля ВДС, первая оценка равна плану. Приложение 4: квартальный накопительный экспорт, месячный физический прокси, последовательность уточнений и компоненты Банка России. Редакции не распространяются на прошлые периоды без отдельного основания. Режим доступа: https://sudact.ru/law/prikaz-minekonomrazvitiia-rossii-ot-30092025-n-647/ (дата обращения: 29.10.2026).</w:t>
      </w:r>
    </w:p>
  </w:footnote>
  <w:footnote w:id="56">
    <w:p>
      <w:pPr>
        <w:pStyle w:val="FootnoteText"/>
        <w:widowControl w:val="false"/>
      </w:pPr>
      <w:r>
        <w:rPr>
          <w:rStyle w:val="FootnoteReference"/>
        </w:rPr>
        <w:footnoteRef/>
      </w:r>
      <w:r>
        <w:t xml:space="preserve"> Единая межведомственная информационно-статистическая система (ЕМИСС). Численность иностранных граждан, размещённых в средствах размещения. Показатель 63347. Данные получены 15.10.2026. Первичная статистическая таблица. Единица – млн человек. Используется также как предусмотренный методикой месячный физический прокси экспорта. Денежным экспортом не является. Стадия уточнения декабрьской оценки 2025 года не установлена. Дата получения данных не равна дате официальной публикации отдельных наблюдений. Режим доступа: https://www.fedstat.ru/indicator/63347 (дата обращения: 29.10.2026).</w:t>
      </w:r>
    </w:p>
    <w:p>
      <w:pPr>
        <w:pStyle w:val="FootnoteText"/>
        <w:widowControl w:val="false"/>
      </w:pPr>
      <w:r>
        <w:t xml:space="preserve">Единая межведомственная информационно-статистическая система (ЕМИСС). Доля отечественной продукции для туристской индустрии. Показатель 62780. Данные получены 15.10.2026. Первичная статистическая таблица. Значение с сентября 2025 года по сентябрь 2026 года – 30,3%. Предшествующие нули не доказывают отсутствия отечественного производства. Дата получения данных не равна дате официальной публикации отдельных наблюдений. Режим доступа: https://www.fedstat.ru/indicator/62780 (дата обращения: 29.10.2026).</w:t>
      </w:r>
    </w:p>
    <w:p>
      <w:pPr>
        <w:pStyle w:val="FootnoteText"/>
        <w:widowControl w:val="false"/>
      </w:pPr>
      <w:r>
        <w:t xml:space="preserve">DataBudget. Открытое представление паспортов «Электронного бюджета». Федеральный проект "Туристическая привлекательность страны". Версия 26.20. Метка обновления 16.10.2026. Вторичное представление официального паспорта. Цели относятся к выбранной редакции. Метка обновления страницы не равна дате утверждения паспорта. Режим доступа: https://databudget.ru/projects/fp/301 (дата обращения: 29.10.2026).</w:t>
      </w:r>
    </w:p>
    <w:p>
      <w:pPr>
        <w:pStyle w:val="FootnoteText"/>
        <w:widowControl w:val="false"/>
      </w:pPr>
      <w:r>
        <w:t xml:space="preserve">DataBudget. Открытое представление паспортов «Электронного бюджета». Федеральный проект "Производство отечественной продукции для туристской индустрии". Версия 26.5. Метка обновления 16.10.2026. Вторичное представление официального паспорта. Цели относятся к выбранной редакции. Метка обновления страницы не равна дате утверждения паспорта. Режим доступа: https://databudget.ru/projects/fp/310 (дата обращения: 29.10.2026).</w:t>
      </w:r>
    </w:p>
  </w:footnote>
  <w:footnote w:id="57">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туристических поездок по территории Российской Федерации. Показатель 62900. Данные получены 15.10.2026. Первичная статистическая таблица: 21 месячная накопительная отметка за 2025–2026 годы, Российская Федерация и 85 территорий. Единица – млн поездок. Региональный итог декабря 2025 года равен общероссийскому: 92,0428 млн. Дата получения данных не является датой официальной публикации каждого значения. Режим доступа: https://www.fedstat.ru/indicator/62900 (дата обращения: 29.10.2026).</w:t>
      </w:r>
    </w:p>
    <w:p>
      <w:pPr>
        <w:pStyle w:val="FootnoteText"/>
        <w:widowControl w:val="false"/>
      </w:pPr>
      <w:r>
        <w:t xml:space="preserve">DataBudget. Открытое представление паспортов «Электронного бюджета». Паспорт национального проекта «Туризм и гостеприимство». Версия 26.23. Метка обновления 16.10.2026. Вторичное представление официального паспорта. Дата обновления страницы не устанавливает дату утверждения редакции. Цели 2025 года рассматриваются ретроспективно по выбранной редакции. Режим доступа: https://databudget.ru/projects/np/26 (дата обращения: 29.10.2026).</w:t>
      </w:r>
    </w:p>
    <w:p>
      <w:pPr>
        <w:pStyle w:val="FootnoteText"/>
        <w:widowControl w:val="false"/>
      </w:pPr>
      <w:r>
        <w:t xml:space="preserve">Федеральная служба государственной статистики. Доля туризма в мировой экономике составила 9,8% в 2025 году. Сентябрь 2026. Официальное сообщение Росстата. Точный день публикации не установлен. Подтверждает долю туризма в экономике России 3,1% за 2025 год и общероссийские итоги размещений и ночёвок. Режим доступа: https://www.rosstat.gov.ru/folder/313/document/291160?print=1 (дата обращения: 29.10.2026).</w:t>
      </w:r>
    </w:p>
    <w:p>
      <w:pPr>
        <w:pStyle w:val="FootnoteText"/>
        <w:widowControl w:val="false"/>
      </w:pPr>
      <w:r>
        <w:t xml:space="preserve">Единая межведомственная информационно-статистическая система (ЕМИСС). Количество номеров в классифицированных средствах размещения. Показатель 62159. Данные получены 15.10.2026. Первичная статистическая таблица. Единица – тыс. номеров. Использованы декабрь 2025 года и январь–сентябрь 2026 года. Дата получения данных не равна дате официальной публикации отдельных наблюдений. Режим доступа: https://www.fedstat.ru/indicator/62159 (дата обращения: 29.10.2026).</w:t>
      </w:r>
    </w:p>
    <w:p>
      <w:pPr>
        <w:pStyle w:val="FootnoteText"/>
        <w:widowControl w:val="false"/>
      </w:pPr>
      <w:r>
        <w:t xml:space="preserve">Единая межведомственная информационно-статистическая система (ЕМИСС). Объём экспорта туристских услуг. Показатель 62902. Данные получены 15.10.2026. Первичная статистическая таблица. Единица – млрд долларов США. Периодичность определяется методикой №647. Число месячных колонок её не устанавливает. Стадия уточнения декабрьской оценки не установлена. Дата получения данных не равна дате официальной публикации отдельных наблюдений. Режим доступа: https://www.fedstat.ru/indicator/62902 (дата обращения: 29.10.2026).</w:t>
      </w:r>
    </w:p>
    <w:p>
      <w:pPr>
        <w:pStyle w:val="FootnoteText"/>
        <w:widowControl w:val="false"/>
      </w:pPr>
      <w:r>
        <w:t xml:space="preserve">Единая межведомственная информационно-статистическая система (ЕМИСС). Численность иностранных граждан, размещённых в средствах размещения. Показатель 63347. Данные получены 15.10.2026. Первичная статистическая таблица. Единица – млн человек. Используется также как предусмотренный методикой месячный физический прокси экспорта. Денежным экспортом не является. Стадия уточнения декабрьской оценки 2025 года не установлена. Дата получения данных не равна дате официальной публикации отдельных наблюдений. Режим доступа: https://www.fedstat.ru/indicator/63347 (дата обращения: 29.10.2026).</w:t>
      </w:r>
    </w:p>
    <w:p>
      <w:pPr>
        <w:pStyle w:val="FootnoteText"/>
        <w:widowControl w:val="false"/>
      </w:pPr>
      <w:r>
        <w:t xml:space="preserve">Министерство экономического развития Российской Федерации. Приказ от 30.09.2025 №647 «Об утверждении методик расчёта показателей национального проекта “Туризм и гостеприимство”». 30.09.2025; доступная редакция 30.09.2026. Полный нормативный текст. Приложение 3: годовая доля ВДС, первая оценка равна плану. Приложение 4: квартальный накопительный экспорт, месячный физический прокси, последовательность уточнений и компоненты Банка России. Редакции не распространяются на прошлые периоды без отдельного основания. Режим доступа: https://sudact.ru/law/prikaz-minekonomrazvitiia-rossii-ot-30092025-n-647/ (дата обращения: 29.10.2026).</w:t>
      </w:r>
    </w:p>
    <w:p>
      <w:pPr>
        <w:pStyle w:val="FootnoteText"/>
        <w:widowControl w:val="false"/>
      </w:pPr>
      <w:r>
        <w:t xml:space="preserve">Единая межведомственная информационно-статистическая система (ЕМИСС). Доля отечественной продукции для туристской индустрии. Показатель 62780. Данные получены 15.10.2026. Первичная статистическая таблица. Значение с сентября 2025 года по сентябрь 2026 года – 30,3%. Предшествующие нули не доказывают отсутствия отечественного производства. Дата получения данных не равна дате официальной публикации отдельных наблюдений. Режим доступа: https://www.fedstat.ru/indicator/62780 (дата обращения: 29.10.2026).</w:t>
      </w:r>
    </w:p>
    <w:p>
      <w:pPr>
        <w:pStyle w:val="FootnoteText"/>
        <w:widowControl w:val="false"/>
      </w:pPr>
      <w:r>
        <w:t xml:space="preserve">DataBudget. Открытое представление паспортов «Электронного бюджета». Федеральный проект "Туристическая привлекательность страны". Версия 26.20. Метка обновления 16.10.2026. Вторичное представление официального паспорта. Цели относятся к выбранной редакции. Метка обновления страницы не равна дате утверждения паспорта. Режим доступа: https://databudget.ru/projects/fp/301 (дата обращения: 29.10.2026).</w:t>
      </w:r>
    </w:p>
    <w:p>
      <w:pPr>
        <w:pStyle w:val="FootnoteText"/>
        <w:widowControl w:val="false"/>
      </w:pPr>
      <w:r>
        <w:t xml:space="preserve">DataBudget. Открытое представление паспортов «Электронного бюджета». Федеральный проект "Создание номерного фонда, инфраструктуры и новых точек притяжения". Версия 26.28. Метка обновления 16.10.2026. Вторичное представление официального паспорта. Цели относятся к выбранной редакции. Метка обновления страницы не равна дате утверждения паспорта. Режим доступа: https://databudget.ru/projects/fp/308 (дата обращения: 29.10.2026).</w:t>
      </w:r>
    </w:p>
    <w:p>
      <w:pPr>
        <w:pStyle w:val="FootnoteText"/>
        <w:widowControl w:val="false"/>
      </w:pPr>
      <w:r>
        <w:t xml:space="preserve">DataBudget. Открытое представление паспортов «Электронного бюджета». Федеральный проект "Производство отечественной продукции для туристской индустрии". Версия 26.5. Метка обновления 16.10.2026. Вторичное представление официального паспорта. Цели относятся к выбранной редакции. Метка обновления страницы не равна дате утверждения паспорта. Режим доступа: https://databudget.ru/projects/fp/310 (дата обращения: 29.10.2026).</w:t>
      </w:r>
    </w:p>
  </w:footnote>
  <w:footnote w:id="58">
    <w:p>
      <w:pPr>
        <w:pStyle w:val="FootnoteText"/>
        <w:widowControl w:val="false"/>
      </w:pPr>
      <w:r>
        <w:rPr>
          <w:rStyle w:val="FootnoteReference"/>
        </w:rPr>
        <w:footnoteRef/>
      </w:r>
      <w:r>
        <w:t xml:space="preserve"> DataBudget. Открытое представление паспортов «Электронного бюджета». Федеральный проект "Туристическая привлекательность страны". Версия 26.20. Метка обновления 16.10.2026. Вторичное представление официального паспорта. Цели относятся к выбранной редакции. Метка обновления страницы не равна дате утверждения паспорта. Режим доступа: https://databudget.ru/projects/fp/301 (дата обращения: 29.10.2026).</w:t>
      </w:r>
    </w:p>
    <w:p>
      <w:pPr>
        <w:pStyle w:val="FootnoteText"/>
        <w:widowControl w:val="false"/>
      </w:pPr>
      <w:r>
        <w:t xml:space="preserve">DataBudget. Открытое представление паспортов «Электронного бюджета». Федеральный проект "Кадры для туризма". Версия 26.14. Метка обновления 16.10.2026. Вторичное представление официального паспорта. Цели относятся к выбранной редакции. Метка обновления страницы не равна дате утверждения паспорта. Режим доступа: https://databudget.ru/projects/fp/309 (дата обращения: 29.10.2026).</w:t>
      </w:r>
    </w:p>
    <w:p>
      <w:pPr>
        <w:pStyle w:val="FootnoteText"/>
        <w:widowControl w:val="false"/>
      </w:pPr>
      <w:r>
        <w:t xml:space="preserve">DataBudget. Открытое представление паспортов «Электронного бюджета». Федеральный проект "Пять морей и озеро Байкал". Версия 26.20. Метка обновления 16.10.2026. Вторичное представление официального паспорта. Цели относятся к выбранной редакции. Метка обновления страницы не равна дате утверждения паспорта. Режим доступа: https://databudget.ru/projects/fp/303 (дата обращения: 29.10.2026).</w:t>
      </w:r>
    </w:p>
    <w:p>
      <w:pPr>
        <w:pStyle w:val="FootnoteText"/>
        <w:widowControl w:val="false"/>
      </w:pPr>
      <w:r>
        <w:t xml:space="preserve">Министерство экономического развития Российской Федерации; Федеральная служба государственной статистики. Методики расчёта показателей федерального проекта «Кадры для туризма»: приказ от 03.08.2026 №550, приложение 2. 03.08.2026. Официальный указатель методики дополнительного паспортного показателя численности подготовленных специалистов. Пункт 7 методики допускает использование планового значения при отсутствии сведений. Режим доступа: https://rosstat.gov.ru/storage/mediabank/FP1004_N.htm (дата обращения: 29.10.2026).</w:t>
      </w:r>
    </w:p>
  </w:footnote>
  <w:footnote w:id="59">
    <w:p>
      <w:pPr>
        <w:pStyle w:val="FootnoteText"/>
        <w:widowControl w:val="false"/>
      </w:pPr>
      <w:r>
        <w:rPr>
          <w:rStyle w:val="FootnoteReference"/>
        </w:rPr>
        <w:footnoteRef/>
      </w:r>
      <w:r>
        <w:t xml:space="preserve"> DataBudget. Открытое представление паспортов «Электронного бюджета». Федеральный проект "Туристическая привлекательность страны". Версия 26.20. Метка обновления 16.10.2026. Вторичное представление официального паспорта. Цели относятся к выбранной редакции. Метка обновления страницы не равна дате утверждения паспорта. Режим доступа: https://databudget.ru/projects/fp/301 (дата обращения: 29.10.2026).</w:t>
      </w:r>
    </w:p>
    <w:p>
      <w:pPr>
        <w:pStyle w:val="FootnoteText"/>
        <w:widowControl w:val="false"/>
      </w:pPr>
      <w:r>
        <w:t xml:space="preserve">DataBudget. Открытое представление паспортов «Электронного бюджета». Федеральный проект "Кадры для туризма". Версия 26.14. Метка обновления 16.10.2026. Вторичное представление официального паспорта. Цели относятся к выбранной редакции. Метка обновления страницы не равна дате утверждения паспорта. Режим доступа: https://databudget.ru/projects/fp/309 (дата обращения: 29.10.2026).</w:t>
      </w:r>
    </w:p>
    <w:p>
      <w:pPr>
        <w:pStyle w:val="FootnoteText"/>
        <w:widowControl w:val="false"/>
      </w:pPr>
      <w:r>
        <w:t xml:space="preserve">DataBudget. Открытое представление паспортов «Электронного бюджета». Федеральный проект "Пять морей и озеро Байкал". Версия 26.20. Метка обновления 16.10.2026. Вторичное представление официального паспорта. Цели относятся к выбранной редакции. Метка обновления страницы не равна дате утверждения паспорта. Режим доступа: https://databudget.ru/projects/fp/303 (дата обращения: 29.10.2026).</w:t>
      </w:r>
    </w:p>
    <w:p>
      <w:pPr>
        <w:pStyle w:val="FootnoteText"/>
        <w:widowControl w:val="false"/>
      </w:pPr>
      <w:r>
        <w:t xml:space="preserve">Министерство экономического развития Российской Федерации; Федеральная служба государственной статистики. Методики расчёта показателей федерального проекта «Кадры для туризма»: приказ от 03.08.2026 №550, приложение 2. 03.08.2026. Официальный указатель методики дополнительного паспортного показателя численности подготовленных специалистов. Пункт 7 методики допускает использование планового значения при отсутствии сведений. Режим доступа: https://rosstat.gov.ru/storage/mediabank/FP1004_N.htm (дата обращения: 29.10.2026).</w:t>
      </w:r>
    </w:p>
  </w:footnote>
  <w:footnote w:id="60">
    <w:p>
      <w:pPr>
        <w:pStyle w:val="FootnoteText"/>
        <w:widowControl w:val="false"/>
      </w:pPr>
      <w:r>
        <w:rPr>
          <w:rStyle w:val="FootnoteReference"/>
        </w:rPr>
        <w:footnoteRef/>
      </w:r>
      <w:r>
        <w:t xml:space="preserve"> Министерство транспорта Российской Федерации. Дмитрий Чернышенко: Внутренний туризм в России вырос на 4,3%, въездной – на 20,1%. 05.08.2026. Официальное сообщение по данным Росстата за январь–июнь 2026 года: 43,2 млн поездок, рост 4,3%. Въездные поездки – свыше 2,5 млн, рост 20,1%. Причинные заявления выступающих не рассматриваются как независимая оценка эффекта национального проекта. Режим доступа: https://mintrans.gov.ru/eye/press-center/branch-news/9327 (дата обращения: 29.10.2026).</w:t>
      </w:r>
    </w:p>
  </w:footnote>
  <w:footnote w:id="61">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туристических поездок по территории Российской Федерации. Показатель 62900. Данные получены 15.10.2026. Первичная статистическая таблица: 21 месячная накопительная отметка за 2025–2026 годы, Российская Федерация и 85 территорий. Единица – млн поездок. Региональный итог декабря 2025 года равен общероссийскому: 92,0428 млн. Дата получения данных не является датой официальной публикации каждого значения. Режим доступа: https://www.fedstat.ru/indicator/62900 (дата обращения: 29.10.2026).</w:t>
      </w:r>
    </w:p>
    <w:p>
      <w:pPr>
        <w:pStyle w:val="FootnoteText"/>
        <w:widowControl w:val="false"/>
      </w:pPr>
      <w:r>
        <w:t xml:space="preserve">Министерство транспорта Российской Федерации. Дмитрий Чернышенко: Внутренний туризм в России вырос на 4,3%, въездной – на 20,1%. 05.08.2026. Официальное сообщение по данным Росстата за январь–июнь 2026 года: 43,2 млн поездок, рост 4,3%. Въездные поездки – свыше 2,5 млн, рост 20,1%. Причинные заявления выступающих не рассматриваются как независимая оценка эффекта национального проекта. Режим доступа: https://mintrans.gov.ru/eye/press-center/branch-news/9327 (дата обращения: 29.10.2026).</w:t>
      </w:r>
    </w:p>
    <w:p>
      <w:pPr>
        <w:pStyle w:val="FootnoteText"/>
        <w:widowControl w:val="false"/>
      </w:pPr>
      <w:r>
        <w:t xml:space="preserve">Министерство экономического развития Российской Федерации. Приказ от 30.09.2026 №684 об утверждении методики расчёта показателя «Количество туристических поездок по территории Российской Федерации». 30.09.2026. Полный нормативный текст. Накопительный показатель, первая и уточнённая оценки, гостевые дома и круизные суда. Отдельное основание для автоматического распространения новой методики на ранние значения 2026 года не установлено. Режим доступа: https://legalacts.ru/doc/prikaz-minekonomrazvitija-rossii-ot-30092026-n-684-ob-utverzhdenii/ (дата обращения: 29.10.2026).</w:t>
      </w:r>
    </w:p>
  </w:footnote>
  <w:footnote w:id="62">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туристических поездок по территории Российской Федерации. Показатель 62900. Данные получены 15.10.2026. Первичная статистическая таблица: 21 месячная накопительная отметка за 2025–2026 годы, Российская Федерация и 85 территорий. Единица – млн поездок. Региональный итог декабря 2025 года равен общероссийскому: 92,0428 млн. Дата получения данных не является датой официальной публикации каждого значения. Режим доступа: https://www.fedstat.ru/indicator/62900 (дата обращения: 29.10.2026).</w:t>
      </w:r>
    </w:p>
  </w:footnote>
  <w:footnote w:id="63">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туристических поездок по территории Российской Федерации. Показатель 62900. Данные получены 15.10.2026. Первичная статистическая таблица: 21 месячная накопительная отметка за 2025–2026 годы, Российская Федерация и 85 территорий. Единица – млн поездок. Региональный итог декабря 2025 года равен общероссийскому: 92,0428 млн. Дата получения данных не является датой официальной публикации каждого значения. Режим доступа: https://www.fedstat.ru/indicator/62900 (дата обращения: 29.10.2026).</w:t>
      </w:r>
    </w:p>
    <w:p>
      <w:pPr>
        <w:pStyle w:val="FootnoteText"/>
        <w:widowControl w:val="false"/>
      </w:pPr>
      <w:r>
        <w:t xml:space="preserve">Федеральная служба государственной статистики. Доля туризма в мировой экономике составила 9,8% в 2025 году. Сентябрь 2026. Официальное сообщение Росстата. Точный день публикации не установлен. Подтверждает долю туризма в экономике России 3,1% за 2025 год и общероссийские итоги размещений и ночёвок. Режим доступа: https://www.rosstat.gov.ru/folder/313/document/291160?print=1 (дата обращения: 29.10.2026).</w:t>
      </w:r>
    </w:p>
    <w:p>
      <w:pPr>
        <w:pStyle w:val="FootnoteText"/>
        <w:widowControl w:val="false"/>
      </w:pPr>
      <w:r>
        <w:t xml:space="preserve">Единая межведомственная информационно-статистическая система (ЕМИСС). Объём экспорта туристских услуг. Показатель 62902. Данные получены 15.10.2026. Первичная статистическая таблица. Единица – млрд долларов США. Периодичность определяется методикой №647. Число месячных колонок её не устанавливает. Стадия уточнения декабрьской оценки не установлена. Дата получения данных не равна дате официальной публикации отдельных наблюдений. Режим доступа: https://www.fedstat.ru/indicator/62902 (дата обращения: 29.10.2026).</w:t>
      </w:r>
    </w:p>
    <w:p>
      <w:pPr>
        <w:pStyle w:val="FootnoteText"/>
        <w:widowControl w:val="false"/>
      </w:pPr>
      <w:r>
        <w:t xml:space="preserve">Министерство экономического развития Российской Федерации. Приказ от 30.09.2025 №647 «Об утверждении методик расчёта показателей национального проекта “Туризм и гостеприимство”». 30.09.2025; доступная редакция 30.09.2026. Полный нормативный текст. Приложение 3: годовая доля ВДС, первая оценка равна плану. Приложение 4: квартальный накопительный экспорт, месячный физический прокси, последовательность уточнений и компоненты Банка России. Редакции не распространяются на прошлые периоды без отдельного основания. Режим доступа: https://sudact.ru/law/prikaz-minekonomrazvitiia-rossii-ot-30092025-n-647/ (дата обращения: 29.10.2026).</w:t>
      </w:r>
    </w:p>
    <w:p>
      <w:pPr>
        <w:pStyle w:val="FootnoteText"/>
        <w:widowControl w:val="false"/>
      </w:pPr>
      <w:r>
        <w:t xml:space="preserve">Министерство транспорта Российской Федерации. Дмитрий Чернышенко: Внутренний туризм в России вырос на 4,3%, въездной – на 20,1%. 05.08.2026. Официальное сообщение по данным Росстата за январь–июнь 2026 года: 43,2 млн поездок, рост 4,3%. Въездные поездки – свыше 2,5 млн, рост 20,1%. Причинные заявления выступающих не рассматриваются как независимая оценка эффекта национального проекта. Режим доступа: https://mintrans.gov.ru/eye/press-center/branch-news/9327 (дата обращения: 29.10.2026).</w:t>
      </w:r>
    </w:p>
    <w:p>
      <w:pPr>
        <w:pStyle w:val="FootnoteText"/>
        <w:widowControl w:val="false"/>
      </w:pPr>
      <w:r>
        <w:t xml:space="preserve">Единая межведомственная информационно-статистическая система (ЕМИСС). Доля туристской отрасли в валовом внутреннем продукте. Показатель 62903. Данные получены 15.10.2026. Первичная статистическая таблица. Январь–ноябрь 2025 года – 2,9%, декабрь – 3,0%. Январская ячейка 2026 года содержит ноль. По методике показатель годовой, поэтому эти колонки не образуют самостоятельного месячного ряда. Дата получения данных не равна дате официальной публикации отдельных наблюдений. Режим доступа: https://www.fedstat.ru/indicator/62903 (дата обращения: 29.10.2026).</w:t>
      </w:r>
    </w:p>
  </w:footnote>
  <w:footnote w:id="64">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номеров в классифицированных средствах размещения. Показатель 62159. Данные получены 15.10.2026. Первичная статистическая таблица. Единица – тыс. номеров. Использованы декабрь 2025 года и январь–сентябрь 2026 года. Дата получения данных не равна дате официальной публикации отдельных наблюдений. Режим доступа: https://www.fedstat.ru/indicator/62159 (дата обращения: 29.10.2026).</w:t>
      </w:r>
    </w:p>
    <w:p>
      <w:pPr>
        <w:pStyle w:val="FootnoteText"/>
        <w:widowControl w:val="false"/>
      </w:pPr>
      <w:r>
        <w:t xml:space="preserve">Министерство экономического развития Российской Федерации. Приказ от 09.02.2026 №87 об утверждении методики расчёта показателя «Количество номеров в классифицированных средствах размещения». 09.02.2026. Полный нормативный текст. Показатель на конец месяца, годовое значение соответствует декабрю. Методика действует с 01.01.2026 по 31.12.2027. Режим доступа: https://bazanpa.ru/minekonomrazvitiia-rossii-prikaz-n87-ot09022026-h7014255/ (дата обращения: 29.10.2026).</w:t>
      </w:r>
    </w:p>
  </w:footnote>
  <w:footnote w:id="65">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номеров в классифицированных средствах размещения. Показатель 62159. Данные получены 15.10.2026. Первичная статистическая таблица. Единица – тыс. номеров. Использованы декабрь 2025 года и январь–сентябрь 2026 года. Дата получения данных не равна дате официальной публикации отдельных наблюдений. Режим доступа: https://www.fedstat.ru/indicator/62159 (дата обращения: 29.10.2026).</w:t>
      </w:r>
    </w:p>
    <w:p>
      <w:pPr>
        <w:pStyle w:val="FootnoteText"/>
        <w:widowControl w:val="false"/>
      </w:pPr>
      <w:r>
        <w:t xml:space="preserve">Министерство экономического развития Российской Федерации. Приказ от 09.02.2026 №87 об утверждении методики расчёта показателя «Количество номеров в классифицированных средствах размещения». 09.02.2026. Полный нормативный текст. Показатель на конец месяца, годовое значение соответствует декабрю. Методика действует с 01.01.2026 по 31.12.2027. Режим доступа: https://bazanpa.ru/minekonomrazvitiia-rossii-prikaz-n87-ot09022026-h7014255/ (дата обращения: 29.10.2026).</w:t>
      </w:r>
    </w:p>
  </w:footnote>
  <w:footnote w:id="66">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туристических поездок по территории Российской Федерации. Показатель 62900. Данные получены 15.10.2026. Первичная статистическая таблица: 21 месячная накопительная отметка за 2025–2026 годы, Российская Федерация и 85 территорий. Единица – млн поездок. Региональный итог декабря 2025 года равен общероссийскому: 92,0428 млн. Дата получения данных не является датой официальной публикации каждого значения. Режим доступа: https://www.fedstat.ru/indicator/62900 (дата обращения: 29.10.2026).</w:t>
      </w:r>
    </w:p>
  </w:footnote>
  <w:footnote w:id="67">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туристических поездок по территории Российской Федерации. Показатель 62900. Данные получены 15.10.2026. Первичная статистическая таблица: 21 месячная накопительная отметка за 2025–2026 годы, Российская Федерация и 85 территорий. Единица – млн поездок. Региональный итог декабря 2025 года равен общероссийскому: 92,0428 млн. Дата получения данных не является датой официальной публикации каждого значения. Режим доступа: https://www.fedstat.ru/indicator/62900 (дата обращения: 29.10.2026).</w:t>
      </w:r>
    </w:p>
  </w:footnote>
  <w:footnote w:id="68">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туристических поездок по территории Российской Федерации. Показатель 62900. Данные получены 15.10.2026. Первичная статистическая таблица: 21 месячная накопительная отметка за 2025–2026 годы, Российская Федерация и 85 территорий. Единица – млн поездок. Региональный итог декабря 2025 года равен общероссийскому: 92,0428 млн. Дата получения данных не является датой официальной публикации каждого значения. Режим доступа: https://www.fedstat.ru/indicator/62900 (дата обращения: 29.10.2026).</w:t>
      </w:r>
    </w:p>
  </w:footnote>
  <w:footnote w:id="69">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туристических поездок по территории Российской Федерации. Показатель 62900. Данные получены 15.10.2026. Первичная статистическая таблица: 21 месячная накопительная отметка за 2025–2026 годы, Российская Федерация и 85 территорий. Единица – млн поездок. Региональный итог декабря 2025 года равен общероссийскому: 92,0428 млн. Дата получения данных не является датой официальной публикации каждого значения. Режим доступа: https://www.fedstat.ru/indicator/62900 (дата обращения: 29.10.2026).</w:t>
      </w:r>
    </w:p>
  </w:footnote>
  <w:footnote w:id="70">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туристических поездок по территории Российской Федерации. Показатель 62900. Данные получены 15.10.2026. Первичная статистическая таблица: 21 месячная накопительная отметка за 2025–2026 годы, Российская Федерация и 85 территорий. Единица – млн поездок. Региональный итог декабря 2025 года равен общероссийскому: 92,0428 млн. Дата получения данных не является датой официальной публикации каждого значения. Режим доступа: https://www.fedstat.ru/indicator/62900 (дата обращения: 29.10.2026).</w:t>
      </w:r>
    </w:p>
  </w:footnote>
  <w:footnote w:id="71">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туристических поездок по территории Российской Федерации. Показатель 62900. Данные получены 15.10.2026. Первичная статистическая таблица: 21 месячная накопительная отметка за 2025–2026 годы, Российская Федерация и 85 территорий. Единица – млн поездок. Региональный итог декабря 2025 года равен общероссийскому: 92,0428 млн. Дата получения данных не является датой официальной публикации каждого значения. Режим доступа: https://www.fedstat.ru/indicator/62900 (дата обращения: 29.10.2026).</w:t>
      </w:r>
    </w:p>
  </w:footnote>
  <w:footnote w:id="72">
    <w:p>
      <w:pPr>
        <w:pStyle w:val="FootnoteText"/>
        <w:widowControl w:val="false"/>
      </w:pPr>
      <w:r>
        <w:rPr>
          <w:rStyle w:val="FootnoteReference"/>
        </w:rPr>
        <w:footnoteRef/>
      </w:r>
      <w:r>
        <w:t xml:space="preserve"> Единая межведомственная информационно-статистическая система (ЕМИСС). Количество туристических поездок по территории Российской Федерации. Показатель 62900. Данные получены 15.10.2026. Первичная статистическая таблица: 21 месячная накопительная отметка за 2025–2026 годы, Российская Федерация и 85 территорий. Единица – млн поездок. Региональный итог декабря 2025 года равен общероссийскому: 92,0428 млн. Дата получения данных не является датой официальной публикации каждого значения. Режим доступа: https://www.fedstat.ru/indicator/62900 (дата обращения: 29.10.2026).</w:t>
      </w:r>
    </w:p>
    <w:p>
      <w:pPr>
        <w:pStyle w:val="FootnoteText"/>
        <w:widowControl w:val="false"/>
      </w:pPr>
      <w:r>
        <w:t xml:space="preserve">Министерство экономического развития Российской Федерации. Приказ от 30.09.2026 №684 об утверждении методики расчёта показателя «Количество туристических поездок по территории Российской Федерации». 30.09.2026. Полный нормативный текст. Накопительный показатель, первая и уточнённая оценки, гостевые дома и круизные суда. Отдельное основание для автоматического распространения новой методики на ранние значения 2026 года не установлено. Режим доступа: https://legalacts.ru/doc/prikaz-minekonomrazvitija-rossii-ot-30092026-n-684-ob-utverzhdenii/ (дата обращения: 29.10.2026).</w:t>
      </w:r>
    </w:p>
  </w:footnote>
  <w:footnote w:id="73">
    <w:p>
      <w:pPr>
        <w:pStyle w:val="FootnoteText"/>
        <w:widowControl w:val="false"/>
      </w:pPr>
      <w:r>
        <w:rPr>
          <w:rStyle w:val="FootnoteReference"/>
        </w:rPr>
        <w:footnoteRef/>
      </w:r>
      <w:r>
        <w:t xml:space="preserve"> Территориальный орган Федеральной службы государственной статистики по Амурской области. Основные показатели деятельности коллективных средств размещения (за исключением субъектов малого предпринимательства), месяцы 2025 года. 2025; актуальная опубликованная таблица проверена 29.10.2026. Режим доступа: https://28.rosstat.gov.ru/storage/mediabank/23_2_3.htm (дата обращения: 29.10.2026).</w:t>
      </w:r>
    </w:p>
  </w:footnote>
  <w:footnote w:id="74">
    <w:p>
      <w:pPr>
        <w:pStyle w:val="FootnoteText"/>
        <w:widowControl w:val="false"/>
      </w:pPr>
      <w:r>
        <w:rPr>
          <w:rStyle w:val="FootnoteReference"/>
        </w:rPr>
        <w:footnoteRef/>
      </w:r>
      <w:r>
        <w:t xml:space="preserve"> Территориальный орган Федеральной службы государственной статистики по Амурской области. Основные показатели деятельности коллективных средств размещения (за исключением субъектов малого предпринимательства), месяцы 2025 года. 2025; актуальная опубликованная таблица проверена 29.10.2026. Режим доступа: https://28.rosstat.gov.ru/storage/mediabank/23_2_3.htm (дата обращения: 29.10.2026).</w:t>
      </w:r>
    </w:p>
  </w:footnote>
  <w:footnote w:id="75">
    <w:p>
      <w:pPr>
        <w:pStyle w:val="FootnoteText"/>
        <w:widowControl w:val="false"/>
      </w:pPr>
      <w:r>
        <w:rPr>
          <w:rStyle w:val="FootnoteReference"/>
        </w:rPr>
        <w:footnoteRef/>
      </w:r>
      <w:r>
        <w:t xml:space="preserve"> Фонд «Общественное мнение». Внутренний туризм: где отдыхают и чего ждут россияне. 21.07.2026. Первичная публикация ФОМнибуса. Определения вопросов и знаменатели сохранены при интерпретации. Режим доступа: https://fom.ru/Obraz-zhizni/15361 (дата обращения: 29.10.2026).</w:t>
      </w:r>
    </w:p>
  </w:footnote>
  <w:footnote w:id="76">
    <w:p>
      <w:pPr>
        <w:pStyle w:val="FootnoteText"/>
        <w:widowControl w:val="false"/>
      </w:pPr>
      <w:r>
        <w:rPr>
          <w:rStyle w:val="FootnoteReference"/>
        </w:rPr>
        <w:footnoteRef/>
      </w:r>
      <w:r>
        <w:t xml:space="preserve"> Фонд «Общественное мнение». Внутренний туризм: где отдыхают и чего ждут россияне. 21.07.2026. Первичная публикация ФОМнибуса. Определения вопросов и знаменатели сохранены при интерпретации. Режим доступа: https://fom.ru/Obraz-zhizni/15361 (дата обращения: 29.10.2026).</w:t>
      </w:r>
    </w:p>
  </w:footnote>
  <w:footnote w:id="77">
    <w:p>
      <w:pPr>
        <w:pStyle w:val="FootnoteText"/>
        <w:widowControl w:val="false"/>
      </w:pPr>
      <w:r>
        <w:rPr>
          <w:rStyle w:val="FootnoteReference"/>
        </w:rPr>
        <w:footnoteRef/>
      </w:r>
      <w:r>
        <w:t xml:space="preserve"> Фонд «Общественное мнение». Внутренний туризм: где отдыхают и чего ждут россияне. 21.07.2026. Первичная публикация ФОМнибуса. Определения вопросов и знаменатели сохранены при интерпретации. Режим доступа: https://fom.ru/Obraz-zhizni/15361 (дата обращения: 29.10.2026).</w:t>
      </w:r>
    </w:p>
  </w:footnote>
  <w:footnote w:id="78">
    <w:p>
      <w:pPr>
        <w:pStyle w:val="FootnoteText"/>
        <w:widowControl w:val="false"/>
      </w:pPr>
      <w:r>
        <w:rPr>
          <w:rStyle w:val="FootnoteReference"/>
        </w:rPr>
        <w:footnoteRef/>
      </w:r>
      <w:r>
        <w:t xml:space="preserve"> Фонд «Общественное мнение». Отпуск в этом году. Как россияне планируют свой отдых. 15.07.2025. Режим доступа: https://fom.ru/Obraz-zhizni/15214 (дата обращения: 29.10.2026).</w:t>
      </w:r>
    </w:p>
  </w:footnote>
  <w:footnote w:id="79">
    <w:p>
      <w:pPr>
        <w:pStyle w:val="FootnoteText"/>
        <w:widowControl w:val="false"/>
      </w:pPr>
      <w:r>
        <w:rPr>
          <w:rStyle w:val="FootnoteReference"/>
        </w:rPr>
        <w:footnoteRef/>
      </w:r>
      <w:r>
        <w:t xml:space="preserve"> Министерство транспорта Российской Федерации. Дмитрий Чернышенко: Внутренний туризм в России вырос на 4,3%, въездной – на 20,1%. 05.08.2026. Официальное сообщение по данным Росстата за январь–июнь 2026 года: 43,2 млн поездок, рост 4,3%. Въездные поездки – свыше 2,5 млн, рост 20,1%. Причинные заявления выступающих не рассматриваются как независимая оценка эффекта национального проекта. Режим доступа: https://mintrans.gov.ru/eye/press-center/branch-news/9327 (дата обращения: 29.10.2026).</w:t>
      </w:r>
    </w:p>
    <w:p>
      <w:pPr>
        <w:pStyle w:val="FootnoteText"/>
        <w:widowControl w:val="false"/>
      </w:pPr>
      <w:r>
        <w:t xml:space="preserve">Агентство экономической информации «Прайм» со ссылкой на Правительство Российской Федерации. Разрешения Роспотребнадзора на открытие в сезоне 2026 года получили 115 пляжей Анапы. 25.09.2026. Вторичная агентская публикация сообщения Правительства о результатах заседания комиссии по ликвидации последствий крушения танкеров. Используется только для подтверждения разрешительного статуса пляжей, не для оценки потерь туризма или причинного эффекта национального проекта. Режим доступа: https://1prime.ru/20260925/rospotrebnadzor-873685382.html (дата обращения: 29.10.2026).</w:t>
      </w:r>
    </w:p>
  </w:footnote>
  <w:footnote w:id="80">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национального проекта «Туризм и гостеприимство». Версия 26.23.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https://databudget.ru/projects/np/26 (дата обращения: 29.10.2026).</w:t>
      </w:r>
    </w:p>
    <w:p>
      <w:pPr>
        <w:pStyle w:val="FootnoteText"/>
        <w:widowControl w:val="false"/>
      </w:pPr>
      <w:r>
        <w:t xml:space="preserve">Министерство экономического развития Российской Федерации. Паспорт национального проекта «Туризм и гостеприимство». б. д. Первичный PDF опубликован Поволжским государственным университетом физической культуры, спорта и туризма. Раздел 5 «Финансовое обеспечение национального проекта», с. 7–13. Ранняя редакция. Дата утверждения в доступном документе не указана. Режим доступа: https://unifirst-files.storage.yandexcloud.net/media/files/2025-03/fayl-no1_0.pdf (дата обращения: 29.10.2026).</w:t>
      </w:r>
    </w:p>
  </w:footnote>
  <w:footnote w:id="81">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национального проекта «Туризм и гостеприимство». Версия 26.23.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https://databudget.ru/projects/np/26 (дата обращения: 29.10.2026).</w:t>
      </w:r>
    </w:p>
    <w:p>
      <w:pPr>
        <w:pStyle w:val="FootnoteText"/>
        <w:widowControl w:val="false"/>
      </w:pPr>
      <w: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4.1.9: национальный проект «Туризм и гостеприимство». 2026 год – сводная бюджетная роспись на 01.09.2026; 2027–2029 годы – предложения законопроекта. Текст правительственного документа воспроизведён в системе ГАРАНТ. Режим доступа: https://base.garant.ru/411685865/ (дата обращения: 29.10.2026).</w:t>
      </w:r>
    </w:p>
    <w:p>
      <w:pPr>
        <w:pStyle w:val="FootnoteText"/>
        <w:widowControl w:val="false"/>
      </w:pPr>
      <w:r>
        <w:t xml:space="preserve">Министерство финансов Российской Федерации. Исполнение расходов федерального бюджета на реализацию национальных проектов по состоянию на 1 октября 2026 года. 08.10.2026. Предварительные данные Минфина России. Воспроизведение сообщения со ссылкой на официальный источник: https://minfin.gov.ru/ru/press-center/?id_4=40672. По национальному проекту «Туризм и гостеприимство» – 75,5% плановых бюджетных назначений. Режим доступа: https://finrosa.ru/news-minfin/minfin-40672 (дата обращения: 29.10.2026).</w:t>
      </w:r>
    </w:p>
  </w:footnote>
  <w:footnote w:id="82">
    <w:p>
      <w:pPr>
        <w:pStyle w:val="FootnoteText"/>
        <w:widowControl w:val="false"/>
      </w:pPr>
      <w:r>
        <w:rPr>
          <w:rStyle w:val="FootnoteReference"/>
        </w:rPr>
        <w:footnoteRef/>
      </w:r>
      <w:r>
        <w:t xml:space="preserve"> Министерство экономического развития Российской Федерации. Паспорт национального проекта «Туризм и гостеприимство». б. д. Первичный PDF опубликован Поволжским государственным университетом физической культуры, спорта и туризма. Раздел 5 «Финансовое обеспечение национального проекта», с. 7–13. Ранняя редакция. Дата утверждения в доступном документе не указана. Режим доступа: https://unifirst-files.storage.yandexcloud.net/media/files/2025-03/fayl-no1_0.pdf (дата обращения: 29.10.2026).</w:t>
      </w:r>
    </w:p>
  </w:footnote>
  <w:footnote w:id="83">
    <w:p>
      <w:pPr>
        <w:pStyle w:val="FootnoteText"/>
        <w:widowControl w:val="false"/>
      </w:pPr>
      <w:r>
        <w:rPr>
          <w:rStyle w:val="FootnoteReference"/>
        </w:rPr>
        <w:footnoteRef/>
      </w:r>
      <w:r>
        <w:t xml:space="preserve"> Министерство экономического развития Российской Федерации. Паспорт национального проекта «Туризм и гостеприимство». б. д. Первичный PDF опубликован Поволжским государственным университетом физической культуры, спорта и туризма. Раздел 5 «Финансовое обеспечение национального проекта», с. 7–13. Ранняя редакция. Дата утверждения в доступном документе не указана. Режим доступа: https://unifirst-files.storage.yandexcloud.net/media/files/2025-03/fayl-no1_0.pdf (дата обращения: 29.10.2026).</w:t>
      </w:r>
    </w:p>
  </w:footnote>
  <w:footnote w:id="84">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федерального проекта «Создание номерного фонда, инфраструктуры и новых точек притяжения». Версия 26.28.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https://databudget.ru/projects/fp/308 (дата обращения: 29.10.2026).</w:t>
      </w:r>
    </w:p>
  </w:footnote>
  <w:footnote w:id="85">
    <w:p>
      <w:pPr>
        <w:pStyle w:val="FootnoteText"/>
        <w:widowControl w:val="false"/>
      </w:pPr>
      <w:r>
        <w:rPr>
          <w:rStyle w:val="FootnoteReference"/>
        </w:rPr>
        <w:footnoteRef/>
      </w:r>
      <w:r>
        <w:t xml:space="preserve"> Министерство экономического развития Российской Федерации. Паспорт национального проекта «Туризм и гостеприимство». б. д. Первичный PDF опубликован Поволжским государственным университетом физической культуры, спорта и туризма. Раздел 5 «Финансовое обеспечение национального проекта», с. 7–13. Ранняя редакция. Дата утверждения в доступном документе не указана. Режим доступа: https://unifirst-files.storage.yandexcloud.net/media/files/2025-03/fayl-no1_0.pdf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«Создание номерного фонда, инфраструктуры и новых точек притяжения». Версия 26.28.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https://databudget.ru/projects/fp/308 (дата обращения: 29.10.2026).</w:t>
      </w:r>
    </w:p>
  </w:footnote>
  <w:footnote w:id="86">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национального проекта «Туризм и гостеприимство». Версия 26.23.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https://databudget.ru/projects/np/26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«Создание номерного фонда, инфраструктуры и новых точек притяжения». Версия 26.28.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https://databudget.ru/projects/fp/308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«Пять морей и озеро Байкал». Версия 26.20.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https://databudget.ru/projects/fp/303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«Туристическая привлекательность страны». Версия 26.20.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https://databudget.ru/projects/fp/301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«Кадры для туризма». Версия 26.14.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https://databudget.ru/projects/fp/309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«Производство отечественной продукции для туристской индустрии». Версия 26.5.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https://databudget.ru/projects/fp/310 (дата обращения: 29.10.2026).</w:t>
      </w:r>
    </w:p>
  </w:footnote>
  <w:footnote w:id="87">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федерального проекта «Создание номерного фонда, инфраструктуры и новых точек притяжения». Версия 26.28.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https://databudget.ru/projects/fp/308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«Кадры для туризма». Версия 26.14.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https://databudget.ru/projects/fp/309 (дата обращения: 29.10.2026).</w:t>
      </w:r>
    </w:p>
  </w:footnote>
  <w:footnote w:id="88">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федерального проекта «Производство отечественной продукции для туристской индустрии». Версия 26.5.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https://databudget.ru/projects/fp/310 (дата обращения: 29.10.2026).</w:t>
      </w:r>
    </w:p>
    <w:p>
      <w:pPr>
        <w:pStyle w:val="FootnoteText"/>
        <w:widowControl w:val="false"/>
      </w:pPr>
      <w:r>
        <w:t xml:space="preserve">DataBudget; опубликованное представление данных ГИИС «Электронный бюджет». Паспорт национального проекта «Туризм и гостеприимство». Версия 26.23.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https://databudget.ru/projects/np/26 (дата обращения: 29.10.2026).</w:t>
      </w:r>
    </w:p>
  </w:footnote>
  <w:footnote w:id="89">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национального проекта «Туризм и гостеприимство». Версия 26.23.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https://databudget.ru/projects/np/26 (дата обращения: 29.10.2026).</w:t>
      </w:r>
    </w:p>
  </w:footnote>
  <w:footnote w:id="90">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национального проекта «Туризм и гостеприимство». Версия 26.23.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https://databudget.ru/projects/np/26 (дата обращения: 29.10.2026).</w:t>
      </w:r>
    </w:p>
    <w:p>
      <w:pPr>
        <w:pStyle w:val="FootnoteText"/>
        <w:widowControl w:val="false"/>
      </w:pPr>
      <w:r>
        <w:t xml:space="preserve">Министерство экономического развития Российской Федерации. Паспорт национального проекта «Туризм и гостеприимство». б. д. Первичный PDF опубликован Поволжским государственным университетом физической культуры, спорта и туризма. Раздел 5 «Финансовое обеспечение национального проекта», с. 7–13. Ранняя редакция. Дата утверждения в доступном документе не указана. Режим доступа: https://unifirst-files.storage.yandexcloud.net/media/files/2025-03/fayl-no1_0.pdf (дата обращения: 29.10.2026).</w:t>
      </w:r>
    </w:p>
  </w:footnote>
  <w:footnote w:id="91">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национального проекта «Туризм и гостеприимство». Версия 26.23.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https://databudget.ru/projects/np/26 (дата обращения: 29.10.2026).</w:t>
      </w:r>
    </w:p>
    <w:p>
      <w:pPr>
        <w:pStyle w:val="FootnoteText"/>
        <w:widowControl w:val="false"/>
      </w:pPr>
      <w:r>
        <w:t xml:space="preserve">Министерство экономического развития Российской Федерации. Паспорт национального проекта «Туризм и гостеприимство». б. д. Первичный PDF опубликован Поволжским государственным университетом физической культуры, спорта и туризма. Раздел 5 «Финансовое обеспечение национального проекта», с. 7–13. Ранняя редакция. Дата утверждения в доступном документе не указана. Режим доступа: https://unifirst-files.storage.yandexcloud.net/media/files/2025-03/fayl-no1_0.pdf (дата обращения: 29.10.2026).</w:t>
      </w:r>
    </w:p>
  </w:footnote>
  <w:footnote w:id="92">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федерального проекта «Создание номерного фонда, инфраструктуры и новых точек притяжения». Версия 26.28.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https://databudget.ru/projects/fp/308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«Пять морей и озеро Байкал». Версия 26.20.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https://databudget.ru/projects/fp/303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«Туристическая привлекательность страны». Версия 26.20.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https://databudget.ru/projects/fp/301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«Кадры для туризма». Версия 26.14.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https://databudget.ru/projects/fp/309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«Производство отечественной продукции для туристской индустрии». Версия 26.5.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https://databudget.ru/projects/fp/310 (дата обращения: 29.10.2026).</w:t>
      </w:r>
    </w:p>
  </w:footnote>
  <w:footnote w:id="93">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национального проекта «Туризм и гостеприимство». Версия 26.23.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https://databudget.ru/projects/np/26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«Создание номерного фонда, инфраструктуры и новых точек притяжения». Версия 26.28.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https://databudget.ru/projects/fp/308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«Пять морей и озеро Байкал». Версия 26.20.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https://databudget.ru/projects/fp/303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«Туристическая привлекательность страны». Версия 26.20.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https://databudget.ru/projects/fp/301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«Кадры для туризма». Версия 26.14.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https://databudget.ru/projects/fp/309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«Производство отечественной продукции для туристской индустрии». Версия 26.5.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https://databudget.ru/projects/fp/310 (дата обращения: 29.10.2026).</w:t>
      </w:r>
    </w:p>
  </w:footnote>
  <w:footnote w:id="94">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федерального проекта «Пять морей и озеро Байкал». Версия 26.20.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https://databudget.ru/projects/fp/303 (дата обращения: 29.10.2026).</w:t>
      </w:r>
    </w:p>
  </w:footnote>
  <w:footnote w:id="95">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федерального проекта «Пять морей и озеро Байкал». Версия 26.20.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https://databudget.ru/projects/fp/303 (дата обращения: 29.10.2026).</w:t>
      </w:r>
    </w:p>
  </w:footnote>
  <w:footnote w:id="96">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федерального проекта «Пять морей и озеро Байкал». Версия 26.20.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https://databudget.ru/projects/fp/303 (дата обращения: 29.10.2026).</w:t>
      </w:r>
    </w:p>
  </w:footnote>
  <w:footnote w:id="97">
    <w:p>
      <w:pPr>
        <w:pStyle w:val="FootnoteText"/>
        <w:widowControl w:val="false"/>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4.1.9: национальный проект «Туризм и гостеприимство». 2026 год – сводная бюджетная роспись на 01.09.2026; 2027–2029 годы – предложения законопроекта. Текст правительственного документа воспроизведён в системе ГАРАНТ. Режим доступа: https://base.garant.ru/411685865/ (дата обращения: 29.10.2026).</w:t>
      </w:r>
    </w:p>
  </w:footnote>
  <w:footnote w:id="98">
    <w:p>
      <w:pPr>
        <w:pStyle w:val="FootnoteText"/>
        <w:widowControl w:val="false"/>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4.1.9: национальный проект «Туризм и гостеприимство». 2026 год – сводная бюджетная роспись на 01.09.2026; 2027–2029 годы – предложения законопроекта. Текст правительственного документа воспроизведён в системе ГАРАНТ. Режим доступа: https://base.garant.ru/411685865/ (дата обращения: 29.10.2026).</w:t>
      </w:r>
    </w:p>
  </w:footnote>
  <w:footnote w:id="99">
    <w:p>
      <w:pPr>
        <w:pStyle w:val="FootnoteText"/>
        <w:widowControl w:val="false"/>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4.1.9: национальный проект «Туризм и гостеприимство». 2026 год – сводная бюджетная роспись на 01.09.2026; 2027–2029 годы – предложения законопроекта. Текст правительственного документа воспроизведён в системе ГАРАНТ. Режим доступа: https://base.garant.ru/411685865/ (дата обращения: 29.10.2026).</w:t>
      </w:r>
    </w:p>
  </w:footnote>
  <w:footnote w:id="100">
    <w:p>
      <w:pPr>
        <w:pStyle w:val="FootnoteText"/>
        <w:widowControl w:val="false"/>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4.1.9: национальный проект «Туризм и гостеприимство». 2026 год – сводная бюджетная роспись на 01.09.2026; 2027–2029 годы – предложения законопроекта. Текст правительственного документа воспроизведён в системе ГАРАНТ. Режим доступа: https://base.garant.ru/411685865/ (дата обращения: 29.10.2026).</w:t>
      </w:r>
    </w:p>
  </w:footnote>
  <w:footnote w:id="101">
    <w:p>
      <w:pPr>
        <w:pStyle w:val="FootnoteText"/>
        <w:widowControl w:val="false"/>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4.1.9: национальный проект «Туризм и гостеприимство». 2026 год – сводная бюджетная роспись на 01.09.2026; 2027–2029 годы – предложения законопроекта. Текст правительственного документа воспроизведён в системе ГАРАНТ. Режим доступа: https://base.garant.ru/411685865/ (дата обращения: 29.10.2026).</w:t>
      </w:r>
    </w:p>
  </w:footnote>
  <w:footnote w:id="102">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национального проекта «Туризм и гостеприимство». Версия 26.23.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https://databudget.ru/projects/np/26 (дата обращения: 29.10.2026).</w:t>
      </w:r>
    </w:p>
    <w:p>
      <w:pPr>
        <w:pStyle w:val="FootnoteText"/>
        <w:widowControl w:val="false"/>
      </w:pPr>
      <w: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4.1.9: национальный проект «Туризм и гостеприимство». 2026 год – сводная бюджетная роспись на 01.09.2026; 2027–2029 годы – предложения законопроекта. Текст правительственного документа воспроизведён в системе ГАРАНТ. Режим доступа: https://base.garant.ru/411685865/ (дата обращения: 29.10.2026).</w:t>
      </w:r>
    </w:p>
  </w:footnote>
  <w:footnote w:id="103">
    <w:p>
      <w:pPr>
        <w:pStyle w:val="FootnoteText"/>
        <w:widowControl w:val="false"/>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4.1.9: национальный проект «Туризм и гостеприимство». 2026 год – сводная бюджетная роспись на 01.09.2026; 2027–2029 годы – предложения законопроекта. Текст правительственного документа воспроизведён в системе ГАРАНТ. Режим доступа: https://base.garant.ru/411685865/ (дата обращения: 29.10.2026).</w:t>
      </w:r>
    </w:p>
  </w:footnote>
  <w:footnote w:id="104">
    <w:p>
      <w:pPr>
        <w:pStyle w:val="FootnoteText"/>
        <w:widowControl w:val="false"/>
      </w:pPr>
      <w:r>
        <w:rPr>
          <w:rStyle w:val="FootnoteReference"/>
        </w:rPr>
        <w:footnoteRef/>
      </w:r>
      <w:r>
        <w:t xml:space="preserve"> Министерство финансов Российской Федерации. Исполнение расходов федерального бюджета на реализацию национальных проектов по состоянию на 1 октября 2026 года. 08.10.2026. Предварительные данные Минфина России. Воспроизведение сообщения со ссылкой на официальный источник: https://minfin.gov.ru/ru/press-center/?id_4=40672. По национальному проекту «Туризм и гостеприимство» – 75,5% плановых бюджетных назначений. Режим доступа: https://finrosa.ru/news-minfin/minfin-40672 (дата обращения: 29.10.2026).</w:t>
      </w:r>
    </w:p>
  </w:footnote>
  <w:footnote w:id="105">
    <w:p>
      <w:pPr>
        <w:pStyle w:val="FootnoteText"/>
        <w:widowControl w:val="false"/>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4.1.9: национальный проект «Туризм и гостеприимство». 2026 год – сводная бюджетная роспись на 01.09.2026; 2027–2029 годы – предложения законопроекта. Текст правительственного документа воспроизведён в системе ГАРАНТ. Режим доступа: https://base.garant.ru/411685865/ (дата обращения: 29.10.2026).</w:t>
      </w:r>
    </w:p>
  </w:footnote>
  <w:footnote w:id="106">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федерального проекта «Создание номерного фонда, инфраструктуры и новых точек притяжения». Версия 26.28.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https://databudget.ru/projects/fp/308 (дата обращения: 29.10.2026).</w:t>
      </w:r>
    </w:p>
  </w:footnote>
  <w:footnote w:id="107">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федерального проекта «Создание номерного фонда, инфраструктуры и новых точек притяжения». Версия 26.28.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https://databudget.ru/projects/fp/308 (дата обращения: 29.10.2026).</w:t>
      </w:r>
    </w:p>
  </w:footnote>
  <w:footnote w:id="108">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федерального проекта «Создание номерного фонда, инфраструктуры и новых точек притяжения». Версия 26.28.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https://databudget.ru/projects/fp/308 (дата обращения: 29.10.2026).</w:t>
      </w:r>
    </w:p>
  </w:footnote>
  <w:footnote w:id="109">
    <w:p>
      <w:pPr>
        <w:pStyle w:val="FootnoteText"/>
        <w:widowControl w:val="false"/>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4.1.9: национальный проект «Туризм и гостеприимство». 2026 год – сводная бюджетная роспись на 01.09.2026; 2027–2029 годы – предложения законопроекта. Текст правительственного документа воспроизведён в системе ГАРАНТ. Режим доступа: https://base.garant.ru/411685865/ (дата обращения: 29.10.2026).</w:t>
      </w:r>
    </w:p>
  </w:footnote>
  <w:footnote w:id="110">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федерального проекта «Кадры для туризма». Версия 26.14.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https://databudget.ru/projects/fp/309 (дата обращения: 29.10.2026).</w:t>
      </w:r>
    </w:p>
  </w:footnote>
  <w:footnote w:id="111">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федерального проекта «Производство отечественной продукции для туристской индустрии». Версия 26.5.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https://databudget.ru/projects/fp/310 (дата обращения: 29.10.2026).</w:t>
      </w:r>
    </w:p>
  </w:footnote>
  <w:footnote w:id="112">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федерального проекта «Туристическая привлекательность страны». Версия 26.20.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https://databudget.ru/projects/fp/301 (дата обращения: 29.10.2026).</w:t>
      </w:r>
    </w:p>
  </w:footnote>
  <w:footnote w:id="113">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федерального проекта «Создание номерного фонда, инфраструктуры и новых точек притяжения». Версия 26.28.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https://databudget.ru/projects/fp/308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«Пять морей и озеро Байкал». Версия 26.20.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https://databudget.ru/projects/fp/303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«Туристическая привлекательность страны». Версия 26.20.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https://databudget.ru/projects/fp/301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«Кадры для туризма». Версия 26.14.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https://databudget.ru/projects/fp/309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«Производство отечественной продукции для туристской индустрии». Версия 26.5.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https://databudget.ru/projects/fp/310 (дата обращения: 29.10.2026).</w:t>
      </w:r>
    </w:p>
  </w:footnote>
  <w:footnote w:id="114">
    <w:p>
      <w:pPr>
        <w:pStyle w:val="FootnoteText"/>
        <w:widowControl w:val="false"/>
      </w:pPr>
      <w:r>
        <w:rPr>
          <w:rStyle w:val="FootnoteReference"/>
        </w:rPr>
        <w:footnoteRef/>
      </w:r>
      <w:r>
        <w:t xml:space="preserve"> DataBudget; опубликованное представление данных ГИИС «Электронный бюджет». Паспорт национального проекта «Туризм и гостеприимство». Версия 26.23.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https://databudget.ru/projects/np/26 (дата обращения: 29.10.2026).</w:t>
      </w:r>
    </w:p>
    <w:p>
      <w:pPr>
        <w:pStyle w:val="FootnoteText"/>
        <w:widowControl w:val="false"/>
      </w:pPr>
      <w:r>
        <w:t xml:space="preserve">DataBudget; опубликованное представление данных ГИИС «Электронный бюджет». Паспорт федерального проекта «Пять морей и озеро Байкал». Версия 26.20. 16.10.2026. Дата обновления представления – 16.10.2026, 16:35. Дата обновления не удостоверяет дату утверждения паспорта. Финансовое обеспечение, годовые строки и результаты. Режим доступа: https://databudget.ru/projects/fp/303 (дата обращения: 29.10.2026).</w:t>
      </w:r>
    </w:p>
    <w:p>
      <w:pPr>
        <w:pStyle w:val="FootnoteText"/>
        <w:widowControl w:val="false"/>
      </w:pPr>
      <w: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30.09.2026. Таблица 4.1.9: национальный проект «Туризм и гостеприимство». 2026 год – сводная бюджетная роспись на 01.09.2026; 2027–2029 годы – предложения законопроекта. Текст правительственного документа воспроизведён в системе ГАРАНТ. Режим доступа: https://base.garant.ru/411685865/ (дата обращения: 29.10.2026).</w:t>
      </w:r>
    </w:p>
  </w:footnote>
  <w:footnote w:id="115">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национального проекта «Туризм и гостеприимство». Версия 26.23. 16.10.2026. Выбранная редакция открытого представления. Дата обновления представления не удостоверяет дату утверждения паспорта. Режим доступа: https://databudget.ru/projects/np/26 (дата обращения: 29.10.2026).</w:t>
      </w:r>
    </w:p>
  </w:footnote>
  <w:footnote w:id="116">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национального проекта «Туризм и гостеприимство». Версия 26.23. 16.10.2026. Выбранная редакция открытого представления. Дата обновления представления не удостоверяет дату утверждения паспорта. Режим доступа: https://databudget.ru/projects/np/26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«Создание номерного фонда, инфраструктуры и новых точек притяжения». Версия 26.28.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https://databudget.ru/projects/fp/308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«Пять морей и озеро Байкал».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https://databudget.ru/projects/fp/303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«Туристическая привлекательность страны».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https://databudget.ru/projects/fp/301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«Кадры для туризма». Версия 26.14.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https://databudget.ru/projects/fp/309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«Производство отечественной продукции для туристской индустрии». Версия 26.5.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https://databudget.ru/projects/fp/310 (дата обращения: 29.10.2026).</w:t>
      </w:r>
    </w:p>
    <w:p>
      <w:pPr>
        <w:pStyle w:val="FootnoteText"/>
        <w:widowControl w:val="false"/>
      </w:pPr>
      <w:r>
        <w:t xml:space="preserve">scikit-learn developers. Feature extraction. TF–IDF term weighting. 2026. Официальная документация. Сглаженная обратная частота документа, сублинейная частота термина и нормирование вектора. Режим доступа: https://scikit-learn.org/stable/modules/feature_extraction.html#tfidf-term-weighting (дата обращения: 29.10.2026).</w:t>
      </w:r>
    </w:p>
  </w:footnote>
  <w:footnote w:id="117">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федерального проекта «Создание номерного фонда, инфраструктуры и новых точек притяжения». Версия 26.28.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https://databudget.ru/projects/fp/308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«Пять морей и озеро Байкал».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https://databudget.ru/projects/fp/303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«Туристическая привлекательность страны».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https://databudget.ru/projects/fp/301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«Кадры для туризма». Версия 26.14.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https://databudget.ru/projects/fp/309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«Производство отечественной продукции для туристской индустрии». Версия 26.5.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https://databudget.ru/projects/fp/310 (дата обращения: 29.10.2026).</w:t>
      </w:r>
    </w:p>
  </w:footnote>
  <w:footnote w:id="118">
    <w:p>
      <w:pPr>
        <w:pStyle w:val="FootnoteText"/>
        <w:widowControl w:val="false"/>
      </w:pPr>
      <w:r>
        <w:rPr>
          <w:rStyle w:val="FootnoteReference"/>
        </w:rPr>
        <w:footnoteRef/>
      </w:r>
      <w:r>
        <w:t xml:space="preserve"> scikit-learn developers. Feature extraction. TF–IDF term weighting. 2026. Официальная документация. Сглаженная обратная частота документа, сублинейная частота термина и нормирование вектора. Режим доступа: https://scikit-learn.org/stable/modules/feature_extraction.html#tfidf-term-weighting (дата обращения: 29.10.2026).</w:t>
      </w:r>
    </w:p>
  </w:footnote>
  <w:footnote w:id="119">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национального проекта «Туризм и гостеприимство». Версия 26.23. 16.10.2026. Выбранная редакция открытого представления. Дата обновления представления не удостоверяет дату утверждения паспорта. Режим доступа: https://databudget.ru/projects/np/26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«Создание номерного фонда, инфраструктуры и новых точек притяжения». Версия 26.28.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https://databudget.ru/projects/fp/308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«Пять морей и озеро Байкал».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https://databudget.ru/projects/fp/303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«Туристическая привлекательность страны».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https://databudget.ru/projects/fp/301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«Кадры для туризма». Версия 26.14.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https://databudget.ru/projects/fp/309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«Производство отечественной продукции для туристской индустрии». Версия 26.5.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https://databudget.ru/projects/fp/310 (дата обращения: 29.10.2026).</w:t>
      </w:r>
    </w:p>
  </w:footnote>
  <w:footnote w:id="120">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федерального проекта «Создание номерного фонда, инфраструктуры и новых точек притяжения». Версия 26.28.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https://databudget.ru/projects/fp/308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«Туристическая привлекательность страны».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https://databudget.ru/projects/fp/301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«Производство отечественной продукции для туристской индустрии». Версия 26.5.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https://databudget.ru/projects/fp/310 (дата обращения: 29.10.2026).</w:t>
      </w:r>
    </w:p>
    <w:p>
      <w:pPr>
        <w:pStyle w:val="FootnoteText"/>
        <w:widowControl w:val="false"/>
      </w:pPr>
      <w:r>
        <w:t xml:space="preserve">scikit-learn developers. Feature extraction. TF–IDF term weighting. 2026. Официальная документация. Сглаженная обратная частота документа, сублинейная частота термина и нормирование вектора. Режим доступа: https://scikit-learn.org/stable/modules/feature_extraction.html#tfidf-term-weighting (дата обращения: 29.10.2026).</w:t>
      </w:r>
    </w:p>
  </w:footnote>
  <w:footnote w:id="121">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федерального проекта «Создание номерного фонда, инфраструктуры и новых точек притяжения». Версия 26.28.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https://databudget.ru/projects/fp/308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«Туристическая привлекательность страны».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https://databudget.ru/projects/fp/301 (дата обращения: 29.10.2026).</w:t>
      </w:r>
    </w:p>
  </w:footnote>
  <w:footnote w:id="122">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федерального проекта «Создание номерного фонда, инфраструктуры и новых точек притяжения». Версия 26.28.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https://databudget.ru/projects/fp/308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«Туристическая привлекательность страны».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https://databudget.ru/projects/fp/301 (дата обращения: 29.10.2026).</w:t>
      </w:r>
    </w:p>
    <w:p>
      <w:pPr>
        <w:pStyle w:val="FootnoteText"/>
        <w:widowControl w:val="false"/>
      </w:pPr>
      <w:r>
        <w:t xml:space="preserve">scikit-learn developers. Feature extraction. TF–IDF term weighting. 2026. Официальная документация. Сглаженная обратная частота документа, сублинейная частота термина и нормирование вектора. Режим доступа: https://scikit-learn.org/stable/modules/feature_extraction.html#tfidf-term-weighting (дата обращения: 29.10.2026).</w:t>
      </w:r>
    </w:p>
  </w:footnote>
  <w:footnote w:id="123">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федерального проекта «Туристическая привлекательность страны».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https://databudget.ru/projects/fp/301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«Производство отечественной продукции для туристской индустрии». Версия 26.5.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https://databudget.ru/projects/fp/310 (дата обращения: 29.10.2026).</w:t>
      </w:r>
    </w:p>
  </w:footnote>
  <w:footnote w:id="124">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национального проекта «Туризм и гостеприимство». Версия 26.23. 16.10.2026. Выбранная редакция открытого представления. Дата обновления представления не удостоверяет дату утверждения паспорта. Режим доступа: https://databudget.ru/projects/np/26 (дата обращения: 29.10.2026).</w:t>
      </w:r>
    </w:p>
    <w:p>
      <w:pPr>
        <w:pStyle w:val="FootnoteText"/>
        <w:widowControl w:val="false"/>
      </w:pPr>
      <w:r>
        <w:t xml:space="preserve">scikit-learn developers. Feature extraction. TF–IDF term weighting. 2026. Официальная документация. Сглаженная обратная частота документа, сублинейная частота термина и нормирование вектора. Режим доступа: https://scikit-learn.org/stable/modules/feature_extraction.html#tfidf-term-weighting (дата обращения: 29.10.2026).</w:t>
      </w:r>
    </w:p>
  </w:footnote>
  <w:footnote w:id="125">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национального проекта «Туризм и гостеприимство». Версия 26.23. 16.10.2026. Выбранная редакция открытого представления. Дата обновления представления не удостоверяет дату утверждения паспорта. Режим доступа: https://databudget.ru/projects/np/26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«Создание номерного фонда, инфраструктуры и новых точек притяжения». Версия 26.28.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https://databudget.ru/projects/fp/308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«Пять морей и озеро Байкал». Версия 26.20.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https://databudget.ru/projects/fp/303 (дата обращения: 29.10.2026).</w:t>
      </w:r>
    </w:p>
    <w:p>
      <w:pPr>
        <w:pStyle w:val="FootnoteText"/>
        <w:widowControl w:val="false"/>
      </w:pPr>
      <w:r>
        <w:t xml:space="preserve">DataBudget; опубликованное представление паспортов ГИИС «Электронный бюджет». Паспорт федерального проекта «Кадры для туризма». Версия 26.14. 16.10.2026. Выбранная редакция открытого представления. Дата обновления представления не удостоверяет дату утверждения паспорта. Режим доступа: https://databudget.ru/projects/fp/309 (дата обращения: 29.10.2026).</w:t>
      </w:r>
    </w:p>
  </w:footnote>
  <w:footnote w:id="126">
    <w:p>
      <w:pPr>
        <w:pStyle w:val="FootnoteText"/>
        <w:widowControl w:val="false"/>
      </w:pPr>
      <w:r>
        <w:rPr>
          <w:rStyle w:val="FootnoteReference"/>
        </w:rPr>
        <w:footnoteRef/>
      </w:r>
      <w:r>
        <w:t xml:space="preserve"> Callaway B.; Sant’Anna P. H. C. Difference-in-Differences with Multiple Time Periods. 2020. arXiv:1803.09015, редакция от 01.12.2020. DOI: 10.48550/arXiv.1803.09015. Режим доступа: https://arxiv.org/abs/1803.09015 (дата обращения: 29.10.2026).</w:t>
      </w:r>
    </w:p>
  </w:footnote>
  <w:footnote w:id="127">
    <w:p>
      <w:pPr>
        <w:pStyle w:val="FootnoteText"/>
        <w:widowControl w:val="false"/>
      </w:pPr>
      <w:r>
        <w:rPr>
          <w:rStyle w:val="FootnoteReference"/>
        </w:rPr>
        <w:footnoteRef/>
      </w:r>
      <w:r>
        <w:t xml:space="preserve"> DataBudget; опубликованное представление паспортов ГИИС «Электронный бюджет». Паспорт национального проекта «Туризм и гостеприимство». Версия 26.23. 16.10.2026. Выбранная редакция открытого представления. Дата обновления представления не удостоверяет дату утверждения паспорта. Режим доступа: https://databudget.ru/projects/np/26 (дата обращения: 29.10.2026).</w:t>
      </w:r>
    </w:p>
  </w:footnote>
  <w:footnote w:id="128">
    <w:p>
      <w:pPr>
        <w:pStyle w:val="FootnoteText"/>
        <w:widowControl w:val="false"/>
      </w:pPr>
      <w:r>
        <w:rPr>
          <w:rStyle w:val="FootnoteReference"/>
        </w:rPr>
        <w:footnoteRef/>
      </w:r>
      <w:r>
        <w:t xml:space="preserve"> Единая межведомственная информационно-статистическая система (ЕМИСС). Каталог официальной статистической информации. Раздел 2.14 «Национальный проект “Туризм и гостеприимство”». б.д. Коды 2.14.П.1–2.14.П.3; 2.14.П1.1; 2.14.П2.1; 2.14.П3.1–2.14.П3.3; 2.14.П4.1; 2.14.П5.1. Режим доступа: https://www.fedstat.ru/organizations/ (дата обращения: 29.10.2026).</w:t>
      </w:r>
    </w:p>
    <w:p>
      <w:pPr>
        <w:pStyle w:val="FootnoteText"/>
        <w:widowControl w:val="false"/>
      </w:pPr>
      <w:r>
        <w:t xml:space="preserve">Электронный бюджет; публичное представление DataBudget. Паспорт федерального проекта «Кадры для туризма» («Кадры»). Версия 26.14. 16.10.2026. Доля обученных и число специалистов, обученных в центрах подготовки кадров для туристской индустрии. Режим доступа: https://databudget.ru/projects/fp/309 (дата обращения: 29.10.2026).</w:t>
      </w:r>
    </w:p>
  </w:footnote>
  <w:footnote w:id="129">
    <w:p>
      <w:pPr>
        <w:pStyle w:val="FootnoteText"/>
        <w:widowControl w:val="false"/>
      </w:pPr>
      <w:r>
        <w:rPr>
          <w:rStyle w:val="FootnoteReference"/>
        </w:rPr>
        <w:footnoteRef/>
      </w:r>
      <w:r>
        <w:t xml:space="preserve"> Министерство экономического развития Российской Федерации. Методика расчета показателя «Объем экспорта туристских услуг» федерального проекта «Туристическая привлекательность страны» национального проекта «Туризм и гостеприимство». 30.09.2025. Приложение № 4 к приказу № 647. Пункты 7, 10, 12–25: квартальные и годовые накопленные значения; млрд долларов США; различие ранних и уточнённых оценок. Режим доступа: https://www.consultant.ru/document/cons_doc_LAW_524217/de041da94e4c64306af20c8fd09aba936e8a5cda/ (дата обращения: 29.10.2026).</w:t>
      </w:r>
    </w:p>
    <w:p>
      <w:pPr>
        <w:pStyle w:val="FootnoteText"/>
        <w:widowControl w:val="false"/>
      </w:pPr>
      <w:r>
        <w:t xml:space="preserve">Министерство экономического развития Российской Федерации. Приказ от 06.03.2026 № 169 «О внесении изменений в приказ Минэкономразвития России от 30 сентября 2025 г. № 647 “Об утверждении методик расчета показателей федерального проекта ‘Создание номерного фонда, инфраструктуры и новых точек притяжения’, федерального проекта ‘Туристическая привлекательность страны’ национального проекта ‘Туризм и гостеприимство’”». 06.03.2026. Полный текст. Новая редакция приложения № 5 – методики численности иностранных граждан, размещённых в КСР. Применяется с 01.03.2026. Официальный указатель: https://rosstat.gov.ru/storage/mediabank/FP1003_N.htm. Режим доступа: https://bazanpa.ru/minekonomrazvitiia-rossii-prikaz-n169-ot06032026-h7041689/ (дата обращения: 29.10.2026).</w:t>
      </w:r>
    </w:p>
  </w:footnote>
  <w:footnote w:id="130">
    <w:p>
      <w:pPr>
        <w:pStyle w:val="FootnoteText"/>
        <w:widowControl w:val="false"/>
      </w:pPr>
      <w:r>
        <w:rPr>
          <w:rStyle w:val="FootnoteReference"/>
        </w:rPr>
        <w:footnoteRef/>
      </w:r>
      <w:r>
        <w:t xml:space="preserve"> Единая межведомственная информационно-статистическая система (ЕМИСС). Каталог официальной статистической информации. Раздел 2.14 «Национальный проект “Туризм и гостеприимство”». б.д. Коды 2.14.П.1–2.14.П.3; 2.14.П1.1; 2.14.П2.1; 2.14.П3.1–2.14.П3.3; 2.14.П4.1; 2.14.П5.1. Режим доступа: https://www.fedstat.ru/organizations/ (дата обращения: 29.10.2026).</w:t>
      </w:r>
    </w:p>
    <w:p>
      <w:pPr>
        <w:pStyle w:val="FootnoteText"/>
        <w:widowControl w:val="false"/>
      </w:pPr>
      <w:r>
        <w:t xml:space="preserve">Министерство экономического развития Российской Федерации. Приказ от 03.08.2026 № 550 «Об утверждении методик расчета показателей федерального проекта “Кадры для туризма” национального проекта “Туризм и гостеприимство”». 03.08.2026. Полный текст. Приложения № 1 и № 2. Отмена приказа № 82 от 10.02.2025. Официальный указатель: https://rosstat.gov.ru/storage/mediabank/FP1004_N.htm. Режим доступа: https://rulaws.ru/acts/Prikaz-Minekonomrazvitiya-Rossii-ot-03.08.2026-N-550/ (дата обращения: 29.10.2026).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autoHyphenation w:val="false"/>
  <w:footnotePr>
    <w:numFmt w:val="decimal"/>
    <w:numRestart w:val="continuous"/>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709"/>
      <w:jc w:val="both"/>
    </w:pPr>
    <w:rPr>
      <w:rFonts w:ascii="Times New Roman" w:hAnsi="Times New Roman"/>
      <w:color w:val="000000"/>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line="276" w:lineRule="auto"/>
      <w:ind w:firstLine="0"/>
      <w:jc w:val="left"/>
      <w:outlineLvl w:val="0"/>
    </w:pPr>
    <w:rPr>
      <w:rFonts w:asciiTheme="majorHAnsi" w:eastAsiaTheme="majorEastAsia" w:hAnsiTheme="majorHAnsi" w:cstheme="majorBidi" w:ascii="Times New Roman" w:hAnsi="Times New Roman"/>
      <w:b/>
      <w:bCs/>
      <w:sz w:val="28"/>
      <w:szCs w:val="28"/>
      <w:rFonts w:ascii="Times New Roman" w:hAnsi="Times New Roman" w:cs="Times New Roman" w:eastAsia="Times New Roman"/>
      <w:color w:val="000000"/>
    </w:rPr>
  </w:style>
  <w:style w:type="paragraph" w:styleId="Heading2">
    <w:name w:val="heading 2"/>
    <w:basedOn w:val="Normal"/>
    <w:next w:val="Normal"/>
    <w:link w:val="Heading2Char"/>
    <w:uiPriority w:val="9"/>
    <w:unhideWhenUsed/>
    <w:qFormat/>
    <w:rsid w:val="00FC693F"/>
    <w:pPr>
      <w:keepNext/>
      <w:keepLines/>
      <w:pageBreakBefore w:val="0"/>
      <w:spacing w:before="240" w:after="160" w:line="276" w:lineRule="auto"/>
      <w:ind w:firstLine="0"/>
      <w:jc w:val="left"/>
      <w:outlineLvl w:val="1"/>
    </w:pPr>
    <w:rPr>
      <w:rFonts w:asciiTheme="majorHAnsi" w:eastAsiaTheme="majorEastAsia" w:hAnsiTheme="majorHAnsi" w:cstheme="majorBidi" w:ascii="Times New Roman" w:hAnsi="Times New Roman"/>
      <w:b/>
      <w:bCs/>
      <w:sz w:val="28"/>
      <w:szCs w:val="26"/>
      <w:rFonts w:ascii="Times New Roman" w:hAnsi="Times New Roman" w:cs="Times New Roman" w:eastAsia="Times New Roman"/>
      <w:color w:val="000000"/>
    </w:rPr>
  </w:style>
  <w:style w:type="paragraph" w:styleId="Heading3">
    <w:name w:val="heading 3"/>
    <w:basedOn w:val="Normal"/>
    <w:next w:val="Normal"/>
    <w:link w:val="Heading3Char"/>
    <w:uiPriority w:val="9"/>
    <w:unhideWhenUsed/>
    <w:qFormat/>
    <w:rsid w:val="00FC693F"/>
    <w:pPr>
      <w:keepNext/>
      <w:keepLines/>
      <w:pageBreakBefore w:val="0"/>
      <w:spacing w:before="240" w:after="160" w:line="276" w:lineRule="auto"/>
      <w:ind w:firstLine="0"/>
      <w:jc w:val="left"/>
      <w:outlineLvl w:val="2"/>
    </w:pPr>
    <w:rPr>
      <w:rFonts w:asciiTheme="majorHAnsi" w:eastAsiaTheme="majorEastAsia" w:hAnsiTheme="majorHAnsi" w:cstheme="majorBidi" w:ascii="Times New Roman" w:hAnsi="Times New Roman"/>
      <w:b/>
      <w:bCs/>
      <w:rFonts w:ascii="Times New Roman" w:hAnsi="Times New Roman" w:cs="Times New Roman" w:eastAsia="Times New Roman"/>
      <w:sz w:val="28"/>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color w:val="00000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pPr>
    <w:rPr>
      <w:rFonts w:asciiTheme="majorHAnsi" w:eastAsiaTheme="majorEastAsia" w:hAnsiTheme="majorHAnsi" w:cstheme="majorBidi" w:ascii="Times New Roman" w:hAnsi="Times New Roman"/>
      <w:spacing w:val="5"/>
      <w:kern w:val="28"/>
      <w:sz w:val="52"/>
      <w:szCs w:val="52"/>
      <w:rFonts w:ascii="Times New Roman" w:hAnsi="Times New Roman" w:cs="Times New Roman" w:eastAsia="Times New Roman"/>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spacing w:val="15"/>
      <w:sz w:val="24"/>
      <w:szCs w:val="24"/>
      <w:rFonts w:ascii="Times New Roman" w:hAnsi="Times New Roman" w:cs="Times New Roman" w:eastAsia="Times New Roman"/>
      <w:color w:val="00000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pPr>
    <w:rPr>
      <w:rFonts w:ascii="Times New Roman" w:hAnsi="Times New Roman"/>
      <w:b/>
      <w:bCs/>
      <w:color w:val="000000"/>
      <w:sz w:val="24"/>
      <w:szCs w:val="18"/>
      <w:rFonts w:ascii="Times New Roman" w:hAnsi="Times New Roman" w:cs="Times New Roman" w:eastAsia="Times New Roma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spacing w:line="240" w:lineRule="auto" w:before="0" w:after="60"/>
      <w:ind w:firstLine="227"/>
      <w:jc w:val="both"/>
    </w:pPr>
    <w:rPr>
      <w:rFonts w:ascii="Times New Roman" w:hAnsi="Times New Roman"/>
      <w:color w:val="000000"/>
      <w:sz w:val="20"/>
    </w:rPr>
  </w:style>
  <w:style w:type="character" w:customStyle="1" w:styleId="FootnoteReference">
    <w:name w:val="Footnote Reference"/>
    <w:rPr>
      <w:rFonts w:ascii="Times New Roman" w:hAnsi="Times New Roman"/>
      <w:color w:val="000000"/>
      <w:sz w:val="20"/>
      <w:vertAlign w:val="superscript"/>
    </w:rPr>
  </w:style>
  <w:style w:type="paragraph" w:customStyle="1" w:styleId="SourceNote">
    <w:name w:val="Source Note"/>
    <w:pPr>
      <w:spacing w:line="240" w:lineRule="auto" w:before="0" w:after="60"/>
      <w:ind w:firstLine="0"/>
      <w:jc w:val="both"/>
    </w:pPr>
    <w:rPr>
      <w:rFonts w:ascii="Times New Roman" w:hAnsi="Times New Roman"/>
      <w:color w:val="000000"/>
      <w:sz w:val="21"/>
    </w:rPr>
  </w:style>
  <w:style w:type="paragraph" w:customStyle="1" w:styleId="TOCEntry">
    <w:name w:val="TOC Entry"/>
    <w:pPr>
      <w:spacing w:line="240" w:lineRule="auto" w:before="0" w:after="60"/>
      <w:ind w:firstLine="0"/>
      <w:jc w:val="both"/>
    </w:pPr>
    <w:rPr>
      <w:rFonts w:ascii="Times New Roman" w:hAnsi="Times New Roman"/>
      <w:color w:val="00000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116</Pages>
  <Words>15483</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Экспертиза национального проекта Туризм и гостеприимство</dc:title>
  <dc:subject>Научно-аналитическая экспертиза национального проекта на 29 октября 2026 года</dc:subject>
  <dc:creator/>
  <cp:keywords>национальные проекты; туризм; гостеприимство; региональная экономика; туристская статистика</cp:keywords>
  <dc:description>generated by python-docx</dc:description>
  <cp:lastModifiedBy/>
  <cp:revision>1</cp:revision>
  <dcterms:created xsi:type="dcterms:W3CDTF">2013-12-23T23:15:00Z</dcterms:created>
  <dcterms:modified xsi:type="dcterms:W3CDTF">2013-12-23T23:15:00Z</dcterms:modified>
  <cp:category/>
</cp:coreProperties>
</file>