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3328"/>
          <w:sz w:val="56"/>
          <w:szCs w:val="56"/>
        </w:rPr>
        <w:t xml:space="preserve">GUIDED</w:t>
      </w:r>
    </w:p>
    <w:p>
      <w:pPr>
        <w:spacing w:after="200"/>
        <w:jc w:val="center"/>
      </w:pPr>
      <w:r>
        <w:rPr>
          <w:rFonts w:ascii="Arial" w:cs="Arial" w:eastAsia="Arial" w:hAnsi="Arial"/>
          <w:i/>
          <w:iCs/>
          <w:color w:val="B8860B"/>
          <w:sz w:val="28"/>
          <w:szCs w:val="28"/>
        </w:rPr>
        <w:t xml:space="preserve">The AI Tutor That Builds Real Thinking Skills</w:t>
      </w:r>
    </w:p>
    <w:p>
      <w:pPr>
        <w:spacing w:after="100"/>
        <w:jc w:val="center"/>
      </w:pPr>
      <w:r>
        <w:rPr>
          <w:color w:val="D4D4C8"/>
          <w:sz w:val="20"/>
          <w:szCs w:val="20"/>
        </w:rPr>
        <w:t xml:space="preserve">────────────────────────────────────────</w:t>
      </w:r>
    </w:p>
    <w:p>
      <w:pPr>
        <w:spacing w:after="80"/>
        <w:jc w:val="center"/>
      </w:pPr>
      <w:r>
        <w:rPr>
          <w:rFonts w:ascii="Arial" w:cs="Arial" w:eastAsia="Arial" w:hAnsi="Arial"/>
          <w:color w:val="3D3D3A"/>
          <w:sz w:val="26"/>
          <w:szCs w:val="26"/>
        </w:rPr>
        <w:t xml:space="preserve">Unternehmens- &amp; Produktanalyse</w:t>
      </w:r>
    </w:p>
    <w:p>
      <w:pPr>
        <w:spacing w:after="80"/>
        <w:jc w:val="center"/>
      </w:pPr>
      <w:r>
        <w:rPr>
          <w:rFonts w:ascii="Arial" w:cs="Arial" w:eastAsia="Arial" w:hAnsi="Arial"/>
          <w:color w:val="73726C"/>
          <w:sz w:val="22"/>
          <w:szCs w:val="22"/>
        </w:rPr>
        <w:t xml:space="preserve">Aktualisierte Fassung — Stand: März 2026</w:t>
      </w:r>
    </w:p>
    <w:p>
      <w:pPr>
        <w:spacing w:after="80"/>
        <w:jc w:val="center"/>
      </w:pPr>
      <w:r>
        <w:rPr>
          <w:rFonts w:ascii="Arial" w:cs="Arial" w:eastAsia="Arial" w:hAnsi="Arial"/>
          <w:color w:val="73726C"/>
          <w:sz w:val="20"/>
          <w:szCs w:val="20"/>
        </w:rPr>
        <w:t xml:space="preserve">Basierend auf Quellcode-Analyse v6541, Markteinschätzung &amp; Gründer-Vision</w:t>
      </w:r>
    </w:p>
    <w:p>
      <w:pPr>
        <w:spacing w:after="600"/>
        <w:jc w:val="center"/>
      </w:pPr>
      <w:r>
        <w:rPr>
          <w:rFonts w:ascii="Arial" w:cs="Arial" w:eastAsia="Arial" w:hAnsi="Arial"/>
          <w:color w:val="73726C"/>
          <w:sz w:val="20"/>
          <w:szCs w:val="20"/>
        </w:rPr>
        <w:t xml:space="preserve">Zielgruppen: Schüler (6–18 J.) · Familien · Schulen · Abitur-Vorbereitung</w:t>
      </w:r>
    </w:p>
    <w:p>
      <w:r>
        <w:br w:type="page"/>
      </w:r>
    </w:p>
    <w:p>
      <w:pPr>
        <w:pStyle w:val="Heading1"/>
        <w:spacing w:before="400" w:after="200"/>
      </w:pPr>
      <w:r>
        <w:rPr>
          <w:rFonts w:ascii="Arial" w:cs="Arial" w:eastAsia="Arial" w:hAnsi="Arial"/>
          <w:b/>
          <w:bCs/>
          <w:color w:val="1A3328"/>
          <w:sz w:val="32"/>
          <w:szCs w:val="32"/>
        </w:rPr>
        <w:t xml:space="preserve">1. Executive Summary</w:t>
      </w:r>
    </w:p>
    <w:p>
      <w:pPr>
        <w:spacing w:after="160" w:line="312"/>
      </w:pPr>
      <w:r>
        <w:rPr>
          <w:rFonts w:ascii="Arial" w:cs="Arial" w:eastAsia="Arial" w:hAnsi="Arial"/>
          <w:b/>
          <w:bCs/>
          <w:color w:val="1A1A18"/>
          <w:sz w:val="22"/>
          <w:szCs w:val="22"/>
        </w:rPr>
        <w:t xml:space="preserve">Guided</w:t>
      </w:r>
      <w:r>
        <w:rPr>
          <w:rFonts w:ascii="Arial" w:cs="Arial" w:eastAsia="Arial" w:hAnsi="Arial"/>
          <w:color w:val="3D3D3A"/>
          <w:sz w:val="22"/>
          <w:szCs w:val="22"/>
        </w:rPr>
        <w:t xml:space="preserve"> ist ein KI-gestützter persönlicher Tutor mit einem radikalen pädagogischen Prinzip: Er gibt dem Schüler niemals die Antwort. Stattdessen führt er durch sokratische Fragen, altersangepasste Analogien und schrittweise Hinweise dazu, dass der Schüler die Lösung selbst erarbeitet.</w:t>
      </w:r>
    </w:p>
    <w:p>
      <w:pPr>
        <w:spacing w:after="160" w:line="312"/>
      </w:pPr>
      <w:r>
        <w:rPr>
          <w:rFonts w:ascii="Arial" w:cs="Arial" w:eastAsia="Arial" w:hAnsi="Arial"/>
          <w:color w:val="3D3D3A"/>
          <w:sz w:val="22"/>
          <w:szCs w:val="22"/>
        </w:rPr>
        <w:t xml:space="preserve">Das Produkt hat seit der Hackathon-Entstehung eine signifikante Reifung durchlaufen. Die aktuelle Codebase (6.541 Zeilen, Single-Page-App) umfasst: eine professionelle Landing Page, ein vollständiges Account-System mit Sign-In/Sign-Up, einen spezialisierten Abitur-Modus mit Bundesland-spezifischen Prüfungsschwerpunkten, KI-generierte Inline-SVG-Visualisierungen, Pattern Recognition für wiederkehrende Missverständnisse, sowie drei vollständige Onboarding-Pfade für Familien, Schulen und Einzelnutzer.</w:t>
      </w:r>
    </w:p>
    <w:p>
      <w:pPr>
        <w:spacing w:after="160" w:line="312"/>
      </w:pPr>
      <w:r>
        <w:rPr>
          <w:rFonts w:ascii="Arial" w:cs="Arial" w:eastAsia="Arial" w:hAnsi="Arial"/>
          <w:color w:val="3D3D3A"/>
          <w:sz w:val="22"/>
          <w:szCs w:val="22"/>
        </w:rPr>
        <w:t xml:space="preserve">Die nächste strategische Ausbaustufe — die schulweite Integration mit Lehrer-Datenbank und Jahresplan — ist architektonisch vorbereitet und als technischer Brief spezifiziert. Diese Integration verwandelt Guided vom individuellen Tutor zum schulweiten Ökosystem: Der Tutor kennt dann nicht nur das Fach, sondern exakt, was heute in der Klasse behandelt wurde, welche Hausaufgaben aufgegeben wurden und was nächste Woche kommt.</w:t>
      </w:r>
    </w:p>
    <w:p>
      <w:pPr>
        <w:spacing w:after="160" w:line="312"/>
      </w:pPr>
      <w:r>
        <w:rPr>
          <w:rFonts w:ascii="Arial" w:cs="Arial" w:eastAsia="Arial" w:hAnsi="Arial"/>
          <w:b/>
          <w:bCs/>
          <w:color w:val="1A1A18"/>
          <w:sz w:val="22"/>
          <w:szCs w:val="22"/>
        </w:rPr>
        <w:t xml:space="preserve">Der zentrale Unterschied zu Wettbewerbern: </w:t>
      </w:r>
      <w:r>
        <w:rPr>
          <w:rFonts w:ascii="Arial" w:cs="Arial" w:eastAsia="Arial" w:hAnsi="Arial"/>
          <w:color w:val="3D3D3A"/>
          <w:sz w:val="22"/>
          <w:szCs w:val="22"/>
        </w:rPr>
        <w:t xml:space="preserve">Guided ist nicht darauf ausgelegt, Schüler abhängig zu machen. Es ist darauf ausgelegt, Schüler unabhängig zu machen. Damit positioniert sich Guided als einziges Produkt, das KI-Unterstützung und aktive Lernkompetenz-Entwicklung strukturell kombiniert.</w:t>
      </w:r>
    </w:p>
    <w:p>
      <w:r>
        <w:br w:type="page"/>
      </w:r>
    </w:p>
    <w:p>
      <w:pPr>
        <w:pStyle w:val="Heading1"/>
        <w:spacing w:before="400" w:after="200"/>
      </w:pPr>
      <w:r>
        <w:rPr>
          <w:rFonts w:ascii="Arial" w:cs="Arial" w:eastAsia="Arial" w:hAnsi="Arial"/>
          <w:b/>
          <w:bCs/>
          <w:color w:val="1A3328"/>
          <w:sz w:val="32"/>
          <w:szCs w:val="32"/>
        </w:rPr>
        <w:t xml:space="preserve">2. Produkt — Was ist Guided?</w:t>
      </w:r>
    </w:p>
    <w:p>
      <w:pPr>
        <w:pStyle w:val="Heading2"/>
        <w:spacing w:before="300" w:after="160"/>
      </w:pPr>
      <w:r>
        <w:rPr>
          <w:rFonts w:ascii="Arial" w:cs="Arial" w:eastAsia="Arial" w:hAnsi="Arial"/>
          <w:b/>
          <w:bCs/>
          <w:color w:val="1A3328"/>
          <w:sz w:val="26"/>
          <w:szCs w:val="26"/>
        </w:rPr>
        <w:t xml:space="preserve">2.1 Das Kernprinzip</w:t>
      </w:r>
    </w:p>
    <w:p>
      <w:pPr>
        <w:spacing w:after="160" w:line="312"/>
      </w:pPr>
      <w:r>
        <w:rPr>
          <w:rFonts w:ascii="Arial" w:cs="Arial" w:eastAsia="Arial" w:hAnsi="Arial"/>
          <w:b/>
          <w:bCs/>
          <w:color w:val="1A1A18"/>
          <w:sz w:val="22"/>
          <w:szCs w:val="22"/>
        </w:rPr>
        <w:t xml:space="preserve">"Never give the answer."</w:t>
      </w:r>
      <w:r>
        <w:rPr>
          <w:rFonts w:ascii="Arial" w:cs="Arial" w:eastAsia="Arial" w:hAnsi="Arial"/>
          <w:color w:val="3D3D3A"/>
          <w:sz w:val="22"/>
          <w:szCs w:val="22"/>
        </w:rPr>
        <w:t xml:space="preserve"> — Das ist kein Feature. Das ist die Philosophie. Das System-Prompt enthält eine explizite, nicht übersteuerbare Regel: Jede Antwort muss mit einer offenen Frage enden. Direkte Antworten sind verboten — auch wenn der Schüler bettelt, kapituliert oder auf seinen Lehrer verweist. Das Prompt-Design ist kein generisches Prompt-Engineering, sondern curriculares Design mit bemerkenswerter pädagogischer Präzision.</w:t>
      </w:r>
    </w:p>
    <w:p>
      <w:pPr>
        <w:pStyle w:val="Heading2"/>
        <w:spacing w:before="300" w:after="160"/>
      </w:pPr>
      <w:r>
        <w:rPr>
          <w:rFonts w:ascii="Arial" w:cs="Arial" w:eastAsia="Arial" w:hAnsi="Arial"/>
          <w:b/>
          <w:bCs/>
          <w:color w:val="1A3328"/>
          <w:sz w:val="26"/>
          <w:szCs w:val="26"/>
        </w:rPr>
        <w:t xml:space="preserve">2.2 Feature-Übersicht (aktueller Stand)</w:t>
      </w:r>
    </w:p>
    <w:p>
      <w:pPr>
        <w:pStyle w:val="Heading3"/>
        <w:spacing w:before="240" w:after="120"/>
      </w:pPr>
      <w:r>
        <w:rPr>
          <w:rFonts w:ascii="Arial" w:cs="Arial" w:eastAsia="Arial" w:hAnsi="Arial"/>
          <w:b/>
          <w:bCs/>
          <w:color w:val="1A1A18"/>
          <w:sz w:val="22"/>
          <w:szCs w:val="22"/>
        </w:rPr>
        <w:t xml:space="preserve">Kern-Tutoring</w:t>
      </w:r>
    </w:p>
    <w:p>
      <w:pPr>
        <w:spacing w:after="160" w:line="312"/>
      </w:pPr>
      <w:r>
        <w:rPr>
          <w:rFonts w:ascii="Arial" w:cs="Arial" w:eastAsia="Arial" w:hAnsi="Arial"/>
          <w:color w:val="3D3D3A"/>
          <w:sz w:val="22"/>
          <w:szCs w:val="22"/>
        </w:rPr>
        <w:t xml:space="preserve">Sokratische Gesprächsführung nach dem Muster: Erklärung (2 Sätze) → Killer-Analogie → offene Frage → Schüler denkt nach. Vier wählbare Lehrstile (Socratic Guide, Step by Step, Warm &amp; Patient, Challenge Mode), drei Lernziele (Kritisches Denken, Hausaufgaben-Support, Neugier), und ein Hint-System mit maximal drei Hinweisen pro Session — jeder ein minimaler Nudge, nie die Antwort.</w:t>
      </w:r>
    </w:p>
    <w:p>
      <w:pPr>
        <w:pStyle w:val="Heading3"/>
        <w:spacing w:before="240" w:after="120"/>
      </w:pPr>
      <w:r>
        <w:rPr>
          <w:rFonts w:ascii="Arial" w:cs="Arial" w:eastAsia="Arial" w:hAnsi="Arial"/>
          <w:b/>
          <w:bCs/>
          <w:color w:val="1A1A18"/>
          <w:sz w:val="22"/>
          <w:szCs w:val="22"/>
        </w:rPr>
        <w:t xml:space="preserve">Bloom’s Taxonomy Integration</w:t>
      </w:r>
    </w:p>
    <w:p>
      <w:pPr>
        <w:spacing w:after="160" w:line="312"/>
      </w:pPr>
      <w:r>
        <w:rPr>
          <w:rFonts w:ascii="Arial" w:cs="Arial" w:eastAsia="Arial" w:hAnsi="Arial"/>
          <w:color w:val="3D3D3A"/>
          <w:sz w:val="22"/>
          <w:szCs w:val="22"/>
        </w:rPr>
        <w:t xml:space="preserve">Guided tagged jeden KI-Response automatisch mit einem Bloom-Level und trackt den kognitiven Fortschritt über die Stufen Remember → Understand → Apply → Analyze → Evaluate → Create. Das Eltern-Dashboard visualisiert diese Verteilung als Balkenchart — ein Werkzeug, das bisher nur Bildungsforschern zugänglich war. Guided versucht bei jedem Austausch, den Schüler eine Stufe höher zu pushen.</w:t>
      </w:r>
    </w:p>
    <w:p>
      <w:pPr>
        <w:pStyle w:val="Heading3"/>
        <w:spacing w:before="240" w:after="120"/>
      </w:pPr>
      <w:r>
        <w:rPr>
          <w:rFonts w:ascii="Arial" w:cs="Arial" w:eastAsia="Arial" w:hAnsi="Arial"/>
          <w:b/>
          <w:bCs/>
          <w:color w:val="1A1A18"/>
          <w:sz w:val="22"/>
          <w:szCs w:val="22"/>
        </w:rPr>
        <w:t xml:space="preserve">AHA-Moment-Detection &amp; Pattern Recognition (NEU)</w:t>
      </w:r>
    </w:p>
    <w:p>
      <w:pPr>
        <w:spacing w:after="160" w:line="312"/>
      </w:pPr>
      <w:r>
        <w:rPr>
          <w:rFonts w:ascii="Arial" w:cs="Arial" w:eastAsia="Arial" w:hAnsi="Arial"/>
          <w:color w:val="3D3D3A"/>
          <w:sz w:val="22"/>
          <w:szCs w:val="22"/>
        </w:rPr>
        <w:t xml:space="preserve">Wenn ein Schüler die richtige Antwort selbst erarbeitet, erkennt das System dies und benennt explizit, was entdeckt wurde, erklärt die Relevanz für die reale Welt und stellt sofort die nächste, schwierigere Frage. Neu hinzugekommen ist die Pattern Recognition: Guided liest die gesamte Gesprächshistorie und erkennt, wenn ein Schüler wiederholt denselben Fehler macht — und adressiert dann gezielt das zugrundeliegende Missverständnis statt nur den Oberflächenfehler.</w:t>
      </w:r>
    </w:p>
    <w:p>
      <w:pPr>
        <w:pStyle w:val="Heading3"/>
        <w:spacing w:before="240" w:after="120"/>
      </w:pPr>
      <w:r>
        <w:rPr>
          <w:rFonts w:ascii="Arial" w:cs="Arial" w:eastAsia="Arial" w:hAnsi="Arial"/>
          <w:b/>
          <w:bCs/>
          <w:color w:val="1A1A18"/>
          <w:sz w:val="22"/>
          <w:szCs w:val="22"/>
        </w:rPr>
        <w:t xml:space="preserve">Abitur-Modus (NEU)</w:t>
      </w:r>
    </w:p>
    <w:p>
      <w:pPr>
        <w:spacing w:after="160" w:line="312"/>
      </w:pPr>
      <w:r>
        <w:rPr>
          <w:rFonts w:ascii="Arial" w:cs="Arial" w:eastAsia="Arial" w:hAnsi="Arial"/>
          <w:color w:val="3D3D3A"/>
          <w:sz w:val="22"/>
          <w:szCs w:val="22"/>
        </w:rPr>
        <w:t xml:space="preserve">Eine der bedeutendsten Neuerungen: Schüler in der Oberstufe können ihren Abitur-Modus aktivieren mit Bundesland-Auswahl (Bayern, BW, NRW, Hessen, Berlin, Sachsen etc.), Leistungskursen und Grundkursen. Das System lädt über Needle RAG automatisch die offiziellen Prüfungsschwerpunkte des jeweiligen Bundeslandes und passt das Tutoring auf Abitur-Niveau an: tiefere Analyse, Evaluate-Level-Fragen, Prüfungs-relevante Themensteuerung.</w:t>
      </w:r>
    </w:p>
    <w:p>
      <w:pPr>
        <w:pStyle w:val="Heading3"/>
        <w:spacing w:before="240" w:after="120"/>
      </w:pPr>
      <w:r>
        <w:rPr>
          <w:rFonts w:ascii="Arial" w:cs="Arial" w:eastAsia="Arial" w:hAnsi="Arial"/>
          <w:b/>
          <w:bCs/>
          <w:color w:val="1A1A18"/>
          <w:sz w:val="22"/>
          <w:szCs w:val="22"/>
        </w:rPr>
        <w:t xml:space="preserve">Visuelle Erklärungen (NEU)</w:t>
      </w:r>
    </w:p>
    <w:p>
      <w:pPr>
        <w:spacing w:after="160" w:line="312"/>
      </w:pPr>
      <w:r>
        <w:rPr>
          <w:rFonts w:ascii="Arial" w:cs="Arial" w:eastAsia="Arial" w:hAnsi="Arial"/>
          <w:color w:val="3D3D3A"/>
          <w:sz w:val="22"/>
          <w:szCs w:val="22"/>
        </w:rPr>
        <w:t xml:space="preserve">Guided generiert bei Bedarf Inline-SVG-Diagramme direkt im Chat — für Geometrie, Prozesse, Timelines oder anatomische Darstellungen. Die Visualisierungen folgen klaren Regeln: einfache Formen, beschriftete Elemente, sparsamer Farbeinsatz, maximal eine pro Antwort.</w:t>
      </w:r>
    </w:p>
    <w:p>
      <w:pPr>
        <w:pStyle w:val="Heading3"/>
        <w:spacing w:before="240" w:after="120"/>
      </w:pPr>
      <w:r>
        <w:rPr>
          <w:rFonts w:ascii="Arial" w:cs="Arial" w:eastAsia="Arial" w:hAnsi="Arial"/>
          <w:b/>
          <w:bCs/>
          <w:color w:val="1A1A18"/>
          <w:sz w:val="22"/>
          <w:szCs w:val="22"/>
        </w:rPr>
        <w:t xml:space="preserve">Account-System &amp; Persistenz (NEU)</w:t>
      </w:r>
    </w:p>
    <w:p>
      <w:pPr>
        <w:spacing w:after="160" w:line="312"/>
      </w:pPr>
      <w:r>
        <w:rPr>
          <w:rFonts w:ascii="Arial" w:cs="Arial" w:eastAsia="Arial" w:hAnsi="Arial"/>
          <w:color w:val="3D3D3A"/>
          <w:sz w:val="22"/>
          <w:szCs w:val="22"/>
        </w:rPr>
        <w:t xml:space="preserve">Das Produkt verfügt nun über ein vollständiges Account-System via Supabase: Email+Passwort-Login, automatische Synchronisierung der Chat-Historie, Profildaten-Persistenz über Sessions hinweg. Neue Nutzer können nach dem Onboarding direkt einen Account erstellen; bestehende Nutzer melden sich über den Sign-In-Screen an (Personal oder School-Tab).</w:t>
      </w:r>
    </w:p>
    <w:p>
      <w:pPr>
        <w:pStyle w:val="Heading3"/>
        <w:spacing w:before="240" w:after="120"/>
      </w:pPr>
      <w:r>
        <w:rPr>
          <w:rFonts w:ascii="Arial" w:cs="Arial" w:eastAsia="Arial" w:hAnsi="Arial"/>
          <w:b/>
          <w:bCs/>
          <w:color w:val="1A1A18"/>
          <w:sz w:val="22"/>
          <w:szCs w:val="22"/>
        </w:rPr>
        <w:t xml:space="preserve">Landing Page &amp; Markenauftritt (NEU)</w:t>
      </w:r>
    </w:p>
    <w:p>
      <w:pPr>
        <w:spacing w:after="160" w:line="312"/>
      </w:pPr>
      <w:r>
        <w:rPr>
          <w:rFonts w:ascii="Arial" w:cs="Arial" w:eastAsia="Arial" w:hAnsi="Arial"/>
          <w:color w:val="3D3D3A"/>
          <w:sz w:val="22"/>
          <w:szCs w:val="22"/>
        </w:rPr>
        <w:t xml:space="preserve">Eine professionelle Landing Page mit Hero-Section, Feature-Karten, "How it Works"-Section (7 Schritte), Navigation und Call-to-Action-Buttons. Der Markenauftritt ist konsistent: Cream/Forest/Gold-Palette, Plus Jakarta Sans + Playfair Display Fonts, animiertes Blumen-Logo. Die "How it Works"-Section erklärt in 7 Schritten den Guided-Ansatz und endet mit dem schulweiten Versprechen.</w:t>
      </w:r>
    </w:p>
    <w:p>
      <w:pPr>
        <w:pStyle w:val="Heading3"/>
        <w:spacing w:before="240" w:after="120"/>
      </w:pPr>
      <w:r>
        <w:rPr>
          <w:rFonts w:ascii="Arial" w:cs="Arial" w:eastAsia="Arial" w:hAnsi="Arial"/>
          <w:b/>
          <w:bCs/>
          <w:color w:val="1A1A18"/>
          <w:sz w:val="22"/>
          <w:szCs w:val="22"/>
        </w:rPr>
        <w:t xml:space="preserve">Multimodalität</w:t>
      </w:r>
    </w:p>
    <w:p>
      <w:pPr>
        <w:spacing w:after="160" w:line="312"/>
      </w:pPr>
      <w:r>
        <w:rPr>
          <w:rFonts w:ascii="Arial" w:cs="Arial" w:eastAsia="Arial" w:hAnsi="Arial"/>
          <w:color w:val="3D3D3A"/>
          <w:sz w:val="22"/>
          <w:szCs w:val="22"/>
        </w:rPr>
        <w:t xml:space="preserve">Voice Mode via ElevenLabs (Text-to-Speech + Speech-to-Text), Bild-Upload für Fotos von Hausaufgaben und PDFs, Kamera-Capture direkt im Browser, sowie die neuen KI-generierten SVG-Erklärungen.</w:t>
      </w:r>
    </w:p>
    <w:p>
      <w:pPr>
        <w:pStyle w:val="Heading3"/>
        <w:spacing w:before="240" w:after="120"/>
      </w:pPr>
      <w:r>
        <w:rPr>
          <w:rFonts w:ascii="Arial" w:cs="Arial" w:eastAsia="Arial" w:hAnsi="Arial"/>
          <w:b/>
          <w:bCs/>
          <w:color w:val="1A1A18"/>
          <w:sz w:val="22"/>
          <w:szCs w:val="22"/>
        </w:rPr>
        <w:t xml:space="preserve">Drei Zugangs- und Onboarding-Wege</w:t>
      </w:r>
    </w:p>
    <w:p>
      <w:pPr>
        <w:spacing w:after="160" w:line="312"/>
      </w:pPr>
      <w:r>
        <w:rPr>
          <w:rFonts w:ascii="Arial" w:cs="Arial" w:eastAsia="Arial" w:hAnsi="Arial"/>
          <w:b/>
          <w:bCs/>
          <w:color w:val="1A1A18"/>
          <w:sz w:val="22"/>
          <w:szCs w:val="22"/>
        </w:rPr>
        <w:t xml:space="preserve">Familie:</w:t>
      </w:r>
      <w:r>
        <w:rPr>
          <w:rFonts w:ascii="Arial" w:cs="Arial" w:eastAsia="Arial" w:hAnsi="Arial"/>
          <w:color w:val="3D3D3A"/>
          <w:sz w:val="22"/>
          <w:szCs w:val="22"/>
        </w:rPr>
        <w:t xml:space="preserve"> Eltern onboarden ihr Kind in 3 Schritten, erhalten volles Dashboard mit Live-Session-Tracking, Bloom-Chart, Aktivitätsverlauf und Kinder-Management. </w:t>
      </w:r>
      <w:r>
        <w:rPr>
          <w:rFonts w:ascii="Arial" w:cs="Arial" w:eastAsia="Arial" w:hAnsi="Arial"/>
          <w:b/>
          <w:bCs/>
          <w:color w:val="1A1A18"/>
          <w:sz w:val="22"/>
          <w:szCs w:val="22"/>
        </w:rPr>
        <w:t xml:space="preserve">Schule:</w:t>
      </w:r>
      <w:r>
        <w:rPr>
          <w:rFonts w:ascii="Arial" w:cs="Arial" w:eastAsia="Arial" w:hAnsi="Arial"/>
          <w:color w:val="3D3D3A"/>
          <w:sz w:val="22"/>
          <w:szCs w:val="22"/>
        </w:rPr>
        <w:t xml:space="preserve"> Admin-Panel für Lehrer — Schüler anlegen, PINs vergeben, Lernstile und Ziele setzen, Schulcode für schnellen Login. </w:t>
      </w:r>
      <w:r>
        <w:rPr>
          <w:rFonts w:ascii="Arial" w:cs="Arial" w:eastAsia="Arial" w:hAnsi="Arial"/>
          <w:b/>
          <w:bCs/>
          <w:color w:val="1A1A18"/>
          <w:sz w:val="22"/>
          <w:szCs w:val="22"/>
        </w:rPr>
        <w:t xml:space="preserve">Student:</w:t>
      </w:r>
      <w:r>
        <w:rPr>
          <w:rFonts w:ascii="Arial" w:cs="Arial" w:eastAsia="Arial" w:hAnsi="Arial"/>
          <w:color w:val="3D3D3A"/>
          <w:sz w:val="22"/>
          <w:szCs w:val="22"/>
        </w:rPr>
        <w:t xml:space="preserve"> Eigenes Onboarding in 4 Schritten mit optionalem Abitur-Modus, vollständig autonome Nutzung.</w:t>
      </w:r>
    </w:p>
    <w:p>
      <w:pPr>
        <w:pStyle w:val="Heading2"/>
        <w:spacing w:before="300" w:after="160"/>
      </w:pPr>
      <w:r>
        <w:rPr>
          <w:rFonts w:ascii="Arial" w:cs="Arial" w:eastAsia="Arial" w:hAnsi="Arial"/>
          <w:b/>
          <w:bCs/>
          <w:color w:val="1A3328"/>
          <w:sz w:val="26"/>
          <w:szCs w:val="26"/>
        </w:rPr>
        <w:t xml:space="preserve">2.3 Technologie-Stack</w:t>
      </w:r>
    </w:p>
    <w:p>
      <w:pPr>
        <w:spacing w:after="160" w:line="312"/>
      </w:pPr>
      <w:r>
        <w:rPr>
          <w:rFonts w:ascii="Arial" w:cs="Arial" w:eastAsia="Arial" w:hAnsi="Arial"/>
          <w:color w:val="3D3D3A"/>
          <w:sz w:val="22"/>
          <w:szCs w:val="22"/>
        </w:rPr>
        <w:t xml:space="preserve">Single-Page-Application in Vanilla JS (HTML/CSS/JS), kein Framework — maximale Performance und Portabilität. LLM-Inference über Featherless API (Proxy für Open- &amp; Closed-Source-Modelle), Voice über ElevenLabs, Curriculum-Kontext über Needle RAG, Persistenz über Supabase (Postgres + Auth). Aktuell im BYOK-Modell (Bring Your Own Key) — für Skalierung ist ein managed Backend der kritischste nächste Schritt.</w:t>
      </w:r>
    </w:p>
    <w:p>
      <w:pPr>
        <w:pStyle w:val="Heading2"/>
        <w:spacing w:before="300" w:after="160"/>
      </w:pPr>
      <w:r>
        <w:rPr>
          <w:rFonts w:ascii="Arial" w:cs="Arial" w:eastAsia="Arial" w:hAnsi="Arial"/>
          <w:b/>
          <w:bCs/>
          <w:color w:val="1A3328"/>
          <w:sz w:val="26"/>
          <w:szCs w:val="26"/>
        </w:rPr>
        <w:t xml:space="preserve">2.4 Schulintegration — Guided als schulweites Ökosystem</w:t>
      </w:r>
    </w:p>
    <w:p>
      <w:pPr>
        <w:spacing w:after="160" w:line="312"/>
      </w:pPr>
      <w:r>
        <w:rPr>
          <w:rFonts w:ascii="Arial" w:cs="Arial" w:eastAsia="Arial" w:hAnsi="Arial"/>
          <w:color w:val="3D3D3A"/>
          <w:sz w:val="22"/>
          <w:szCs w:val="22"/>
        </w:rPr>
        <w:t xml:space="preserve">Die ambitionierteste Ausbaustufe ist die vollständige Integration in den Schulalltag. Die technische Spezifikation hierfür ist fertiggestellt und umfasst sechs Kernkomponenten:</w:t>
      </w:r>
    </w:p>
    <w:p>
      <w:pPr>
        <w:pStyle w:val="Heading3"/>
        <w:spacing w:before="240" w:after="120"/>
      </w:pPr>
      <w:r>
        <w:rPr>
          <w:rFonts w:ascii="Arial" w:cs="Arial" w:eastAsia="Arial" w:hAnsi="Arial"/>
          <w:b/>
          <w:bCs/>
          <w:color w:val="1A1A18"/>
          <w:sz w:val="22"/>
          <w:szCs w:val="22"/>
        </w:rPr>
        <w:t xml:space="preserve">Die Lehrer-Datenbank: Unterricht wird zum KI-Kontext</w:t>
      </w:r>
    </w:p>
    <w:p>
      <w:pPr>
        <w:spacing w:after="160" w:line="312"/>
      </w:pPr>
      <w:r>
        <w:rPr>
          <w:rFonts w:ascii="Arial" w:cs="Arial" w:eastAsia="Arial" w:hAnsi="Arial"/>
          <w:color w:val="3D3D3A"/>
          <w:sz w:val="22"/>
          <w:szCs w:val="22"/>
        </w:rPr>
        <w:t xml:space="preserve">Lehrkräfte laden nach jeder Unterrichtsstunde einen kurzen Eintrag hoch: Was wurde behandelt, welche Arbeitsblätter verteilt, optional ein Foto der Tafelanschrift. Das ist kein Mehraufwand — viele Schulen machen das bereits über Microsoft Teams. Guided erweitert diesen Workflow um die entscheidende Dimension: Die KI hat Zugriff auf diese Datenbank. Das bedeutet: Wenn ein Schüler abends seine Hausaufgaben bespricht, weiss Guided exakt, was heute in seiner Klasse behandelt wurde.</w:t>
      </w:r>
    </w:p>
    <w:p>
      <w:pPr>
        <w:pStyle w:val="Heading3"/>
        <w:spacing w:before="240" w:after="120"/>
      </w:pPr>
      <w:r>
        <w:rPr>
          <w:rFonts w:ascii="Arial" w:cs="Arial" w:eastAsia="Arial" w:hAnsi="Arial"/>
          <w:b/>
          <w:bCs/>
          <w:color w:val="1A1A18"/>
          <w:sz w:val="22"/>
          <w:szCs w:val="22"/>
        </w:rPr>
        <w:t xml:space="preserve">Jahresplan-Integration: Der Tutor kennt die Zukunft</w:t>
      </w:r>
    </w:p>
    <w:p>
      <w:pPr>
        <w:spacing w:after="160" w:line="312"/>
      </w:pPr>
      <w:r>
        <w:rPr>
          <w:rFonts w:ascii="Arial" w:cs="Arial" w:eastAsia="Arial" w:hAnsi="Arial"/>
          <w:color w:val="3D3D3A"/>
          <w:sz w:val="22"/>
          <w:szCs w:val="22"/>
        </w:rPr>
        <w:t xml:space="preserve">Lehrkräfte verbinden Guided mit ihrem Jahresplan pro Fach. Das System weiss dann nicht nur, was heute passiert ist, sondern auch: Was kommt als Nächstes? Was wird in der nächsten Klausur geprüft? Welche Themen bauen aufeinander auf? Das erlaubt proaktives Tutoring: "Du hast letzte Woche lineare Gleichungen gemacht — nächste Woche kommen quadratische dran. Wollen wir schon mal schauen, was sich ändert?"</w:t>
      </w:r>
    </w:p>
    <w:p>
      <w:pPr>
        <w:pStyle w:val="Heading3"/>
        <w:spacing w:before="240" w:after="120"/>
      </w:pPr>
      <w:r>
        <w:rPr>
          <w:rFonts w:ascii="Arial" w:cs="Arial" w:eastAsia="Arial" w:hAnsi="Arial"/>
          <w:b/>
          <w:bCs/>
          <w:color w:val="1A1A18"/>
          <w:sz w:val="22"/>
          <w:szCs w:val="22"/>
        </w:rPr>
        <w:t xml:space="preserve">Klassen- und Lehrer-Management</w:t>
      </w:r>
    </w:p>
    <w:p>
      <w:pPr>
        <w:spacing w:after="160" w:line="312"/>
      </w:pPr>
      <w:r>
        <w:rPr>
          <w:rFonts w:ascii="Arial" w:cs="Arial" w:eastAsia="Arial" w:hAnsi="Arial"/>
          <w:color w:val="3D3D3A"/>
          <w:sz w:val="22"/>
          <w:szCs w:val="22"/>
        </w:rPr>
        <w:t xml:space="preserve">Das Admin-Dashboard wird zu einem vollständigen Schul-Ökosystem erweitert mit Tab-basierter Navigation: Schüler, Klassen, Lehrer, Unterrichtslog, Jahresplan, Analytics. Lehrer erhalten ein eigenes Dashboard mit vereinfachtem Interface für den täglichen Workflow. Klassen können erstellt und Schüler zugeordnet werden. Der gesamte Kontext — Lehrer-Einträge, Jahresplan, Schülerprofil — fliesst automatisch in den System Prompt.</w:t>
      </w:r>
    </w:p>
    <w:p>
      <w:r>
        <w:br w:type="page"/>
      </w:r>
    </w:p>
    <w:p>
      <w:pPr>
        <w:pStyle w:val="Heading1"/>
        <w:spacing w:before="400" w:after="200"/>
      </w:pPr>
      <w:r>
        <w:rPr>
          <w:rFonts w:ascii="Arial" w:cs="Arial" w:eastAsia="Arial" w:hAnsi="Arial"/>
          <w:b/>
          <w:bCs/>
          <w:color w:val="1A3328"/>
          <w:sz w:val="32"/>
          <w:szCs w:val="32"/>
        </w:rPr>
        <w:t xml:space="preserve">3. Zielgruppen &amp; Personas</w:t>
      </w:r>
    </w:p>
    <w:p>
      <w:pPr>
        <w:pStyle w:val="Heading2"/>
        <w:spacing w:before="300" w:after="160"/>
      </w:pPr>
      <w:r>
        <w:rPr>
          <w:rFonts w:ascii="Arial" w:cs="Arial" w:eastAsia="Arial" w:hAnsi="Arial"/>
          <w:b/>
          <w:bCs/>
          <w:color w:val="1A3328"/>
          <w:sz w:val="26"/>
          <w:szCs w:val="26"/>
        </w:rPr>
        <w:t xml:space="preserve">3.1 Die engagierte Mutter — Sarah, 40</w:t>
      </w:r>
    </w:p>
    <w:p>
      <w:pPr>
        <w:spacing w:after="160" w:line="312"/>
      </w:pPr>
      <w:r>
        <w:rPr>
          <w:rFonts w:ascii="Arial" w:cs="Arial" w:eastAsia="Arial" w:hAnsi="Arial"/>
          <w:color w:val="3D3D3A"/>
          <w:sz w:val="22"/>
          <w:szCs w:val="22"/>
        </w:rPr>
        <w:t xml:space="preserve">Zwei Kinder (10 und 13 Jahre), Vollzeitjob, lebt in einer Mittelstadt in DACH. Sie möchte, dass ihre Kinder nicht nur Hausaufgaben abarbeiten, sondern verstehen, was sie tun. Sie hat keine Zeit für tägliche Nachhilfe-Sessions und misstraut ChatGPT als Lernwerkzeug. Sarah braucht ein Dashboard, das ihr zeigt: Lernt mein Kind wirklich — oder kopiert es nur?</w:t>
      </w:r>
    </w:p>
    <w:p>
      <w:pPr>
        <w:pStyle w:val="Heading2"/>
        <w:spacing w:before="300" w:after="160"/>
      </w:pPr>
      <w:r>
        <w:rPr>
          <w:rFonts w:ascii="Arial" w:cs="Arial" w:eastAsia="Arial" w:hAnsi="Arial"/>
          <w:b/>
          <w:bCs/>
          <w:color w:val="1A3328"/>
          <w:sz w:val="26"/>
          <w:szCs w:val="26"/>
        </w:rPr>
        <w:t xml:space="preserve">3.2 Der engagierte Lehrer — Markus, 52</w:t>
      </w:r>
    </w:p>
    <w:p>
      <w:pPr>
        <w:spacing w:after="160" w:line="312"/>
      </w:pPr>
      <w:r>
        <w:rPr>
          <w:rFonts w:ascii="Arial" w:cs="Arial" w:eastAsia="Arial" w:hAnsi="Arial"/>
          <w:color w:val="3D3D3A"/>
          <w:sz w:val="22"/>
          <w:szCs w:val="22"/>
        </w:rPr>
        <w:t xml:space="preserve">Unterrichtet seit 16 Jahren Mathematik und Physik an einem Gymnasium. Er weiss, dass seine Schüler ChatGPT nutzen, und hat versucht, es zu verbieten — erfolglos. Er sucht eine Alternative, die KI konstruktiv einsetzt, ohne den Lernprozess zu zerstören. Der Lehrer fragt das tiefere Wissen ab, nicht Daten und Informationen — und genau das kann die KI besser begleiten. Markus will in 10 Minuten seine Klasse einrichten, täglich in 2 Minuten seinen Unterricht loggen, und am Ende des Monats sehen, welche Schüler wirklich arbeiten.</w:t>
      </w:r>
    </w:p>
    <w:p>
      <w:pPr>
        <w:pStyle w:val="Heading2"/>
        <w:spacing w:before="300" w:after="160"/>
      </w:pPr>
      <w:r>
        <w:rPr>
          <w:rFonts w:ascii="Arial" w:cs="Arial" w:eastAsia="Arial" w:hAnsi="Arial"/>
          <w:b/>
          <w:bCs/>
          <w:color w:val="1A3328"/>
          <w:sz w:val="26"/>
          <w:szCs w:val="26"/>
        </w:rPr>
        <w:t xml:space="preserve">3.3 Der Abiturient — Lena, 17 (NEU)</w:t>
      </w:r>
    </w:p>
    <w:p>
      <w:pPr>
        <w:spacing w:after="160" w:line="312"/>
      </w:pPr>
      <w:r>
        <w:rPr>
          <w:rFonts w:ascii="Arial" w:cs="Arial" w:eastAsia="Arial" w:hAnsi="Arial"/>
          <w:color w:val="3D3D3A"/>
          <w:sz w:val="22"/>
          <w:szCs w:val="22"/>
        </w:rPr>
        <w:t xml:space="preserve">Bereitet sich auf das Abitur in Bayern vor, Leistungskurse Mathematik und Physik. Sie braucht keinen allgemeinen Tutor, sondern einen, der die bayerischen Prüfungsschwerpunkte kennt und auf Evaluate-Niveau frägt. Der Abitur-Modus lädt automatisch die relevanten Schwerpunkte und passt die Tutoring-Tiefe an — genau die Personalisierung, die kein Nachhilfelehrer in dieser Breite leisten kann.</w:t>
      </w:r>
    </w:p>
    <w:p>
      <w:pPr>
        <w:pStyle w:val="Heading2"/>
        <w:spacing w:before="300" w:after="160"/>
      </w:pPr>
      <w:r>
        <w:rPr>
          <w:rFonts w:ascii="Arial" w:cs="Arial" w:eastAsia="Arial" w:hAnsi="Arial"/>
          <w:b/>
          <w:bCs/>
          <w:color w:val="1A3328"/>
          <w:sz w:val="26"/>
          <w:szCs w:val="26"/>
        </w:rPr>
        <w:t xml:space="preserve">3.4 Der selbstständige Schüler — Tom, 14</w:t>
      </w:r>
    </w:p>
    <w:p>
      <w:pPr>
        <w:spacing w:after="160" w:line="312"/>
      </w:pPr>
      <w:r>
        <w:rPr>
          <w:rFonts w:ascii="Arial" w:cs="Arial" w:eastAsia="Arial" w:hAnsi="Arial"/>
          <w:color w:val="3D3D3A"/>
          <w:sz w:val="22"/>
          <w:szCs w:val="22"/>
        </w:rPr>
        <w:t xml:space="preserve">Nutzt Guided ohne Eltern-Beteiligung. Hat sich selbst ongeboardet, lernt nach der Schule eigenständig. Guided gibt ihm die Möglichkeit, unendlich oft zu fragen — ohne Scham, in eigener Geschwindigkeit. Ein Kind kann 20x dieselbe Frage stellen, ohne dass jemand genervt reagiert. Das ist der emotionale Kern des Produkts.</w:t>
      </w:r>
    </w:p>
    <w:p>
      <w:r>
        <w:br w:type="page"/>
      </w:r>
    </w:p>
    <w:p>
      <w:pPr>
        <w:pStyle w:val="Heading1"/>
        <w:spacing w:before="400" w:after="200"/>
      </w:pPr>
      <w:r>
        <w:rPr>
          <w:rFonts w:ascii="Arial" w:cs="Arial" w:eastAsia="Arial" w:hAnsi="Arial"/>
          <w:b/>
          <w:bCs/>
          <w:color w:val="1A3328"/>
          <w:sz w:val="32"/>
          <w:szCs w:val="32"/>
        </w:rPr>
        <w:t xml:space="preserve">4. Use Cases</w:t>
      </w:r>
    </w:p>
    <w:p>
      <w:pPr>
        <w:pStyle w:val="Heading2"/>
        <w:spacing w:before="300" w:after="160"/>
      </w:pPr>
      <w:r>
        <w:rPr>
          <w:rFonts w:ascii="Arial" w:cs="Arial" w:eastAsia="Arial" w:hAnsi="Arial"/>
          <w:b/>
          <w:bCs/>
          <w:color w:val="1A3328"/>
          <w:sz w:val="26"/>
          <w:szCs w:val="26"/>
        </w:rPr>
        <w:t xml:space="preserve">4.1 Schulweiter Ablauf (Kern-Use-Case)</w:t>
      </w:r>
    </w:p>
    <w:p>
      <w:pPr>
        <w:spacing w:after="160" w:line="312"/>
      </w:pPr>
      <w:r>
        <w:rPr>
          <w:rFonts w:ascii="Arial" w:cs="Arial" w:eastAsia="Arial" w:hAnsi="Arial"/>
          <w:b/>
          <w:bCs/>
          <w:color w:val="1A1A18"/>
          <w:sz w:val="22"/>
          <w:szCs w:val="22"/>
        </w:rPr>
        <w:t xml:space="preserve">Phase 0 — Erstkontakt:</w:t>
      </w:r>
      <w:r>
        <w:rPr>
          <w:rFonts w:ascii="Arial" w:cs="Arial" w:eastAsia="Arial" w:hAnsi="Arial"/>
          <w:color w:val="3D3D3A"/>
          <w:sz w:val="22"/>
          <w:szCs w:val="22"/>
        </w:rPr>
        <w:t xml:space="preserve"> Ein Lehrer entdeckt Guided über Konferenz, Kollegenempfehlung oder SEO. Bottom-up-Strategie: Lehrer als Einstiegspunkt, nicht Schulbehörden — schneller, weniger Bürokratie. Pilotvereinbarung: kostenlos gegen Testimonials und Daten.</w:t>
      </w:r>
    </w:p>
    <w:p>
      <w:pPr>
        <w:spacing w:after="160" w:line="312"/>
      </w:pPr>
      <w:r>
        <w:rPr>
          <w:rFonts w:ascii="Arial" w:cs="Arial" w:eastAsia="Arial" w:hAnsi="Arial"/>
          <w:b/>
          <w:bCs/>
          <w:color w:val="1A1A18"/>
          <w:sz w:val="22"/>
          <w:szCs w:val="22"/>
        </w:rPr>
        <w:t xml:space="preserve">Phase 1 — Schule einrichten:</w:t>
      </w:r>
      <w:r>
        <w:rPr>
          <w:rFonts w:ascii="Arial" w:cs="Arial" w:eastAsia="Arial" w:hAnsi="Arial"/>
          <w:color w:val="3D3D3A"/>
          <w:sz w:val="22"/>
          <w:szCs w:val="22"/>
        </w:rPr>
        <w:t xml:space="preserve"> Admin erstellt die Schule im Admin-Panel, erhält 6-stelligen Schulcode, legt Schüler an mit auto-generierten PINs, Lernstilen und Zielen. Das Einrichten dauert 10 Minuten. Die Schüler brauchen keine E-Mail-Adresse, kein Google-Konto.</w:t>
      </w:r>
    </w:p>
    <w:p>
      <w:pPr>
        <w:spacing w:after="160" w:line="312"/>
      </w:pPr>
      <w:r>
        <w:rPr>
          <w:rFonts w:ascii="Arial" w:cs="Arial" w:eastAsia="Arial" w:hAnsi="Arial"/>
          <w:b/>
          <w:bCs/>
          <w:color w:val="1A1A18"/>
          <w:sz w:val="22"/>
          <w:szCs w:val="22"/>
        </w:rPr>
        <w:t xml:space="preserve">Phase 2 — Lehrer-Workflow (täglich):</w:t>
      </w:r>
      <w:r>
        <w:rPr>
          <w:rFonts w:ascii="Arial" w:cs="Arial" w:eastAsia="Arial" w:hAnsi="Arial"/>
          <w:color w:val="3D3D3A"/>
          <w:sz w:val="22"/>
          <w:szCs w:val="22"/>
        </w:rPr>
        <w:t xml:space="preserve"> Nach jeder Stunde loggt der Lehrer in 2 Minuten: Klasse, Fach, was behandelt wurde, Hausaufgabe, optional Arbeitsblatt-Foto. Der Workflow muss so simpel sein wie eine WhatsApp-Nachricht. Dazu kommt der einmalige Jahresplan-Upload pro Fach.</w:t>
      </w:r>
    </w:p>
    <w:p>
      <w:pPr>
        <w:spacing w:after="160" w:line="312"/>
      </w:pPr>
      <w:r>
        <w:rPr>
          <w:rFonts w:ascii="Arial" w:cs="Arial" w:eastAsia="Arial" w:hAnsi="Arial"/>
          <w:b/>
          <w:bCs/>
          <w:color w:val="1A1A18"/>
          <w:sz w:val="22"/>
          <w:szCs w:val="22"/>
        </w:rPr>
        <w:t xml:space="preserve">Phase 3 — Schüler-Erlebnis:</w:t>
      </w:r>
      <w:r>
        <w:rPr>
          <w:rFonts w:ascii="Arial" w:cs="Arial" w:eastAsia="Arial" w:hAnsi="Arial"/>
          <w:color w:val="3D3D3A"/>
          <w:sz w:val="22"/>
          <w:szCs w:val="22"/>
        </w:rPr>
        <w:t xml:space="preserve"> Login via Schulcode + PIN, dann sokratisches Tutoring. Der System Prompt enthält automatisch den Unterrichtskontext der letzten 7 Tage plus Jahresplan. Der Tutor weiss, was heute in der Schule passiert ist und was als nächstes kommt.</w:t>
      </w:r>
    </w:p>
    <w:p>
      <w:pPr>
        <w:spacing w:after="160" w:line="312"/>
      </w:pPr>
      <w:r>
        <w:rPr>
          <w:rFonts w:ascii="Arial" w:cs="Arial" w:eastAsia="Arial" w:hAnsi="Arial"/>
          <w:b/>
          <w:bCs/>
          <w:color w:val="1A1A18"/>
          <w:sz w:val="22"/>
          <w:szCs w:val="22"/>
        </w:rPr>
        <w:t xml:space="preserve">Phase 4 — Reporting:</w:t>
      </w:r>
      <w:r>
        <w:rPr>
          <w:rFonts w:ascii="Arial" w:cs="Arial" w:eastAsia="Arial" w:hAnsi="Arial"/>
          <w:color w:val="3D3D3A"/>
          <w:sz w:val="22"/>
          <w:szCs w:val="22"/>
        </w:rPr>
        <w:t xml:space="preserve"> Bloom-Tracking zeigt kognitiven Fortschritt, das Lehrer-Dashboard gibt Klassenüberblick (Sessions, Bloom-Level, AHA-Momente, Independence Score), das Eltern-Dashboard bietet Live-Einblick plus PDF-Export.</w:t>
      </w:r>
    </w:p>
    <w:p>
      <w:pPr>
        <w:pStyle w:val="Heading2"/>
        <w:spacing w:before="300" w:after="160"/>
      </w:pPr>
      <w:r>
        <w:rPr>
          <w:rFonts w:ascii="Arial" w:cs="Arial" w:eastAsia="Arial" w:hAnsi="Arial"/>
          <w:b/>
          <w:bCs/>
          <w:color w:val="1A3328"/>
          <w:sz w:val="26"/>
          <w:szCs w:val="26"/>
        </w:rPr>
        <w:t xml:space="preserve">4.2 Abitur-Vorbereitung (NEU)</w:t>
      </w:r>
    </w:p>
    <w:p>
      <w:pPr>
        <w:spacing w:after="160" w:line="312"/>
      </w:pPr>
      <w:r>
        <w:rPr>
          <w:rFonts w:ascii="Arial" w:cs="Arial" w:eastAsia="Arial" w:hAnsi="Arial"/>
          <w:color w:val="3D3D3A"/>
          <w:sz w:val="22"/>
          <w:szCs w:val="22"/>
        </w:rPr>
        <w:t xml:space="preserve">Lena aktiviert den Abitur-Modus: Bayern, LK Mathe + Physik, GK Deutsch, Geschichte, Englisch. Guided lädt automatisch die bayerischen Prüfungsschwerpunkte via Needle RAG. Wenn Lena über Mathematik spricht, erkennt die Subject-Detection das Fach automatisch und passt den Kontext an. Das Tutoring geht tiefer: Abitur-Analyse-Fragen, Evaluate-Level, Verknüpfung zwischen Themenblöcken.</w:t>
      </w:r>
    </w:p>
    <w:p>
      <w:r>
        <w:br w:type="page"/>
      </w:r>
    </w:p>
    <w:p>
      <w:pPr>
        <w:pStyle w:val="Heading1"/>
        <w:spacing w:before="400" w:after="200"/>
      </w:pPr>
      <w:r>
        <w:rPr>
          <w:rFonts w:ascii="Arial" w:cs="Arial" w:eastAsia="Arial" w:hAnsi="Arial"/>
          <w:b/>
          <w:bCs/>
          <w:color w:val="1A3328"/>
          <w:sz w:val="32"/>
          <w:szCs w:val="32"/>
        </w:rPr>
        <w:t xml:space="preserve">5. Wettbewerbspositionierung</w:t>
      </w:r>
    </w:p>
    <w:p>
      <w:pPr>
        <w:spacing w:after="160" w:line="312"/>
      </w:pPr>
      <w:r>
        <w:rPr>
          <w:rFonts w:ascii="Arial" w:cs="Arial" w:eastAsia="Arial" w:hAnsi="Arial"/>
          <w:color w:val="3D3D3A"/>
          <w:sz w:val="22"/>
          <w:szCs w:val="22"/>
        </w:rPr>
        <w:t xml:space="preserve">Der folgende Vergleich zeigt, warum Guided in mehreren zentralen Punkten alleinsteht: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400"/>
        <w:gridCol w:w="1400"/>
        <w:gridCol w:w="1100"/>
        <w:gridCol w:w="1206"/>
      </w:tblGrid>
      <w:tr>
        <w:tc>
          <w:tcPr>
            <w:tcW w:type="dxa" w:w="1800"/>
            <w:tcBorders>
              <w:top w:val="single" w:color="D4D4C8" w:sz="1"/>
              <w:left w:val="single" w:color="D4D4C8" w:sz="1"/>
              <w:bottom w:val="single" w:color="D4D4C8" w:sz="1"/>
              <w:right w:val="single" w:color="D4D4C8" w:sz="1"/>
            </w:tcBorders>
            <w:shd w:fill="1A3328" w:val="clear"/>
            <w:tcMar>
              <w:top w:type="dxa" w:w="80"/>
              <w:left w:type="dxa" w:w="120"/>
              <w:bottom w:type="dxa" w:w="80"/>
              <w:right w:type="dxa" w:w="120"/>
            </w:tcMar>
          </w:tcPr>
          <w:p>
            <w:r>
              <w:rPr>
                <w:rFonts w:ascii="Arial" w:cs="Arial" w:eastAsia="Arial" w:hAnsi="Arial"/>
                <w:b/>
                <w:bCs/>
                <w:color w:val="FFFFFF"/>
                <w:sz w:val="20"/>
                <w:szCs w:val="20"/>
              </w:rPr>
              <w:t xml:space="preserve">Anbieter</w:t>
            </w:r>
          </w:p>
        </w:tc>
        <w:tc>
          <w:tcPr>
            <w:tcW w:type="dxa" w:w="1200"/>
            <w:tcBorders>
              <w:top w:val="single" w:color="D4D4C8" w:sz="1"/>
              <w:left w:val="single" w:color="D4D4C8" w:sz="1"/>
              <w:bottom w:val="single" w:color="D4D4C8" w:sz="1"/>
              <w:right w:val="single" w:color="D4D4C8" w:sz="1"/>
            </w:tcBorders>
            <w:shd w:fill="1A3328" w:val="clear"/>
            <w:tcMar>
              <w:top w:type="dxa" w:w="80"/>
              <w:left w:type="dxa" w:w="120"/>
              <w:bottom w:type="dxa" w:w="80"/>
              <w:right w:type="dxa" w:w="120"/>
            </w:tcMar>
          </w:tcPr>
          <w:p>
            <w:r>
              <w:rPr>
                <w:rFonts w:ascii="Arial" w:cs="Arial" w:eastAsia="Arial" w:hAnsi="Arial"/>
                <w:b/>
                <w:bCs/>
                <w:color w:val="FFFFFF"/>
                <w:sz w:val="20"/>
                <w:szCs w:val="20"/>
              </w:rPr>
              <w:t xml:space="preserve">Antwortet direkt?</w:t>
            </w:r>
          </w:p>
        </w:tc>
        <w:tc>
          <w:tcPr>
            <w:tcW w:type="dxa" w:w="1200"/>
            <w:tcBorders>
              <w:top w:val="single" w:color="D4D4C8" w:sz="1"/>
              <w:left w:val="single" w:color="D4D4C8" w:sz="1"/>
              <w:bottom w:val="single" w:color="D4D4C8" w:sz="1"/>
              <w:right w:val="single" w:color="D4D4C8" w:sz="1"/>
            </w:tcBorders>
            <w:shd w:fill="1A3328" w:val="clear"/>
            <w:tcMar>
              <w:top w:type="dxa" w:w="80"/>
              <w:left w:type="dxa" w:w="120"/>
              <w:bottom w:type="dxa" w:w="80"/>
              <w:right w:type="dxa" w:w="120"/>
            </w:tcMar>
          </w:tcPr>
          <w:p>
            <w:r>
              <w:rPr>
                <w:rFonts w:ascii="Arial" w:cs="Arial" w:eastAsia="Arial" w:hAnsi="Arial"/>
                <w:b/>
                <w:bCs/>
                <w:color w:val="FFFFFF"/>
                <w:sz w:val="20"/>
                <w:szCs w:val="20"/>
              </w:rPr>
              <w:t xml:space="preserve">Eltern-Dashboard</w:t>
            </w:r>
          </w:p>
        </w:tc>
        <w:tc>
          <w:tcPr>
            <w:tcW w:type="dxa" w:w="1400"/>
            <w:tcBorders>
              <w:top w:val="single" w:color="D4D4C8" w:sz="1"/>
              <w:left w:val="single" w:color="D4D4C8" w:sz="1"/>
              <w:bottom w:val="single" w:color="D4D4C8" w:sz="1"/>
              <w:right w:val="single" w:color="D4D4C8" w:sz="1"/>
            </w:tcBorders>
            <w:shd w:fill="1A3328" w:val="clear"/>
            <w:tcMar>
              <w:top w:type="dxa" w:w="80"/>
              <w:left w:type="dxa" w:w="120"/>
              <w:bottom w:type="dxa" w:w="80"/>
              <w:right w:type="dxa" w:w="120"/>
            </w:tcMar>
          </w:tcPr>
          <w:p>
            <w:r>
              <w:rPr>
                <w:rFonts w:ascii="Arial" w:cs="Arial" w:eastAsia="Arial" w:hAnsi="Arial"/>
                <w:b/>
                <w:bCs/>
                <w:color w:val="FFFFFF"/>
                <w:sz w:val="20"/>
                <w:szCs w:val="20"/>
              </w:rPr>
              <w:t xml:space="preserve">Schul-Integration</w:t>
            </w:r>
          </w:p>
        </w:tc>
        <w:tc>
          <w:tcPr>
            <w:tcW w:type="dxa" w:w="1400"/>
            <w:tcBorders>
              <w:top w:val="single" w:color="D4D4C8" w:sz="1"/>
              <w:left w:val="single" w:color="D4D4C8" w:sz="1"/>
              <w:bottom w:val="single" w:color="D4D4C8" w:sz="1"/>
              <w:right w:val="single" w:color="D4D4C8" w:sz="1"/>
            </w:tcBorders>
            <w:shd w:fill="1A3328" w:val="clear"/>
            <w:tcMar>
              <w:top w:type="dxa" w:w="80"/>
              <w:left w:type="dxa" w:w="120"/>
              <w:bottom w:type="dxa" w:w="80"/>
              <w:right w:type="dxa" w:w="120"/>
            </w:tcMar>
          </w:tcPr>
          <w:p>
            <w:r>
              <w:rPr>
                <w:rFonts w:ascii="Arial" w:cs="Arial" w:eastAsia="Arial" w:hAnsi="Arial"/>
                <w:b/>
                <w:bCs/>
                <w:color w:val="FFFFFF"/>
                <w:sz w:val="20"/>
                <w:szCs w:val="20"/>
              </w:rPr>
              <w:t xml:space="preserve">Bloom-Tracking</w:t>
            </w:r>
          </w:p>
        </w:tc>
        <w:tc>
          <w:tcPr>
            <w:tcW w:type="dxa" w:w="1100"/>
            <w:tcBorders>
              <w:top w:val="single" w:color="D4D4C8" w:sz="1"/>
              <w:left w:val="single" w:color="D4D4C8" w:sz="1"/>
              <w:bottom w:val="single" w:color="D4D4C8" w:sz="1"/>
              <w:right w:val="single" w:color="D4D4C8" w:sz="1"/>
            </w:tcBorders>
            <w:shd w:fill="1A3328" w:val="clear"/>
            <w:tcMar>
              <w:top w:type="dxa" w:w="80"/>
              <w:left w:type="dxa" w:w="120"/>
              <w:bottom w:type="dxa" w:w="80"/>
              <w:right w:type="dxa" w:w="120"/>
            </w:tcMar>
          </w:tcPr>
          <w:p>
            <w:r>
              <w:rPr>
                <w:rFonts w:ascii="Arial" w:cs="Arial" w:eastAsia="Arial" w:hAnsi="Arial"/>
                <w:b/>
                <w:bCs/>
                <w:color w:val="FFFFFF"/>
                <w:sz w:val="20"/>
                <w:szCs w:val="20"/>
              </w:rPr>
              <w:t xml:space="preserve">Abitur-Modus</w:t>
            </w:r>
          </w:p>
        </w:tc>
        <w:tc>
          <w:tcPr>
            <w:tcW w:type="dxa" w:w="1206"/>
            <w:tcBorders>
              <w:top w:val="single" w:color="D4D4C8" w:sz="1"/>
              <w:left w:val="single" w:color="D4D4C8" w:sz="1"/>
              <w:bottom w:val="single" w:color="D4D4C8" w:sz="1"/>
              <w:right w:val="single" w:color="D4D4C8" w:sz="1"/>
            </w:tcBorders>
            <w:shd w:fill="1A3328" w:val="clear"/>
            <w:tcMar>
              <w:top w:type="dxa" w:w="80"/>
              <w:left w:type="dxa" w:w="120"/>
              <w:bottom w:type="dxa" w:w="80"/>
              <w:right w:type="dxa" w:w="120"/>
            </w:tcMar>
          </w:tcPr>
          <w:p>
            <w:r>
              <w:rPr>
                <w:rFonts w:ascii="Arial" w:cs="Arial" w:eastAsia="Arial" w:hAnsi="Arial"/>
                <w:b/>
                <w:bCs/>
                <w:color w:val="FFFFFF"/>
                <w:sz w:val="20"/>
                <w:szCs w:val="20"/>
              </w:rPr>
              <w:t xml:space="preserve">Lehrer-Datenbank</w:t>
            </w:r>
          </w:p>
        </w:tc>
      </w:tr>
      <w:tr>
        <w:tc>
          <w:tcPr>
            <w:tcW w:type="dxa" w:w="1800"/>
            <w:tcBorders>
              <w:top w:val="single" w:color="D4D4C8" w:sz="1"/>
              <w:left w:val="single" w:color="D4D4C8" w:sz="1"/>
              <w:bottom w:val="single" w:color="D4D4C8" w:sz="1"/>
              <w:right w:val="single" w:color="D4D4C8" w:sz="1"/>
            </w:tcBorders>
            <w:shd w:fill="EBF2EC" w:val="clear"/>
            <w:tcMar>
              <w:top w:type="dxa" w:w="80"/>
              <w:left w:type="dxa" w:w="120"/>
              <w:bottom w:type="dxa" w:w="80"/>
              <w:right w:type="dxa" w:w="120"/>
            </w:tcMar>
          </w:tcPr>
          <w:p>
            <w:r>
              <w:rPr>
                <w:rFonts w:ascii="Arial" w:cs="Arial" w:eastAsia="Arial" w:hAnsi="Arial"/>
                <w:color w:val="3D3D3A"/>
                <w:sz w:val="20"/>
                <w:szCs w:val="20"/>
              </w:rPr>
              <w:t xml:space="preserve">Guided</w:t>
            </w:r>
          </w:p>
        </w:tc>
        <w:tc>
          <w:tcPr>
            <w:tcW w:type="dxa" w:w="1200"/>
            <w:tcBorders>
              <w:top w:val="single" w:color="D4D4C8" w:sz="1"/>
              <w:left w:val="single" w:color="D4D4C8" w:sz="1"/>
              <w:bottom w:val="single" w:color="D4D4C8" w:sz="1"/>
              <w:right w:val="single" w:color="D4D4C8" w:sz="1"/>
            </w:tcBorders>
            <w:shd w:fill="EBF2EC" w:val="clear"/>
            <w:tcMar>
              <w:top w:type="dxa" w:w="80"/>
              <w:left w:type="dxa" w:w="120"/>
              <w:bottom w:type="dxa" w:w="80"/>
              <w:right w:type="dxa" w:w="120"/>
            </w:tcMar>
          </w:tcPr>
          <w:p>
            <w:r>
              <w:rPr>
                <w:rFonts w:ascii="Arial" w:cs="Arial" w:eastAsia="Arial" w:hAnsi="Arial"/>
                <w:color w:val="3D3D3A"/>
                <w:sz w:val="20"/>
                <w:szCs w:val="20"/>
              </w:rPr>
              <w:t xml:space="preserve">❌ Niemals</w:t>
            </w:r>
          </w:p>
        </w:tc>
        <w:tc>
          <w:tcPr>
            <w:tcW w:type="dxa" w:w="1200"/>
            <w:tcBorders>
              <w:top w:val="single" w:color="D4D4C8" w:sz="1"/>
              <w:left w:val="single" w:color="D4D4C8" w:sz="1"/>
              <w:bottom w:val="single" w:color="D4D4C8" w:sz="1"/>
              <w:right w:val="single" w:color="D4D4C8" w:sz="1"/>
            </w:tcBorders>
            <w:shd w:fill="EBF2EC" w:val="clear"/>
            <w:tcMar>
              <w:top w:type="dxa" w:w="80"/>
              <w:left w:type="dxa" w:w="120"/>
              <w:bottom w:type="dxa" w:w="80"/>
              <w:right w:type="dxa" w:w="120"/>
            </w:tcMar>
          </w:tcPr>
          <w:p>
            <w:r>
              <w:rPr>
                <w:rFonts w:ascii="Arial" w:cs="Arial" w:eastAsia="Arial" w:hAnsi="Arial"/>
                <w:color w:val="3D3D3A"/>
                <w:sz w:val="20"/>
                <w:szCs w:val="20"/>
              </w:rPr>
              <w:t xml:space="preserve">✅ Live</w:t>
            </w:r>
          </w:p>
        </w:tc>
        <w:tc>
          <w:tcPr>
            <w:tcW w:type="dxa" w:w="1400"/>
            <w:tcBorders>
              <w:top w:val="single" w:color="D4D4C8" w:sz="1"/>
              <w:left w:val="single" w:color="D4D4C8" w:sz="1"/>
              <w:bottom w:val="single" w:color="D4D4C8" w:sz="1"/>
              <w:right w:val="single" w:color="D4D4C8" w:sz="1"/>
            </w:tcBorders>
            <w:shd w:fill="EBF2EC" w:val="clear"/>
            <w:tcMar>
              <w:top w:type="dxa" w:w="80"/>
              <w:left w:type="dxa" w:w="120"/>
              <w:bottom w:type="dxa" w:w="80"/>
              <w:right w:type="dxa" w:w="120"/>
            </w:tcMar>
          </w:tcPr>
          <w:p>
            <w:r>
              <w:rPr>
                <w:rFonts w:ascii="Arial" w:cs="Arial" w:eastAsia="Arial" w:hAnsi="Arial"/>
                <w:color w:val="3D3D3A"/>
                <w:sz w:val="20"/>
                <w:szCs w:val="20"/>
              </w:rPr>
              <w:t xml:space="preserve">✅ Admin-Panel</w:t>
            </w:r>
          </w:p>
        </w:tc>
        <w:tc>
          <w:tcPr>
            <w:tcW w:type="dxa" w:w="1400"/>
            <w:tcBorders>
              <w:top w:val="single" w:color="D4D4C8" w:sz="1"/>
              <w:left w:val="single" w:color="D4D4C8" w:sz="1"/>
              <w:bottom w:val="single" w:color="D4D4C8" w:sz="1"/>
              <w:right w:val="single" w:color="D4D4C8" w:sz="1"/>
            </w:tcBorders>
            <w:shd w:fill="EBF2EC" w:val="clear"/>
            <w:tcMar>
              <w:top w:type="dxa" w:w="80"/>
              <w:left w:type="dxa" w:w="120"/>
              <w:bottom w:type="dxa" w:w="80"/>
              <w:right w:type="dxa" w:w="120"/>
            </w:tcMar>
          </w:tcPr>
          <w:p>
            <w:r>
              <w:rPr>
                <w:rFonts w:ascii="Arial" w:cs="Arial" w:eastAsia="Arial" w:hAnsi="Arial"/>
                <w:color w:val="3D3D3A"/>
                <w:sz w:val="20"/>
                <w:szCs w:val="20"/>
              </w:rPr>
              <w:t xml:space="preserve">✅ Live-Tags</w:t>
            </w:r>
          </w:p>
        </w:tc>
        <w:tc>
          <w:tcPr>
            <w:tcW w:type="dxa" w:w="1100"/>
            <w:tcBorders>
              <w:top w:val="single" w:color="D4D4C8" w:sz="1"/>
              <w:left w:val="single" w:color="D4D4C8" w:sz="1"/>
              <w:bottom w:val="single" w:color="D4D4C8" w:sz="1"/>
              <w:right w:val="single" w:color="D4D4C8" w:sz="1"/>
            </w:tcBorders>
            <w:shd w:fill="EBF2EC" w:val="clear"/>
            <w:tcMar>
              <w:top w:type="dxa" w:w="80"/>
              <w:left w:type="dxa" w:w="120"/>
              <w:bottom w:type="dxa" w:w="80"/>
              <w:right w:type="dxa" w:w="120"/>
            </w:tcMar>
          </w:tcPr>
          <w:p>
            <w:r>
              <w:rPr>
                <w:rFonts w:ascii="Arial" w:cs="Arial" w:eastAsia="Arial" w:hAnsi="Arial"/>
                <w:color w:val="3D3D3A"/>
                <w:sz w:val="20"/>
                <w:szCs w:val="20"/>
              </w:rPr>
              <w:t xml:space="preserve">✅ Ja</w:t>
            </w:r>
          </w:p>
        </w:tc>
        <w:tc>
          <w:tcPr>
            <w:tcW w:type="dxa" w:w="1206"/>
            <w:tcBorders>
              <w:top w:val="single" w:color="D4D4C8" w:sz="1"/>
              <w:left w:val="single" w:color="D4D4C8" w:sz="1"/>
              <w:bottom w:val="single" w:color="D4D4C8" w:sz="1"/>
              <w:right w:val="single" w:color="D4D4C8" w:sz="1"/>
            </w:tcBorders>
            <w:shd w:fill="EBF2EC" w:val="clear"/>
            <w:tcMar>
              <w:top w:type="dxa" w:w="80"/>
              <w:left w:type="dxa" w:w="120"/>
              <w:bottom w:type="dxa" w:w="80"/>
              <w:right w:type="dxa" w:w="120"/>
            </w:tcMar>
          </w:tcPr>
          <w:p>
            <w:r>
              <w:rPr>
                <w:rFonts w:ascii="Arial" w:cs="Arial" w:eastAsia="Arial" w:hAnsi="Arial"/>
                <w:color w:val="3D3D3A"/>
                <w:sz w:val="20"/>
                <w:szCs w:val="20"/>
              </w:rPr>
              <w:t xml:space="preserve">✅ Geplant</w:t>
            </w:r>
          </w:p>
        </w:tc>
      </w:tr>
      <w:tr>
        <w:tc>
          <w:tcPr>
            <w:tcW w:type="dxa" w:w="18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ChatGPT</w:t>
            </w:r>
          </w:p>
        </w:tc>
        <w:tc>
          <w:tcPr>
            <w:tcW w:type="dxa" w:w="12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Sofort</w:t>
            </w:r>
          </w:p>
        </w:tc>
        <w:tc>
          <w:tcPr>
            <w:tcW w:type="dxa" w:w="12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Nein</w:t>
            </w:r>
          </w:p>
        </w:tc>
        <w:tc>
          <w:tcPr>
            <w:tcW w:type="dxa" w:w="14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Nein</w:t>
            </w:r>
          </w:p>
        </w:tc>
        <w:tc>
          <w:tcPr>
            <w:tcW w:type="dxa" w:w="14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Nein</w:t>
            </w:r>
          </w:p>
        </w:tc>
        <w:tc>
          <w:tcPr>
            <w:tcW w:type="dxa" w:w="11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Nein</w:t>
            </w:r>
          </w:p>
        </w:tc>
        <w:tc>
          <w:tcPr>
            <w:tcW w:type="dxa" w:w="1206"/>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Nein</w:t>
            </w:r>
          </w:p>
        </w:tc>
      </w:tr>
      <w:tr>
        <w:tc>
          <w:tcPr>
            <w:tcW w:type="dxa" w:w="18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Khanmigo</w:t>
            </w:r>
          </w:p>
        </w:tc>
        <w:tc>
          <w:tcPr>
            <w:tcW w:type="dxa" w:w="12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Teilweise</w:t>
            </w:r>
          </w:p>
        </w:tc>
        <w:tc>
          <w:tcPr>
            <w:tcW w:type="dxa" w:w="12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Nein</w:t>
            </w:r>
          </w:p>
        </w:tc>
        <w:tc>
          <w:tcPr>
            <w:tcW w:type="dxa" w:w="14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Khan Acad.</w:t>
            </w:r>
          </w:p>
        </w:tc>
        <w:tc>
          <w:tcPr>
            <w:tcW w:type="dxa" w:w="14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Implizit</w:t>
            </w:r>
          </w:p>
        </w:tc>
        <w:tc>
          <w:tcPr>
            <w:tcW w:type="dxa" w:w="11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Nein</w:t>
            </w:r>
          </w:p>
        </w:tc>
        <w:tc>
          <w:tcPr>
            <w:tcW w:type="dxa" w:w="1206"/>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Nein</w:t>
            </w:r>
          </w:p>
        </w:tc>
      </w:tr>
      <w:tr>
        <w:tc>
          <w:tcPr>
            <w:tcW w:type="dxa" w:w="18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Google Classroom</w:t>
            </w:r>
          </w:p>
        </w:tc>
        <w:tc>
          <w:tcPr>
            <w:tcW w:type="dxa" w:w="12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N/A</w:t>
            </w:r>
          </w:p>
        </w:tc>
        <w:tc>
          <w:tcPr>
            <w:tcW w:type="dxa" w:w="12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Lehrer</w:t>
            </w:r>
          </w:p>
        </w:tc>
        <w:tc>
          <w:tcPr>
            <w:tcW w:type="dxa" w:w="14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Ja</w:t>
            </w:r>
          </w:p>
        </w:tc>
        <w:tc>
          <w:tcPr>
            <w:tcW w:type="dxa" w:w="14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Nein</w:t>
            </w:r>
          </w:p>
        </w:tc>
        <w:tc>
          <w:tcPr>
            <w:tcW w:type="dxa" w:w="11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Nein</w:t>
            </w:r>
          </w:p>
        </w:tc>
        <w:tc>
          <w:tcPr>
            <w:tcW w:type="dxa" w:w="1206"/>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Nein</w:t>
            </w:r>
          </w:p>
        </w:tc>
      </w:tr>
      <w:tr>
        <w:tc>
          <w:tcPr>
            <w:tcW w:type="dxa" w:w="18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MS Copilot</w:t>
            </w:r>
          </w:p>
        </w:tc>
        <w:tc>
          <w:tcPr>
            <w:tcW w:type="dxa" w:w="12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Sofort</w:t>
            </w:r>
          </w:p>
        </w:tc>
        <w:tc>
          <w:tcPr>
            <w:tcW w:type="dxa" w:w="12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Nein</w:t>
            </w:r>
          </w:p>
        </w:tc>
        <w:tc>
          <w:tcPr>
            <w:tcW w:type="dxa" w:w="14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Teams</w:t>
            </w:r>
          </w:p>
        </w:tc>
        <w:tc>
          <w:tcPr>
            <w:tcW w:type="dxa" w:w="14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Nein</w:t>
            </w:r>
          </w:p>
        </w:tc>
        <w:tc>
          <w:tcPr>
            <w:tcW w:type="dxa" w:w="11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Nein</w:t>
            </w:r>
          </w:p>
        </w:tc>
        <w:tc>
          <w:tcPr>
            <w:tcW w:type="dxa" w:w="1206"/>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Nein</w:t>
            </w:r>
          </w:p>
        </w:tc>
      </w:tr>
      <w:tr>
        <w:tc>
          <w:tcPr>
            <w:tcW w:type="dxa" w:w="18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Duolingo</w:t>
            </w:r>
          </w:p>
        </w:tc>
        <w:tc>
          <w:tcPr>
            <w:tcW w:type="dxa" w:w="12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Sofort</w:t>
            </w:r>
          </w:p>
        </w:tc>
        <w:tc>
          <w:tcPr>
            <w:tcW w:type="dxa" w:w="12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Nein</w:t>
            </w:r>
          </w:p>
        </w:tc>
        <w:tc>
          <w:tcPr>
            <w:tcW w:type="dxa" w:w="14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Nein</w:t>
            </w:r>
          </w:p>
        </w:tc>
        <w:tc>
          <w:tcPr>
            <w:tcW w:type="dxa" w:w="14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Streak/XP</w:t>
            </w:r>
          </w:p>
        </w:tc>
        <w:tc>
          <w:tcPr>
            <w:tcW w:type="dxa" w:w="11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Nein</w:t>
            </w:r>
          </w:p>
        </w:tc>
        <w:tc>
          <w:tcPr>
            <w:tcW w:type="dxa" w:w="1206"/>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 Nein</w:t>
            </w:r>
          </w:p>
        </w:tc>
      </w:tr>
    </w:tbl>
    <w:p>
      <w:pPr>
        <w:spacing w:after="80"/>
      </w:pPr>
    </w:p>
    <w:p>
      <w:pPr>
        <w:spacing w:after="160" w:line="312"/>
      </w:pPr>
      <w:r>
        <w:rPr>
          <w:rFonts w:ascii="Arial" w:cs="Arial" w:eastAsia="Arial" w:hAnsi="Arial"/>
          <w:color w:val="3D3D3A"/>
          <w:sz w:val="22"/>
          <w:szCs w:val="22"/>
        </w:rPr>
        <w:t xml:space="preserve">Guided ist nicht „ein weiterer KI-Tutor“. Es ist das einzige Tool, das KI-Nutzung im Bildungskontext mit aktivem Kompetenzaufbau verbindet, ein Eltern-Dashboard mit Live-Bloom-Tracking bietet, einen dedizierten Abitur-Modus hat, und mit der geplanten Lehrer-Datenbank kontextbezogenes Tutoring auf Basis des tatsächlichen Unterrichtsgeschehens ermöglicht.</w:t>
      </w:r>
    </w:p>
    <w:p>
      <w:r>
        <w:br w:type="page"/>
      </w:r>
    </w:p>
    <w:p>
      <w:pPr>
        <w:pStyle w:val="Heading1"/>
        <w:spacing w:before="400" w:after="200"/>
      </w:pPr>
      <w:r>
        <w:rPr>
          <w:rFonts w:ascii="Arial" w:cs="Arial" w:eastAsia="Arial" w:hAnsi="Arial"/>
          <w:b/>
          <w:bCs/>
          <w:color w:val="1A3328"/>
          <w:sz w:val="32"/>
          <w:szCs w:val="32"/>
        </w:rPr>
        <w:t xml:space="preserve">6. SWOT-Analyse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c>
          <w:tcPr>
            <w:tcW w:type="dxa" w:w="4653"/>
            <w:tcBorders>
              <w:top w:val="single" w:color="D4D4C8" w:sz="1"/>
              <w:left w:val="single" w:color="D4D4C8" w:sz="1"/>
              <w:bottom w:val="single" w:color="D4D4C8" w:sz="1"/>
              <w:right w:val="single" w:color="D4D4C8" w:sz="1"/>
            </w:tcBorders>
            <w:shd w:fill="EBF2EC" w:val="clear"/>
            <w:tcMar>
              <w:top w:type="dxa" w:w="80"/>
              <w:left w:type="dxa" w:w="120"/>
              <w:bottom w:type="dxa" w:w="80"/>
              <w:right w:type="dxa" w:w="120"/>
            </w:tcMar>
          </w:tcPr>
          <w:p>
            <w:pPr>
              <w:spacing w:after="80"/>
            </w:pPr>
            <w:r>
              <w:rPr>
                <w:rFonts w:ascii="Arial" w:cs="Arial" w:eastAsia="Arial" w:hAnsi="Arial"/>
                <w:b/>
                <w:bCs/>
                <w:color w:val="1A3328"/>
                <w:sz w:val="22"/>
                <w:szCs w:val="22"/>
              </w:rPr>
              <w:t xml:space="preserve">Stärken (Strengths)</w:t>
            </w:r>
          </w:p>
          <w:p>
            <w:pPr>
              <w:pStyle w:val="ListParagraph"/>
              <w:numPr>
                <w:ilvl w:val="0"/>
                <w:numId w:val="2"/>
              </w:numPr>
              <w:spacing w:after="40"/>
            </w:pPr>
            <w:r>
              <w:rPr>
                <w:rFonts w:ascii="Arial" w:cs="Arial" w:eastAsia="Arial" w:hAnsi="Arial"/>
                <w:color w:val="3D3D3A"/>
                <w:sz w:val="20"/>
                <w:szCs w:val="20"/>
              </w:rPr>
              <w:t xml:space="preserve">Einzigartiger sokratischer Ansatz — nie Antworten liefern</w:t>
            </w:r>
          </w:p>
          <w:p>
            <w:pPr>
              <w:pStyle w:val="ListParagraph"/>
              <w:numPr>
                <w:ilvl w:val="0"/>
                <w:numId w:val="2"/>
              </w:numPr>
              <w:spacing w:after="40"/>
            </w:pPr>
            <w:r>
              <w:rPr>
                <w:rFonts w:ascii="Arial" w:cs="Arial" w:eastAsia="Arial" w:hAnsi="Arial"/>
                <w:color w:val="3D3D3A"/>
                <w:sz w:val="20"/>
                <w:szCs w:val="20"/>
              </w:rPr>
              <w:t xml:space="preserve">Bloom’s Taxonomy Live-Tracking mit Eltern-Dashboard</w:t>
            </w:r>
          </w:p>
          <w:p>
            <w:pPr>
              <w:pStyle w:val="ListParagraph"/>
              <w:numPr>
                <w:ilvl w:val="0"/>
                <w:numId w:val="2"/>
              </w:numPr>
              <w:spacing w:after="40"/>
            </w:pPr>
            <w:r>
              <w:rPr>
                <w:rFonts w:ascii="Arial" w:cs="Arial" w:eastAsia="Arial" w:hAnsi="Arial"/>
                <w:color w:val="3D3D3A"/>
                <w:sz w:val="20"/>
                <w:szCs w:val="20"/>
              </w:rPr>
              <w:t xml:space="preserve">Drei Einstiegswege: Familie, Schule, Student</w:t>
            </w:r>
          </w:p>
          <w:p>
            <w:pPr>
              <w:pStyle w:val="ListParagraph"/>
              <w:numPr>
                <w:ilvl w:val="0"/>
                <w:numId w:val="2"/>
              </w:numPr>
              <w:spacing w:after="40"/>
            </w:pPr>
            <w:r>
              <w:rPr>
                <w:rFonts w:ascii="Arial" w:cs="Arial" w:eastAsia="Arial" w:hAnsi="Arial"/>
                <w:color w:val="3D3D3A"/>
                <w:sz w:val="20"/>
                <w:szCs w:val="20"/>
              </w:rPr>
              <w:t xml:space="preserve">Tiefe Personalisierung (Alter, Stil, Notizen, Lernziel)</w:t>
            </w:r>
          </w:p>
          <w:p>
            <w:pPr>
              <w:pStyle w:val="ListParagraph"/>
              <w:numPr>
                <w:ilvl w:val="0"/>
                <w:numId w:val="2"/>
              </w:numPr>
              <w:spacing w:after="40"/>
            </w:pPr>
            <w:r>
              <w:rPr>
                <w:rFonts w:ascii="Arial" w:cs="Arial" w:eastAsia="Arial" w:hAnsi="Arial"/>
                <w:color w:val="3D3D3A"/>
                <w:sz w:val="20"/>
                <w:szCs w:val="20"/>
              </w:rPr>
              <w:t xml:space="preserve">Curriculum-Erkennung (DE, UK, FR, IT, US, IB)</w:t>
            </w:r>
          </w:p>
          <w:p>
            <w:pPr>
              <w:pStyle w:val="ListParagraph"/>
              <w:numPr>
                <w:ilvl w:val="0"/>
                <w:numId w:val="2"/>
              </w:numPr>
              <w:spacing w:after="40"/>
            </w:pPr>
            <w:r>
              <w:rPr>
                <w:rFonts w:ascii="Arial" w:cs="Arial" w:eastAsia="Arial" w:hAnsi="Arial"/>
                <w:color w:val="3D3D3A"/>
                <w:sz w:val="20"/>
                <w:szCs w:val="20"/>
              </w:rPr>
              <w:t xml:space="preserve">NEU: Abitur-Modus mit Bundesland-Schwerpunkten</w:t>
            </w:r>
          </w:p>
          <w:p>
            <w:pPr>
              <w:pStyle w:val="ListParagraph"/>
              <w:numPr>
                <w:ilvl w:val="0"/>
                <w:numId w:val="2"/>
              </w:numPr>
              <w:spacing w:after="40"/>
            </w:pPr>
            <w:r>
              <w:rPr>
                <w:rFonts w:ascii="Arial" w:cs="Arial" w:eastAsia="Arial" w:hAnsi="Arial"/>
                <w:color w:val="3D3D3A"/>
                <w:sz w:val="20"/>
                <w:szCs w:val="20"/>
              </w:rPr>
              <w:t xml:space="preserve">NEU: Account-System mit Persistenz</w:t>
            </w:r>
          </w:p>
          <w:p>
            <w:pPr>
              <w:pStyle w:val="ListParagraph"/>
              <w:numPr>
                <w:ilvl w:val="0"/>
                <w:numId w:val="2"/>
              </w:numPr>
              <w:spacing w:after="40"/>
            </w:pPr>
            <w:r>
              <w:rPr>
                <w:rFonts w:ascii="Arial" w:cs="Arial" w:eastAsia="Arial" w:hAnsi="Arial"/>
                <w:color w:val="3D3D3A"/>
                <w:sz w:val="20"/>
                <w:szCs w:val="20"/>
              </w:rPr>
              <w:t xml:space="preserve">NEU: Pattern Recognition für wiederkehrende Fehler</w:t>
            </w:r>
          </w:p>
          <w:p>
            <w:pPr>
              <w:pStyle w:val="ListParagraph"/>
              <w:numPr>
                <w:ilvl w:val="0"/>
                <w:numId w:val="2"/>
              </w:numPr>
              <w:spacing w:after="40"/>
            </w:pPr>
            <w:r>
              <w:rPr>
                <w:rFonts w:ascii="Arial" w:cs="Arial" w:eastAsia="Arial" w:hAnsi="Arial"/>
                <w:color w:val="3D3D3A"/>
                <w:sz w:val="20"/>
                <w:szCs w:val="20"/>
              </w:rPr>
              <w:t xml:space="preserve">NEU: KI-generierte SVG-Visualisierungen</w:t>
            </w:r>
          </w:p>
          <w:p>
            <w:pPr>
              <w:pStyle w:val="ListParagraph"/>
              <w:numPr>
                <w:ilvl w:val="0"/>
                <w:numId w:val="2"/>
              </w:numPr>
              <w:spacing w:after="40"/>
            </w:pPr>
            <w:r>
              <w:rPr>
                <w:rFonts w:ascii="Arial" w:cs="Arial" w:eastAsia="Arial" w:hAnsi="Arial"/>
                <w:color w:val="3D3D3A"/>
                <w:sz w:val="20"/>
                <w:szCs w:val="20"/>
              </w:rPr>
              <w:t xml:space="preserve">NEU: Professionelle Landing Page</w:t>
            </w:r>
          </w:p>
          <w:p>
            <w:pPr>
              <w:pStyle w:val="ListParagraph"/>
              <w:numPr>
                <w:ilvl w:val="0"/>
                <w:numId w:val="2"/>
              </w:numPr>
              <w:spacing w:after="40"/>
            </w:pPr>
            <w:r>
              <w:rPr>
                <w:rFonts w:ascii="Arial" w:cs="Arial" w:eastAsia="Arial" w:hAnsi="Arial"/>
                <w:color w:val="3D3D3A"/>
                <w:sz w:val="20"/>
                <w:szCs w:val="20"/>
              </w:rPr>
              <w:t xml:space="preserve">Voice-Modus + Bild-Upload + Kamera-Capture</w:t>
            </w:r>
          </w:p>
          <w:p>
            <w:pPr>
              <w:pStyle w:val="ListParagraph"/>
              <w:numPr>
                <w:ilvl w:val="0"/>
                <w:numId w:val="2"/>
              </w:numPr>
              <w:spacing w:after="40"/>
            </w:pPr>
            <w:r>
              <w:rPr>
                <w:rFonts w:ascii="Arial" w:cs="Arial" w:eastAsia="Arial" w:hAnsi="Arial"/>
                <w:color w:val="3D3D3A"/>
                <w:sz w:val="20"/>
                <w:szCs w:val="20"/>
              </w:rPr>
              <w:t xml:space="preserve">Angstfreies Fragen: 20x ohne Scham möglich</w:t>
            </w:r>
          </w:p>
          <w:p>
            <w:pPr>
              <w:pStyle w:val="ListParagraph"/>
              <w:numPr>
                <w:ilvl w:val="0"/>
                <w:numId w:val="2"/>
              </w:numPr>
              <w:spacing w:after="40"/>
            </w:pPr>
            <w:r>
              <w:rPr>
                <w:rFonts w:ascii="Arial" w:cs="Arial" w:eastAsia="Arial" w:hAnsi="Arial"/>
                <w:color w:val="3D3D3A"/>
                <w:sz w:val="20"/>
                <w:szCs w:val="20"/>
              </w:rPr>
              <w:t xml:space="preserve">Single-File-App — extrem portabel</w:t>
            </w:r>
          </w:p>
        </w:tc>
        <w:tc>
          <w:tcPr>
            <w:tcW w:type="dxa" w:w="4653"/>
            <w:tcBorders>
              <w:top w:val="single" w:color="D4D4C8" w:sz="1"/>
              <w:left w:val="single" w:color="D4D4C8" w:sz="1"/>
              <w:bottom w:val="single" w:color="D4D4C8" w:sz="1"/>
              <w:right w:val="single" w:color="D4D4C8" w:sz="1"/>
            </w:tcBorders>
            <w:shd w:fill="FFF8E7" w:val="clear"/>
            <w:tcMar>
              <w:top w:type="dxa" w:w="80"/>
              <w:left w:type="dxa" w:w="120"/>
              <w:bottom w:type="dxa" w:w="80"/>
              <w:right w:type="dxa" w:w="120"/>
            </w:tcMar>
          </w:tcPr>
          <w:p>
            <w:pPr>
              <w:spacing w:after="80"/>
            </w:pPr>
            <w:r>
              <w:rPr>
                <w:rFonts w:ascii="Arial" w:cs="Arial" w:eastAsia="Arial" w:hAnsi="Arial"/>
                <w:b/>
                <w:bCs/>
                <w:color w:val="B8860B"/>
                <w:sz w:val="22"/>
                <w:szCs w:val="22"/>
              </w:rPr>
              <w:t xml:space="preserve">Schwächen (Weaknesses)</w:t>
            </w:r>
          </w:p>
          <w:p>
            <w:pPr>
              <w:pStyle w:val="ListParagraph"/>
              <w:numPr>
                <w:ilvl w:val="0"/>
                <w:numId w:val="2"/>
              </w:numPr>
              <w:spacing w:after="40"/>
            </w:pPr>
            <w:r>
              <w:rPr>
                <w:rFonts w:ascii="Arial" w:cs="Arial" w:eastAsia="Arial" w:hAnsi="Arial"/>
                <w:color w:val="3D3D3A"/>
                <w:sz w:val="20"/>
                <w:szCs w:val="20"/>
              </w:rPr>
              <w:t xml:space="preserve">Noch kein eigenes Backend / Abo-Modell (BYOK)</w:t>
            </w:r>
          </w:p>
          <w:p>
            <w:pPr>
              <w:pStyle w:val="ListParagraph"/>
              <w:numPr>
                <w:ilvl w:val="0"/>
                <w:numId w:val="2"/>
              </w:numPr>
              <w:spacing w:after="40"/>
            </w:pPr>
            <w:r>
              <w:rPr>
                <w:rFonts w:ascii="Arial" w:cs="Arial" w:eastAsia="Arial" w:hAnsi="Arial"/>
                <w:color w:val="3D3D3A"/>
                <w:sz w:val="20"/>
                <w:szCs w:val="20"/>
              </w:rPr>
              <w:t xml:space="preserve">Abhängigkeit von externen APIs (Featherless, ElevenLabs, Needle)</w:t>
            </w:r>
          </w:p>
          <w:p>
            <w:pPr>
              <w:pStyle w:val="ListParagraph"/>
              <w:numPr>
                <w:ilvl w:val="0"/>
                <w:numId w:val="2"/>
              </w:numPr>
              <w:spacing w:after="40"/>
            </w:pPr>
            <w:r>
              <w:rPr>
                <w:rFonts w:ascii="Arial" w:cs="Arial" w:eastAsia="Arial" w:hAnsi="Arial"/>
                <w:color w:val="3D3D3A"/>
                <w:sz w:val="20"/>
                <w:szCs w:val="20"/>
              </w:rPr>
              <w:t xml:space="preserve">Keine native Mobile-App (nur Web)</w:t>
            </w:r>
          </w:p>
          <w:p>
            <w:pPr>
              <w:pStyle w:val="ListParagraph"/>
              <w:numPr>
                <w:ilvl w:val="0"/>
                <w:numId w:val="2"/>
              </w:numPr>
              <w:spacing w:after="40"/>
            </w:pPr>
            <w:r>
              <w:rPr>
                <w:rFonts w:ascii="Arial" w:cs="Arial" w:eastAsia="Arial" w:hAnsi="Arial"/>
                <w:color w:val="3D3D3A"/>
                <w:sz w:val="20"/>
                <w:szCs w:val="20"/>
              </w:rPr>
              <w:t xml:space="preserve">UI nur auf Englisch (Inhalte multilingual)</w:t>
            </w:r>
          </w:p>
          <w:p>
            <w:pPr>
              <w:pStyle w:val="ListParagraph"/>
              <w:numPr>
                <w:ilvl w:val="0"/>
                <w:numId w:val="2"/>
              </w:numPr>
              <w:spacing w:after="40"/>
            </w:pPr>
            <w:r>
              <w:rPr>
                <w:rFonts w:ascii="Arial" w:cs="Arial" w:eastAsia="Arial" w:hAnsi="Arial"/>
                <w:color w:val="3D3D3A"/>
                <w:sz w:val="20"/>
                <w:szCs w:val="20"/>
              </w:rPr>
              <w:t xml:space="preserve">Kein integriertes Zahlungssystem</w:t>
            </w:r>
          </w:p>
          <w:p>
            <w:pPr>
              <w:pStyle w:val="ListParagraph"/>
              <w:numPr>
                <w:ilvl w:val="0"/>
                <w:numId w:val="2"/>
              </w:numPr>
              <w:spacing w:after="40"/>
            </w:pPr>
            <w:r>
              <w:rPr>
                <w:rFonts w:ascii="Arial" w:cs="Arial" w:eastAsia="Arial" w:hAnsi="Arial"/>
                <w:color w:val="3D3D3A"/>
                <w:sz w:val="20"/>
                <w:szCs w:val="20"/>
              </w:rPr>
              <w:t xml:space="preserve">Schulintegration erfordert aktive Lehrer-Beteiligung</w:t>
            </w:r>
          </w:p>
          <w:p>
            <w:pPr>
              <w:pStyle w:val="ListParagraph"/>
              <w:numPr>
                <w:ilvl w:val="0"/>
                <w:numId w:val="2"/>
              </w:numPr>
              <w:spacing w:after="40"/>
            </w:pPr>
            <w:r>
              <w:rPr>
                <w:rFonts w:ascii="Arial" w:cs="Arial" w:eastAsia="Arial" w:hAnsi="Arial"/>
                <w:color w:val="3D3D3A"/>
                <w:sz w:val="20"/>
                <w:szCs w:val="20"/>
              </w:rPr>
              <w:t xml:space="preserve">Kein automatisches Reporting an Lehrpläne (KMK)</w:t>
            </w:r>
          </w:p>
          <w:p>
            <w:pPr>
              <w:pStyle w:val="ListParagraph"/>
              <w:numPr>
                <w:ilvl w:val="0"/>
                <w:numId w:val="2"/>
              </w:numPr>
              <w:spacing w:after="40"/>
            </w:pPr>
            <w:r>
              <w:rPr>
                <w:rFonts w:ascii="Arial" w:cs="Arial" w:eastAsia="Arial" w:hAnsi="Arial"/>
                <w:color w:val="3D3D3A"/>
                <w:sz w:val="20"/>
                <w:szCs w:val="20"/>
              </w:rPr>
              <w:t xml:space="preserve">Lehrer-Datenbank + Jahresplan noch nicht implementiert</w:t>
            </w:r>
          </w:p>
          <w:p>
            <w:pPr>
              <w:pStyle w:val="ListParagraph"/>
              <w:numPr>
                <w:ilvl w:val="0"/>
                <w:numId w:val="2"/>
              </w:numPr>
              <w:spacing w:after="40"/>
            </w:pPr>
            <w:r>
              <w:rPr>
                <w:rFonts w:ascii="Arial" w:cs="Arial" w:eastAsia="Arial" w:hAnsi="Arial"/>
                <w:color w:val="3D3D3A"/>
                <w:sz w:val="20"/>
                <w:szCs w:val="20"/>
              </w:rPr>
              <w:t xml:space="preserve">3-köpfiges Gründerteam — begrenzte Kapazität</w:t>
            </w:r>
          </w:p>
        </w:tc>
      </w:tr>
      <w:tr>
        <w:tc>
          <w:tcPr>
            <w:tcW w:type="dxa" w:w="4653"/>
            <w:tcBorders>
              <w:top w:val="single" w:color="D4D4C8" w:sz="1"/>
              <w:left w:val="single" w:color="D4D4C8" w:sz="1"/>
              <w:bottom w:val="single" w:color="D4D4C8" w:sz="1"/>
              <w:right w:val="single" w:color="D4D4C8" w:sz="1"/>
            </w:tcBorders>
            <w:shd w:fill="E8F0FE" w:val="clear"/>
            <w:tcMar>
              <w:top w:type="dxa" w:w="80"/>
              <w:left w:type="dxa" w:w="120"/>
              <w:bottom w:type="dxa" w:w="80"/>
              <w:right w:type="dxa" w:w="120"/>
            </w:tcMar>
          </w:tcPr>
          <w:p>
            <w:pPr>
              <w:spacing w:after="80"/>
            </w:pPr>
            <w:r>
              <w:rPr>
                <w:rFonts w:ascii="Arial" w:cs="Arial" w:eastAsia="Arial" w:hAnsi="Arial"/>
                <w:b/>
                <w:bCs/>
                <w:color w:val="185FA5"/>
                <w:sz w:val="22"/>
                <w:szCs w:val="22"/>
              </w:rPr>
              <w:t xml:space="preserve">Chancen (Opportunities)</w:t>
            </w:r>
          </w:p>
          <w:p>
            <w:pPr>
              <w:pStyle w:val="ListParagraph"/>
              <w:numPr>
                <w:ilvl w:val="0"/>
                <w:numId w:val="2"/>
              </w:numPr>
              <w:spacing w:after="40"/>
            </w:pPr>
            <w:r>
              <w:rPr>
                <w:rFonts w:ascii="Arial" w:cs="Arial" w:eastAsia="Arial" w:hAnsi="Arial"/>
                <w:color w:val="3D3D3A"/>
                <w:sz w:val="20"/>
                <w:szCs w:val="20"/>
              </w:rPr>
              <w:t xml:space="preserve">Europäischer DSGVO-Markt — Bedarf an Alternativen zu Google/MS</w:t>
            </w:r>
          </w:p>
          <w:p>
            <w:pPr>
              <w:pStyle w:val="ListParagraph"/>
              <w:numPr>
                <w:ilvl w:val="0"/>
                <w:numId w:val="2"/>
              </w:numPr>
              <w:spacing w:after="40"/>
            </w:pPr>
            <w:r>
              <w:rPr>
                <w:rFonts w:ascii="Arial" w:cs="Arial" w:eastAsia="Arial" w:hAnsi="Arial"/>
                <w:color w:val="3D3D3A"/>
                <w:sz w:val="20"/>
                <w:szCs w:val="20"/>
              </w:rPr>
              <w:t xml:space="preserve">DACH: Staatliche Digitalisierungsförderung für Schulen</w:t>
            </w:r>
          </w:p>
          <w:p>
            <w:pPr>
              <w:pStyle w:val="ListParagraph"/>
              <w:numPr>
                <w:ilvl w:val="0"/>
                <w:numId w:val="2"/>
              </w:numPr>
              <w:spacing w:after="40"/>
            </w:pPr>
            <w:r>
              <w:rPr>
                <w:rFonts w:ascii="Arial" w:cs="Arial" w:eastAsia="Arial" w:hAnsi="Arial"/>
                <w:color w:val="3D3D3A"/>
                <w:sz w:val="20"/>
                <w:szCs w:val="20"/>
              </w:rPr>
              <w:t xml:space="preserve">B2B Schulen-SaaS: Lizenzmodell pro Schüler/Monat</w:t>
            </w:r>
          </w:p>
          <w:p>
            <w:pPr>
              <w:pStyle w:val="ListParagraph"/>
              <w:numPr>
                <w:ilvl w:val="0"/>
                <w:numId w:val="2"/>
              </w:numPr>
              <w:spacing w:after="40"/>
            </w:pPr>
            <w:r>
              <w:rPr>
                <w:rFonts w:ascii="Arial" w:cs="Arial" w:eastAsia="Arial" w:hAnsi="Arial"/>
                <w:color w:val="3D3D3A"/>
                <w:sz w:val="20"/>
                <w:szCs w:val="20"/>
              </w:rPr>
              <w:t xml:space="preserve">EU AI Act begünstigt transparente KI-Produkte</w:t>
            </w:r>
          </w:p>
          <w:p>
            <w:pPr>
              <w:pStyle w:val="ListParagraph"/>
              <w:numPr>
                <w:ilvl w:val="0"/>
                <w:numId w:val="2"/>
              </w:numPr>
              <w:spacing w:after="40"/>
            </w:pPr>
            <w:r>
              <w:rPr>
                <w:rFonts w:ascii="Arial" w:cs="Arial" w:eastAsia="Arial" w:hAnsi="Arial"/>
                <w:color w:val="3D3D3A"/>
                <w:sz w:val="20"/>
                <w:szCs w:val="20"/>
              </w:rPr>
              <w:t xml:space="preserve">Spanien-Argument: Konstruktive Alternative zum KI-Verbot</w:t>
            </w:r>
          </w:p>
          <w:p>
            <w:pPr>
              <w:pStyle w:val="ListParagraph"/>
              <w:numPr>
                <w:ilvl w:val="0"/>
                <w:numId w:val="2"/>
              </w:numPr>
              <w:spacing w:after="40"/>
            </w:pPr>
            <w:r>
              <w:rPr>
                <w:rFonts w:ascii="Arial" w:cs="Arial" w:eastAsia="Arial" w:hAnsi="Arial"/>
                <w:color w:val="3D3D3A"/>
                <w:sz w:val="20"/>
                <w:szCs w:val="20"/>
              </w:rPr>
              <w:t xml:space="preserve">Integration mit Schulbuch-Verlagen (Klett, Cornelsen)</w:t>
            </w:r>
          </w:p>
          <w:p>
            <w:pPr>
              <w:pStyle w:val="ListParagraph"/>
              <w:numPr>
                <w:ilvl w:val="0"/>
                <w:numId w:val="2"/>
              </w:numPr>
              <w:spacing w:after="40"/>
            </w:pPr>
            <w:r>
              <w:rPr>
                <w:rFonts w:ascii="Arial" w:cs="Arial" w:eastAsia="Arial" w:hAnsi="Arial"/>
                <w:color w:val="3D3D3A"/>
                <w:sz w:val="20"/>
                <w:szCs w:val="20"/>
              </w:rPr>
              <w:t xml:space="preserve">Abitur-Modus als Alleinstellungsmerkmal im DACH-Raum</w:t>
            </w:r>
          </w:p>
          <w:p>
            <w:pPr>
              <w:pStyle w:val="ListParagraph"/>
              <w:numPr>
                <w:ilvl w:val="0"/>
                <w:numId w:val="2"/>
              </w:numPr>
              <w:spacing w:after="40"/>
            </w:pPr>
            <w:r>
              <w:rPr>
                <w:rFonts w:ascii="Arial" w:cs="Arial" w:eastAsia="Arial" w:hAnsi="Arial"/>
                <w:color w:val="3D3D3A"/>
                <w:sz w:val="20"/>
                <w:szCs w:val="20"/>
              </w:rPr>
              <w:t xml:space="preserve">Viraler Loop: Lehrer → Schüler → Eltern</w:t>
            </w:r>
          </w:p>
        </w:tc>
        <w:tc>
          <w:tcPr>
            <w:tcW w:type="dxa" w:w="4653"/>
            <w:tcBorders>
              <w:top w:val="single" w:color="D4D4C8" w:sz="1"/>
              <w:left w:val="single" w:color="D4D4C8" w:sz="1"/>
              <w:bottom w:val="single" w:color="D4D4C8" w:sz="1"/>
              <w:right w:val="single" w:color="D4D4C8" w:sz="1"/>
            </w:tcBorders>
            <w:shd w:fill="FFF0ED" w:val="clear"/>
            <w:tcMar>
              <w:top w:type="dxa" w:w="80"/>
              <w:left w:type="dxa" w:w="120"/>
              <w:bottom w:type="dxa" w:w="80"/>
              <w:right w:type="dxa" w:w="120"/>
            </w:tcMar>
          </w:tcPr>
          <w:p>
            <w:pPr>
              <w:spacing w:after="80"/>
            </w:pPr>
            <w:r>
              <w:rPr>
                <w:rFonts w:ascii="Arial" w:cs="Arial" w:eastAsia="Arial" w:hAnsi="Arial"/>
                <w:b/>
                <w:bCs/>
                <w:color w:val="993C1D"/>
                <w:sz w:val="22"/>
                <w:szCs w:val="22"/>
              </w:rPr>
              <w:t xml:space="preserve">Risiken (Threats)</w:t>
            </w:r>
          </w:p>
          <w:p>
            <w:pPr>
              <w:pStyle w:val="ListParagraph"/>
              <w:numPr>
                <w:ilvl w:val="0"/>
                <w:numId w:val="2"/>
              </w:numPr>
              <w:spacing w:after="40"/>
            </w:pPr>
            <w:r>
              <w:rPr>
                <w:rFonts w:ascii="Arial" w:cs="Arial" w:eastAsia="Arial" w:hAnsi="Arial"/>
                <w:color w:val="3D3D3A"/>
                <w:sz w:val="20"/>
                <w:szCs w:val="20"/>
              </w:rPr>
              <w:t xml:space="preserve">Google Gemini / MS Copilot integrieren KI tiefer in Schulen</w:t>
            </w:r>
          </w:p>
          <w:p>
            <w:pPr>
              <w:pStyle w:val="ListParagraph"/>
              <w:numPr>
                <w:ilvl w:val="0"/>
                <w:numId w:val="2"/>
              </w:numPr>
              <w:spacing w:after="40"/>
            </w:pPr>
            <w:r>
              <w:rPr>
                <w:rFonts w:ascii="Arial" w:cs="Arial" w:eastAsia="Arial" w:hAnsi="Arial"/>
                <w:color w:val="3D3D3A"/>
                <w:sz w:val="20"/>
                <w:szCs w:val="20"/>
              </w:rPr>
              <w:t xml:space="preserve">Khanmigo gut finanziert und philosophisch ähnlich</w:t>
            </w:r>
          </w:p>
          <w:p>
            <w:pPr>
              <w:pStyle w:val="ListParagraph"/>
              <w:numPr>
                <w:ilvl w:val="0"/>
                <w:numId w:val="2"/>
              </w:numPr>
              <w:spacing w:after="40"/>
            </w:pPr>
            <w:r>
              <w:rPr>
                <w:rFonts w:ascii="Arial" w:cs="Arial" w:eastAsia="Arial" w:hAnsi="Arial"/>
                <w:color w:val="3D3D3A"/>
                <w:sz w:val="20"/>
                <w:szCs w:val="20"/>
              </w:rPr>
              <w:t xml:space="preserve">Regulatorisches Risiko: KI in Schulen politisch umstritten</w:t>
            </w:r>
          </w:p>
          <w:p>
            <w:pPr>
              <w:pStyle w:val="ListParagraph"/>
              <w:numPr>
                <w:ilvl w:val="0"/>
                <w:numId w:val="2"/>
              </w:numPr>
              <w:spacing w:after="40"/>
            </w:pPr>
            <w:r>
              <w:rPr>
                <w:rFonts w:ascii="Arial" w:cs="Arial" w:eastAsia="Arial" w:hAnsi="Arial"/>
                <w:color w:val="3D3D3A"/>
                <w:sz w:val="20"/>
                <w:szCs w:val="20"/>
              </w:rPr>
              <w:t xml:space="preserve">Schüler umgehen Methode via ChatGPT</w:t>
            </w:r>
          </w:p>
          <w:p>
            <w:pPr>
              <w:pStyle w:val="ListParagraph"/>
              <w:numPr>
                <w:ilvl w:val="0"/>
                <w:numId w:val="2"/>
              </w:numPr>
              <w:spacing w:after="40"/>
            </w:pPr>
            <w:r>
              <w:rPr>
                <w:rFonts w:ascii="Arial" w:cs="Arial" w:eastAsia="Arial" w:hAnsi="Arial"/>
                <w:color w:val="3D3D3A"/>
                <w:sz w:val="20"/>
                <w:szCs w:val="20"/>
              </w:rPr>
              <w:t xml:space="preserve">API-Kosten skalieren linear mit Nutzeranzahl</w:t>
            </w:r>
          </w:p>
          <w:p>
            <w:pPr>
              <w:pStyle w:val="ListParagraph"/>
              <w:numPr>
                <w:ilvl w:val="0"/>
                <w:numId w:val="2"/>
              </w:numPr>
              <w:spacing w:after="40"/>
            </w:pPr>
            <w:r>
              <w:rPr>
                <w:rFonts w:ascii="Arial" w:cs="Arial" w:eastAsia="Arial" w:hAnsi="Arial"/>
                <w:color w:val="3D3D3A"/>
                <w:sz w:val="20"/>
                <w:szCs w:val="20"/>
              </w:rPr>
              <w:t xml:space="preserve">Datenschutzbedenken bei Eltern / Schulbehörden</w:t>
            </w:r>
          </w:p>
          <w:p>
            <w:pPr>
              <w:pStyle w:val="ListParagraph"/>
              <w:numPr>
                <w:ilvl w:val="0"/>
                <w:numId w:val="2"/>
              </w:numPr>
              <w:spacing w:after="40"/>
            </w:pPr>
            <w:r>
              <w:rPr>
                <w:rFonts w:ascii="Arial" w:cs="Arial" w:eastAsia="Arial" w:hAnsi="Arial"/>
                <w:color w:val="3D3D3A"/>
                <w:sz w:val="20"/>
                <w:szCs w:val="20"/>
              </w:rPr>
              <w:t xml:space="preserve">Schnelle Kopierbarkeit der Methodik durch finanzstarke Wettbewerber</w:t>
            </w:r>
          </w:p>
        </w:tc>
      </w:tr>
    </w:tbl>
    <w:p>
      <w:r>
        <w:br w:type="page"/>
      </w:r>
    </w:p>
    <w:p>
      <w:pPr>
        <w:pStyle w:val="Heading1"/>
        <w:spacing w:before="400" w:after="200"/>
      </w:pPr>
      <w:r>
        <w:rPr>
          <w:rFonts w:ascii="Arial" w:cs="Arial" w:eastAsia="Arial" w:hAnsi="Arial"/>
          <w:b/>
          <w:bCs/>
          <w:color w:val="1A3328"/>
          <w:sz w:val="32"/>
          <w:szCs w:val="32"/>
        </w:rPr>
        <w:t xml:space="preserve">7. Wachstumsstrategie &amp; Go-to-Market</w:t>
      </w:r>
    </w:p>
    <w:p>
      <w:pPr>
        <w:pStyle w:val="Heading2"/>
        <w:spacing w:before="300" w:after="160"/>
      </w:pPr>
      <w:r>
        <w:rPr>
          <w:rFonts w:ascii="Arial" w:cs="Arial" w:eastAsia="Arial" w:hAnsi="Arial"/>
          <w:b/>
          <w:bCs/>
          <w:color w:val="1A3328"/>
          <w:sz w:val="26"/>
          <w:szCs w:val="26"/>
        </w:rPr>
        <w:t xml:space="preserve">7.1 Kurzfristig: Beweise den Wert (0–6 Monate)</w:t>
      </w:r>
    </w:p>
    <w:p>
      <w:pPr>
        <w:spacing w:after="160" w:line="312"/>
      </w:pPr>
      <w:r>
        <w:rPr>
          <w:rFonts w:ascii="Arial" w:cs="Arial" w:eastAsia="Arial" w:hAnsi="Arial"/>
          <w:color w:val="3D3D3A"/>
          <w:sz w:val="22"/>
          <w:szCs w:val="22"/>
        </w:rPr>
        <w:t xml:space="preserve">Das wichtigste Ziel ist nicht Umsatz — es ist Evidenz. Guided braucht Fallstudien, die zeigen: Schüler schreiben bessere Schularbeiten, Eltern sehen messbaren Lernfortschritt, Lehrer empfehlen das Tool öffentlich. Konkret: 3–5 Pilotschulen in DACH gewinnen (kostenlos gegen Testimonials und Daten), Eltern-Community aufbauen, eigenes Backend + Abrechnungssystem aufsetzen, und DSGVO-Assessment abschliessen.</w:t>
      </w:r>
    </w:p>
    <w:p>
      <w:pPr>
        <w:pStyle w:val="Heading2"/>
        <w:spacing w:before="300" w:after="160"/>
      </w:pPr>
      <w:r>
        <w:rPr>
          <w:rFonts w:ascii="Arial" w:cs="Arial" w:eastAsia="Arial" w:hAnsi="Arial"/>
          <w:b/>
          <w:bCs/>
          <w:color w:val="1A3328"/>
          <w:sz w:val="26"/>
          <w:szCs w:val="26"/>
        </w:rPr>
        <w:t xml:space="preserve">7.2 Mittelfristig: Channels &amp; Kanäle (6–18 Monate)</w:t>
      </w:r>
    </w:p>
    <w:p>
      <w:pPr>
        <w:spacing w:after="160" w:line="312"/>
      </w:pPr>
      <w:r>
        <w:rPr>
          <w:rFonts w:ascii="Arial" w:cs="Arial" w:eastAsia="Arial" w:hAnsi="Arial"/>
          <w:color w:val="3D3D3A"/>
          <w:sz w:val="22"/>
          <w:szCs w:val="22"/>
        </w:rPr>
        <w:t xml:space="preserve">Bottom-up Schools: Lehrer als Einstiegspunkt, nicht Schulbehörden. Nachhilfe-Netzwerke: Kooperationen mit Agenturen (Guided als digitale Ergänzung). Bildungsplattformen: Integration mit Schulbuch-Portalen (Klett, Cornelsen, Pearson). Der virale Loop ist natürlich: Ein Schüler nutzt Guided, erzählt einem Freund, der Freund empfiehlt es seinen Eltern. Ein überzeugter Lehrer bringt 30 Schüler und 30 Elternhaushalte.</w:t>
      </w:r>
    </w:p>
    <w:p>
      <w:pPr>
        <w:pStyle w:val="Heading2"/>
        <w:spacing w:before="300" w:after="160"/>
      </w:pPr>
      <w:r>
        <w:rPr>
          <w:rFonts w:ascii="Arial" w:cs="Arial" w:eastAsia="Arial" w:hAnsi="Arial"/>
          <w:b/>
          <w:bCs/>
          <w:color w:val="1A3328"/>
          <w:sz w:val="26"/>
          <w:szCs w:val="26"/>
        </w:rPr>
        <w:t xml:space="preserve">7.3 Langfristig: Europa-Expansion (18 Monate+)</w:t>
      </w:r>
    </w:p>
    <w:p>
      <w:pPr>
        <w:spacing w:after="160" w:line="312"/>
      </w:pPr>
      <w:r>
        <w:rPr>
          <w:rFonts w:ascii="Arial" w:cs="Arial" w:eastAsia="Arial" w:hAnsi="Arial"/>
          <w:color w:val="3D3D3A"/>
          <w:sz w:val="22"/>
          <w:szCs w:val="22"/>
        </w:rPr>
        <w:t xml:space="preserve">Die grösste Chance liegt in Europa. DSGVO, nationale Bildungssysteme und der EU AI Act schaffen Nachfrage nach einem Produkt, das nicht Google oder Microsoft gehört, Datenschutz als Kernarchitektur hat, und die Curricula der einzelnen Länder kennt. Guided hat die Curriculum-Erkennung bereits eingebaut — eine strategische Entscheidung, die den europäischen Markt von Anfang an mitdenkt.</w:t>
      </w:r>
    </w:p>
    <w:p>
      <w:pPr>
        <w:pStyle w:val="Heading2"/>
        <w:spacing w:before="300" w:after="160"/>
      </w:pPr>
      <w:r>
        <w:rPr>
          <w:rFonts w:ascii="Arial" w:cs="Arial" w:eastAsia="Arial" w:hAnsi="Arial"/>
          <w:b/>
          <w:bCs/>
          <w:color w:val="1A3328"/>
          <w:sz w:val="26"/>
          <w:szCs w:val="26"/>
        </w:rPr>
        <w:t xml:space="preserve">7.4 Produkt-Roadmap</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206"/>
        <w:gridCol w:w="2500"/>
      </w:tblGrid>
      <w:tr>
        <w:tc>
          <w:tcPr>
            <w:tcW w:type="dxa" w:w="1100"/>
            <w:tcBorders>
              <w:top w:val="single" w:color="D4D4C8" w:sz="1"/>
              <w:left w:val="single" w:color="D4D4C8" w:sz="1"/>
              <w:bottom w:val="single" w:color="D4D4C8" w:sz="1"/>
              <w:right w:val="single" w:color="D4D4C8" w:sz="1"/>
            </w:tcBorders>
            <w:shd w:fill="1A332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D4D4C8" w:sz="1"/>
              <w:left w:val="single" w:color="D4D4C8" w:sz="1"/>
              <w:bottom w:val="single" w:color="D4D4C8" w:sz="1"/>
              <w:right w:val="single" w:color="D4D4C8" w:sz="1"/>
            </w:tcBorders>
            <w:shd w:fill="1A3328" w:val="clear"/>
            <w:tcMar>
              <w:top w:type="dxa" w:w="80"/>
              <w:left w:type="dxa" w:w="120"/>
              <w:bottom w:type="dxa" w:w="80"/>
              <w:right w:type="dxa" w:w="120"/>
            </w:tcMar>
          </w:tcPr>
          <w:p>
            <w:r>
              <w:rPr>
                <w:rFonts w:ascii="Arial" w:cs="Arial" w:eastAsia="Arial" w:hAnsi="Arial"/>
                <w:b/>
                <w:bCs/>
                <w:color w:val="FFFFFF"/>
                <w:sz w:val="20"/>
                <w:szCs w:val="20"/>
              </w:rPr>
              <w:t xml:space="preserve">Zeitraum</w:t>
            </w:r>
          </w:p>
        </w:tc>
        <w:tc>
          <w:tcPr>
            <w:tcW w:type="dxa" w:w="4206"/>
            <w:tcBorders>
              <w:top w:val="single" w:color="D4D4C8" w:sz="1"/>
              <w:left w:val="single" w:color="D4D4C8" w:sz="1"/>
              <w:bottom w:val="single" w:color="D4D4C8" w:sz="1"/>
              <w:right w:val="single" w:color="D4D4C8" w:sz="1"/>
            </w:tcBorders>
            <w:shd w:fill="1A3328" w:val="clear"/>
            <w:tcMar>
              <w:top w:type="dxa" w:w="80"/>
              <w:left w:type="dxa" w:w="120"/>
              <w:bottom w:type="dxa" w:w="80"/>
              <w:right w:type="dxa" w:w="120"/>
            </w:tcMar>
          </w:tcPr>
          <w:p>
            <w:r>
              <w:rPr>
                <w:rFonts w:ascii="Arial" w:cs="Arial" w:eastAsia="Arial" w:hAnsi="Arial"/>
                <w:b/>
                <w:bCs/>
                <w:color w:val="FFFFFF"/>
                <w:sz w:val="20"/>
                <w:szCs w:val="20"/>
              </w:rPr>
              <w:t xml:space="preserve">Fokus</w:t>
            </w:r>
          </w:p>
        </w:tc>
        <w:tc>
          <w:tcPr>
            <w:tcW w:type="dxa" w:w="2500"/>
            <w:tcBorders>
              <w:top w:val="single" w:color="D4D4C8" w:sz="1"/>
              <w:left w:val="single" w:color="D4D4C8" w:sz="1"/>
              <w:bottom w:val="single" w:color="D4D4C8" w:sz="1"/>
              <w:right w:val="single" w:color="D4D4C8" w:sz="1"/>
            </w:tcBorders>
            <w:shd w:fill="1A3328" w:val="clear"/>
            <w:tcMar>
              <w:top w:type="dxa" w:w="80"/>
              <w:left w:type="dxa" w:w="120"/>
              <w:bottom w:type="dxa" w:w="80"/>
              <w:right w:type="dxa" w:w="120"/>
            </w:tcMar>
          </w:tcPr>
          <w:p>
            <w:r>
              <w:rPr>
                <w:rFonts w:ascii="Arial" w:cs="Arial" w:eastAsia="Arial" w:hAnsi="Arial"/>
                <w:b/>
                <w:bCs/>
                <w:color w:val="FFFFFF"/>
                <w:sz w:val="20"/>
                <w:szCs w:val="20"/>
              </w:rPr>
              <w:t xml:space="preserve">Ziel-Metrik</w:t>
            </w:r>
          </w:p>
        </w:tc>
      </w:tr>
      <w:tr>
        <w:tc>
          <w:tcPr>
            <w:tcW w:type="dxa" w:w="1100"/>
            <w:tcBorders>
              <w:top w:val="single" w:color="D4D4C8" w:sz="1"/>
              <w:left w:val="single" w:color="D4D4C8" w:sz="1"/>
              <w:bottom w:val="single" w:color="D4D4C8" w:sz="1"/>
              <w:right w:val="single" w:color="D4D4C8" w:sz="1"/>
            </w:tcBorders>
            <w:shd w:fill="EBF2EC" w:val="clear"/>
            <w:tcMar>
              <w:top w:type="dxa" w:w="80"/>
              <w:left w:type="dxa" w:w="120"/>
              <w:bottom w:type="dxa" w:w="80"/>
              <w:right w:type="dxa" w:w="120"/>
            </w:tcMar>
          </w:tcPr>
          <w:p>
            <w:r>
              <w:rPr>
                <w:rFonts w:ascii="Arial" w:cs="Arial" w:eastAsia="Arial" w:hAnsi="Arial"/>
                <w:color w:val="3D3D3A"/>
                <w:sz w:val="20"/>
                <w:szCs w:val="20"/>
              </w:rPr>
              <w:t xml:space="preserve">Phase 1</w:t>
            </w:r>
          </w:p>
        </w:tc>
        <w:tc>
          <w:tcPr>
            <w:tcW w:type="dxa" w:w="15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Jetzt – Monat 3</w:t>
            </w:r>
          </w:p>
        </w:tc>
        <w:tc>
          <w:tcPr>
            <w:tcW w:type="dxa" w:w="4206"/>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Eigenes Backend, Abo-Modell, Datenschutz-Layer, Schulintegration (Lehrer-DB + Jahresplan)</w:t>
            </w:r>
          </w:p>
        </w:tc>
        <w:tc>
          <w:tcPr>
            <w:tcW w:type="dxa" w:w="25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50 Familien, 3 Pilotschulen</w:t>
            </w:r>
          </w:p>
        </w:tc>
      </w:tr>
      <w:tr>
        <w:tc>
          <w:tcPr>
            <w:tcW w:type="dxa" w:w="11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Phase 2</w:t>
            </w:r>
          </w:p>
        </w:tc>
        <w:tc>
          <w:tcPr>
            <w:tcW w:type="dxa" w:w="15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Monat 3 – 9</w:t>
            </w:r>
          </w:p>
        </w:tc>
        <w:tc>
          <w:tcPr>
            <w:tcW w:type="dxa" w:w="4206"/>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Mobile App (PWA), Mehrsprachigkeit (DE/FR/IT), Analytics-Dashboard, Gamification-Pilot</w:t>
            </w:r>
          </w:p>
        </w:tc>
        <w:tc>
          <w:tcPr>
            <w:tcW w:type="dxa" w:w="25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500 Schüler, ARR 30k CHF</w:t>
            </w:r>
          </w:p>
        </w:tc>
      </w:tr>
      <w:tr>
        <w:tc>
          <w:tcPr>
            <w:tcW w:type="dxa" w:w="1100"/>
            <w:tcBorders>
              <w:top w:val="single" w:color="D4D4C8" w:sz="1"/>
              <w:left w:val="single" w:color="D4D4C8" w:sz="1"/>
              <w:bottom w:val="single" w:color="D4D4C8" w:sz="1"/>
              <w:right w:val="single" w:color="D4D4C8" w:sz="1"/>
            </w:tcBorders>
            <w:shd w:fill="EBF2EC" w:val="clear"/>
            <w:tcMar>
              <w:top w:type="dxa" w:w="80"/>
              <w:left w:type="dxa" w:w="120"/>
              <w:bottom w:type="dxa" w:w="80"/>
              <w:right w:type="dxa" w:w="120"/>
            </w:tcMar>
          </w:tcPr>
          <w:p>
            <w:r>
              <w:rPr>
                <w:rFonts w:ascii="Arial" w:cs="Arial" w:eastAsia="Arial" w:hAnsi="Arial"/>
                <w:color w:val="3D3D3A"/>
                <w:sz w:val="20"/>
                <w:szCs w:val="20"/>
              </w:rPr>
              <w:t xml:space="preserve">Phase 3</w:t>
            </w:r>
          </w:p>
        </w:tc>
        <w:tc>
          <w:tcPr>
            <w:tcW w:type="dxa" w:w="15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Monat 9 – 18</w:t>
            </w:r>
          </w:p>
        </w:tc>
        <w:tc>
          <w:tcPr>
            <w:tcW w:type="dxa" w:w="4206"/>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B2B Schulen-SaaS, Bildungsbehörden-Partnerships, Verlagsintegrationen</w:t>
            </w:r>
          </w:p>
        </w:tc>
        <w:tc>
          <w:tcPr>
            <w:tcW w:type="dxa" w:w="25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10+ Schulen, ARR 200k CHF</w:t>
            </w:r>
          </w:p>
        </w:tc>
      </w:tr>
      <w:tr>
        <w:tc>
          <w:tcPr>
            <w:tcW w:type="dxa" w:w="11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Phase 4</w:t>
            </w:r>
          </w:p>
        </w:tc>
        <w:tc>
          <w:tcPr>
            <w:tcW w:type="dxa" w:w="15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18 Monate+</w:t>
            </w:r>
          </w:p>
        </w:tc>
        <w:tc>
          <w:tcPr>
            <w:tcW w:type="dxa" w:w="4206"/>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EU-weite Expansion, Series A, Integration bestehender Übungstools (Mathletics etc.)</w:t>
            </w:r>
          </w:p>
        </w:tc>
        <w:tc>
          <w:tcPr>
            <w:tcW w:type="dxa" w:w="25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ARR 1M+ CHF, 50k Schüler</w:t>
            </w:r>
          </w:p>
        </w:tc>
      </w:tr>
    </w:tbl>
    <w:p>
      <w:r>
        <w:br w:type="page"/>
      </w:r>
    </w:p>
    <w:p>
      <w:pPr>
        <w:pStyle w:val="Heading1"/>
        <w:spacing w:before="400" w:after="200"/>
      </w:pPr>
      <w:r>
        <w:rPr>
          <w:rFonts w:ascii="Arial" w:cs="Arial" w:eastAsia="Arial" w:hAnsi="Arial"/>
          <w:b/>
          <w:bCs/>
          <w:color w:val="1A3328"/>
          <w:sz w:val="32"/>
          <w:szCs w:val="32"/>
        </w:rPr>
        <w:t xml:space="preserve">8. Geschäftsmodell &amp; Revenue</w:t>
      </w:r>
    </w:p>
    <w:p>
      <w:pPr>
        <w:spacing w:after="160" w:line="312"/>
      </w:pPr>
      <w:r>
        <w:rPr>
          <w:rFonts w:ascii="Arial" w:cs="Arial" w:eastAsia="Arial" w:hAnsi="Arial"/>
          <w:color w:val="3D3D3A"/>
          <w:sz w:val="22"/>
          <w:szCs w:val="22"/>
        </w:rPr>
        <w:t xml:space="preserve">Guided hat drei natürliche Monetarisierungs-Ebenen, die sich nicht kannibalisieren — sie adressieren unterschiedliche Entscheider und unterschiedliche Budgets: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06"/>
      </w:tblGrid>
      <w:tr>
        <w:tc>
          <w:tcPr>
            <w:tcW w:type="dxa" w:w="2200"/>
            <w:tcBorders>
              <w:top w:val="single" w:color="D4D4C8" w:sz="1"/>
              <w:left w:val="single" w:color="D4D4C8" w:sz="1"/>
              <w:bottom w:val="single" w:color="D4D4C8" w:sz="1"/>
              <w:right w:val="single" w:color="D4D4C8" w:sz="1"/>
            </w:tcBorders>
            <w:shd w:fill="1A3328"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600"/>
            <w:tcBorders>
              <w:top w:val="single" w:color="D4D4C8" w:sz="1"/>
              <w:left w:val="single" w:color="D4D4C8" w:sz="1"/>
              <w:bottom w:val="single" w:color="D4D4C8" w:sz="1"/>
              <w:right w:val="single" w:color="D4D4C8" w:sz="1"/>
            </w:tcBorders>
            <w:shd w:fill="1A3328" w:val="clear"/>
            <w:tcMar>
              <w:top w:type="dxa" w:w="80"/>
              <w:left w:type="dxa" w:w="120"/>
              <w:bottom w:type="dxa" w:w="80"/>
              <w:right w:type="dxa" w:w="120"/>
            </w:tcMar>
          </w:tcPr>
          <w:p>
            <w:r>
              <w:rPr>
                <w:rFonts w:ascii="Arial" w:cs="Arial" w:eastAsia="Arial" w:hAnsi="Arial"/>
                <w:b/>
                <w:bCs/>
                <w:color w:val="FFFFFF"/>
                <w:sz w:val="20"/>
                <w:szCs w:val="20"/>
              </w:rPr>
              <w:t xml:space="preserve">Modell</w:t>
            </w:r>
          </w:p>
        </w:tc>
        <w:tc>
          <w:tcPr>
            <w:tcW w:type="dxa" w:w="2200"/>
            <w:tcBorders>
              <w:top w:val="single" w:color="D4D4C8" w:sz="1"/>
              <w:left w:val="single" w:color="D4D4C8" w:sz="1"/>
              <w:bottom w:val="single" w:color="D4D4C8" w:sz="1"/>
              <w:right w:val="single" w:color="D4D4C8" w:sz="1"/>
            </w:tcBorders>
            <w:shd w:fill="1A3328" w:val="clear"/>
            <w:tcMar>
              <w:top w:type="dxa" w:w="80"/>
              <w:left w:type="dxa" w:w="120"/>
              <w:bottom w:type="dxa" w:w="80"/>
              <w:right w:type="dxa" w:w="120"/>
            </w:tcMar>
          </w:tcPr>
          <w:p>
            <w:r>
              <w:rPr>
                <w:rFonts w:ascii="Arial" w:cs="Arial" w:eastAsia="Arial" w:hAnsi="Arial"/>
                <w:b/>
                <w:bCs/>
                <w:color w:val="FFFFFF"/>
                <w:sz w:val="20"/>
                <w:szCs w:val="20"/>
              </w:rPr>
              <w:t xml:space="preserve">Preis</w:t>
            </w:r>
          </w:p>
        </w:tc>
        <w:tc>
          <w:tcPr>
            <w:tcW w:type="dxa" w:w="3306"/>
            <w:tcBorders>
              <w:top w:val="single" w:color="D4D4C8" w:sz="1"/>
              <w:left w:val="single" w:color="D4D4C8" w:sz="1"/>
              <w:bottom w:val="single" w:color="D4D4C8" w:sz="1"/>
              <w:right w:val="single" w:color="D4D4C8" w:sz="1"/>
            </w:tcBorders>
            <w:shd w:fill="1A3328" w:val="clear"/>
            <w:tcMar>
              <w:top w:type="dxa" w:w="80"/>
              <w:left w:type="dxa" w:w="120"/>
              <w:bottom w:type="dxa" w:w="80"/>
              <w:right w:type="dxa" w:w="120"/>
            </w:tcMar>
          </w:tcPr>
          <w:p>
            <w:r>
              <w:rPr>
                <w:rFonts w:ascii="Arial" w:cs="Arial" w:eastAsia="Arial" w:hAnsi="Arial"/>
                <w:b/>
                <w:bCs/>
                <w:color w:val="FFFFFF"/>
                <w:sz w:val="20"/>
                <w:szCs w:val="20"/>
              </w:rPr>
              <w:t xml:space="preserve">Begründung</w:t>
            </w:r>
          </w:p>
        </w:tc>
      </w:tr>
      <w:tr>
        <w:tc>
          <w:tcPr>
            <w:tcW w:type="dxa" w:w="2200"/>
            <w:tcBorders>
              <w:top w:val="single" w:color="D4D4C8" w:sz="1"/>
              <w:left w:val="single" w:color="D4D4C8" w:sz="1"/>
              <w:bottom w:val="single" w:color="D4D4C8" w:sz="1"/>
              <w:right w:val="single" w:color="D4D4C8" w:sz="1"/>
            </w:tcBorders>
            <w:shd w:fill="EBF2EC" w:val="clear"/>
            <w:tcMar>
              <w:top w:type="dxa" w:w="80"/>
              <w:left w:type="dxa" w:w="120"/>
              <w:bottom w:type="dxa" w:w="80"/>
              <w:right w:type="dxa" w:w="120"/>
            </w:tcMar>
          </w:tcPr>
          <w:p>
            <w:r>
              <w:rPr>
                <w:rFonts w:ascii="Arial" w:cs="Arial" w:eastAsia="Arial" w:hAnsi="Arial"/>
                <w:color w:val="3D3D3A"/>
                <w:sz w:val="20"/>
                <w:szCs w:val="20"/>
              </w:rPr>
              <w:t xml:space="preserve">Familie</w:t>
            </w:r>
          </w:p>
        </w:tc>
        <w:tc>
          <w:tcPr>
            <w:tcW w:type="dxa" w:w="16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Monatsabo</w:t>
            </w:r>
          </w:p>
        </w:tc>
        <w:tc>
          <w:tcPr>
            <w:tcW w:type="dxa" w:w="22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CHF/EUR 9.90/Monat</w:t>
            </w:r>
          </w:p>
        </w:tc>
        <w:tc>
          <w:tcPr>
            <w:tcW w:type="dxa" w:w="3306"/>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Nachhilfe kostet 40–80/Stunde — Guided ist 10x günstiger</w:t>
            </w:r>
          </w:p>
        </w:tc>
      </w:tr>
      <w:tr>
        <w:tc>
          <w:tcPr>
            <w:tcW w:type="dxa" w:w="22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Schule (&lt;100 Sch.)</w:t>
            </w:r>
          </w:p>
        </w:tc>
        <w:tc>
          <w:tcPr>
            <w:tcW w:type="dxa" w:w="16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Jahreslizenz</w:t>
            </w:r>
          </w:p>
        </w:tc>
        <w:tc>
          <w:tcPr>
            <w:tcW w:type="dxa" w:w="22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CHF 8/Schüler/Monat</w:t>
            </w:r>
          </w:p>
        </w:tc>
        <w:tc>
          <w:tcPr>
            <w:tcW w:type="dxa" w:w="3306"/>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SaaS-Standard, IT-Budget schreibbar, inkl. Admin-Panel</w:t>
            </w:r>
          </w:p>
        </w:tc>
      </w:tr>
      <w:tr>
        <w:tc>
          <w:tcPr>
            <w:tcW w:type="dxa" w:w="2200"/>
            <w:tcBorders>
              <w:top w:val="single" w:color="D4D4C8" w:sz="1"/>
              <w:left w:val="single" w:color="D4D4C8" w:sz="1"/>
              <w:bottom w:val="single" w:color="D4D4C8" w:sz="1"/>
              <w:right w:val="single" w:color="D4D4C8" w:sz="1"/>
            </w:tcBorders>
            <w:shd w:fill="EBF2EC" w:val="clear"/>
            <w:tcMar>
              <w:top w:type="dxa" w:w="80"/>
              <w:left w:type="dxa" w:w="120"/>
              <w:bottom w:type="dxa" w:w="80"/>
              <w:right w:type="dxa" w:w="120"/>
            </w:tcMar>
          </w:tcPr>
          <w:p>
            <w:r>
              <w:rPr>
                <w:rFonts w:ascii="Arial" w:cs="Arial" w:eastAsia="Arial" w:hAnsi="Arial"/>
                <w:color w:val="3D3D3A"/>
                <w:sz w:val="20"/>
                <w:szCs w:val="20"/>
              </w:rPr>
              <w:t xml:space="preserve">Schule (&gt;100 Sch.)</w:t>
            </w:r>
          </w:p>
        </w:tc>
        <w:tc>
          <w:tcPr>
            <w:tcW w:type="dxa" w:w="16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Enterprise</w:t>
            </w:r>
          </w:p>
        </w:tc>
        <w:tc>
          <w:tcPr>
            <w:tcW w:type="dxa" w:w="22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ab CHF 5/Schüler/Mo</w:t>
            </w:r>
          </w:p>
        </w:tc>
        <w:tc>
          <w:tcPr>
            <w:tcW w:type="dxa" w:w="3306"/>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Volumenrabatt, LMS-Integration, Priority Support</w:t>
            </w:r>
          </w:p>
        </w:tc>
      </w:tr>
      <w:tr>
        <w:tc>
          <w:tcPr>
            <w:tcW w:type="dxa" w:w="22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Student (pers.)</w:t>
            </w:r>
          </w:p>
        </w:tc>
        <w:tc>
          <w:tcPr>
            <w:tcW w:type="dxa" w:w="16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Freemium + Abo</w:t>
            </w:r>
          </w:p>
        </w:tc>
        <w:tc>
          <w:tcPr>
            <w:tcW w:type="dxa" w:w="22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Free → CHF 6.90/Mo</w:t>
            </w:r>
          </w:p>
        </w:tc>
        <w:tc>
          <w:tcPr>
            <w:tcW w:type="dxa" w:w="3306"/>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Virales Wachstum, Upsell auf Family-Abo</w:t>
            </w:r>
          </w:p>
        </w:tc>
      </w:tr>
    </w:tbl>
    <w:p>
      <w:r>
        <w:br w:type="page"/>
      </w:r>
    </w:p>
    <w:p>
      <w:pPr>
        <w:pStyle w:val="Heading1"/>
        <w:spacing w:before="400" w:after="200"/>
      </w:pPr>
      <w:r>
        <w:rPr>
          <w:rFonts w:ascii="Arial" w:cs="Arial" w:eastAsia="Arial" w:hAnsi="Arial"/>
          <w:b/>
          <w:bCs/>
          <w:color w:val="1A3328"/>
          <w:sz w:val="32"/>
          <w:szCs w:val="32"/>
        </w:rPr>
        <w:t xml:space="preserve">9. Wichtige KPIs &amp; Erfolgsmessung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06"/>
      </w:tblGrid>
      <w:tr>
        <w:tc>
          <w:tcPr>
            <w:tcW w:type="dxa" w:w="2800"/>
            <w:tcBorders>
              <w:top w:val="single" w:color="D4D4C8" w:sz="1"/>
              <w:left w:val="single" w:color="D4D4C8" w:sz="1"/>
              <w:bottom w:val="single" w:color="D4D4C8" w:sz="1"/>
              <w:right w:val="single" w:color="D4D4C8" w:sz="1"/>
            </w:tcBorders>
            <w:shd w:fill="1A3328"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1800"/>
            <w:tcBorders>
              <w:top w:val="single" w:color="D4D4C8" w:sz="1"/>
              <w:left w:val="single" w:color="D4D4C8" w:sz="1"/>
              <w:bottom w:val="single" w:color="D4D4C8" w:sz="1"/>
              <w:right w:val="single" w:color="D4D4C8" w:sz="1"/>
            </w:tcBorders>
            <w:shd w:fill="1A3328" w:val="clear"/>
            <w:tcMar>
              <w:top w:type="dxa" w:w="80"/>
              <w:left w:type="dxa" w:w="120"/>
              <w:bottom w:type="dxa" w:w="80"/>
              <w:right w:type="dxa" w:w="120"/>
            </w:tcMar>
          </w:tcPr>
          <w:p>
            <w:r>
              <w:rPr>
                <w:rFonts w:ascii="Arial" w:cs="Arial" w:eastAsia="Arial" w:hAnsi="Arial"/>
                <w:b/>
                <w:bCs/>
                <w:color w:val="FFFFFF"/>
                <w:sz w:val="20"/>
                <w:szCs w:val="20"/>
              </w:rPr>
              <w:t xml:space="preserve">Ziel (12 Monate)</w:t>
            </w:r>
          </w:p>
        </w:tc>
        <w:tc>
          <w:tcPr>
            <w:tcW w:type="dxa" w:w="4706"/>
            <w:tcBorders>
              <w:top w:val="single" w:color="D4D4C8" w:sz="1"/>
              <w:left w:val="single" w:color="D4D4C8" w:sz="1"/>
              <w:bottom w:val="single" w:color="D4D4C8" w:sz="1"/>
              <w:right w:val="single" w:color="D4D4C8" w:sz="1"/>
            </w:tcBorders>
            <w:shd w:fill="1A3328" w:val="clear"/>
            <w:tcMar>
              <w:top w:type="dxa" w:w="80"/>
              <w:left w:type="dxa" w:w="120"/>
              <w:bottom w:type="dxa" w:w="80"/>
              <w:right w:type="dxa" w:w="120"/>
            </w:tcMar>
          </w:tcPr>
          <w:p>
            <w:r>
              <w:rPr>
                <w:rFonts w:ascii="Arial" w:cs="Arial" w:eastAsia="Arial" w:hAnsi="Arial"/>
                <w:b/>
                <w:bCs/>
                <w:color w:val="FFFFFF"/>
                <w:sz w:val="20"/>
                <w:szCs w:val="20"/>
              </w:rPr>
              <w:t xml:space="preserve">Warum relevant</w:t>
            </w:r>
          </w:p>
        </w:tc>
      </w:tr>
      <w:tr>
        <w:tc>
          <w:tcPr>
            <w:tcW w:type="dxa" w:w="2800"/>
            <w:tcBorders>
              <w:top w:val="single" w:color="D4D4C8" w:sz="1"/>
              <w:left w:val="single" w:color="D4D4C8" w:sz="1"/>
              <w:bottom w:val="single" w:color="D4D4C8" w:sz="1"/>
              <w:right w:val="single" w:color="D4D4C8" w:sz="1"/>
            </w:tcBorders>
            <w:shd w:fill="F5F5F0" w:val="clear"/>
            <w:tcMar>
              <w:top w:type="dxa" w:w="80"/>
              <w:left w:type="dxa" w:w="120"/>
              <w:bottom w:type="dxa" w:w="80"/>
              <w:right w:type="dxa" w:w="120"/>
            </w:tcMar>
          </w:tcPr>
          <w:p>
            <w:r>
              <w:rPr>
                <w:rFonts w:ascii="Arial" w:cs="Arial" w:eastAsia="Arial" w:hAnsi="Arial"/>
                <w:color w:val="3D3D3A"/>
                <w:sz w:val="20"/>
                <w:szCs w:val="20"/>
              </w:rPr>
              <w:t xml:space="preserve">Daily Active Users</w:t>
            </w:r>
          </w:p>
        </w:tc>
        <w:tc>
          <w:tcPr>
            <w:tcW w:type="dxa" w:w="1800"/>
            <w:tcBorders>
              <w:top w:val="single" w:color="D4D4C8" w:sz="1"/>
              <w:left w:val="single" w:color="D4D4C8" w:sz="1"/>
              <w:bottom w:val="single" w:color="D4D4C8" w:sz="1"/>
              <w:right w:val="single" w:color="D4D4C8" w:sz="1"/>
            </w:tcBorders>
            <w:shd w:fill="F5F5F0" w:val="clear"/>
            <w:tcMar>
              <w:top w:type="dxa" w:w="80"/>
              <w:left w:type="dxa" w:w="120"/>
              <w:bottom w:type="dxa" w:w="80"/>
              <w:right w:type="dxa" w:w="120"/>
            </w:tcMar>
          </w:tcPr>
          <w:p>
            <w:r>
              <w:rPr>
                <w:rFonts w:ascii="Arial" w:cs="Arial" w:eastAsia="Arial" w:hAnsi="Arial"/>
                <w:color w:val="3D3D3A"/>
                <w:sz w:val="20"/>
                <w:szCs w:val="20"/>
              </w:rPr>
              <w:t xml:space="preserve">2.000</w:t>
            </w:r>
          </w:p>
        </w:tc>
        <w:tc>
          <w:tcPr>
            <w:tcW w:type="dxa" w:w="4706"/>
            <w:tcBorders>
              <w:top w:val="single" w:color="D4D4C8" w:sz="1"/>
              <w:left w:val="single" w:color="D4D4C8" w:sz="1"/>
              <w:bottom w:val="single" w:color="D4D4C8" w:sz="1"/>
              <w:right w:val="single" w:color="D4D4C8" w:sz="1"/>
            </w:tcBorders>
            <w:shd w:fill="F5F5F0" w:val="clear"/>
            <w:tcMar>
              <w:top w:type="dxa" w:w="80"/>
              <w:left w:type="dxa" w:w="120"/>
              <w:bottom w:type="dxa" w:w="80"/>
              <w:right w:type="dxa" w:w="120"/>
            </w:tcMar>
          </w:tcPr>
          <w:p>
            <w:r>
              <w:rPr>
                <w:rFonts w:ascii="Arial" w:cs="Arial" w:eastAsia="Arial" w:hAnsi="Arial"/>
                <w:color w:val="3D3D3A"/>
                <w:sz w:val="20"/>
                <w:szCs w:val="20"/>
              </w:rPr>
              <w:t xml:space="preserve">Lernen ist ein tägliches Habit — DAU zeigt echten Mehrwert</w:t>
            </w:r>
          </w:p>
        </w:tc>
      </w:tr>
      <w:tr>
        <w:tc>
          <w:tcPr>
            <w:tcW w:type="dxa" w:w="28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Session-Dauer Ø</w:t>
            </w:r>
          </w:p>
        </w:tc>
        <w:tc>
          <w:tcPr>
            <w:tcW w:type="dxa" w:w="18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&gt; 18 Minuten</w:t>
            </w:r>
          </w:p>
        </w:tc>
        <w:tc>
          <w:tcPr>
            <w:tcW w:type="dxa" w:w="4706"/>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Tiefes Engagement = echter Lerneffekt</w:t>
            </w:r>
          </w:p>
        </w:tc>
      </w:tr>
      <w:tr>
        <w:tc>
          <w:tcPr>
            <w:tcW w:type="dxa" w:w="2800"/>
            <w:tcBorders>
              <w:top w:val="single" w:color="D4D4C8" w:sz="1"/>
              <w:left w:val="single" w:color="D4D4C8" w:sz="1"/>
              <w:bottom w:val="single" w:color="D4D4C8" w:sz="1"/>
              <w:right w:val="single" w:color="D4D4C8" w:sz="1"/>
            </w:tcBorders>
            <w:shd w:fill="F5F5F0" w:val="clear"/>
            <w:tcMar>
              <w:top w:type="dxa" w:w="80"/>
              <w:left w:type="dxa" w:w="120"/>
              <w:bottom w:type="dxa" w:w="80"/>
              <w:right w:type="dxa" w:w="120"/>
            </w:tcMar>
          </w:tcPr>
          <w:p>
            <w:r>
              <w:rPr>
                <w:rFonts w:ascii="Arial" w:cs="Arial" w:eastAsia="Arial" w:hAnsi="Arial"/>
                <w:color w:val="3D3D3A"/>
                <w:sz w:val="20"/>
                <w:szCs w:val="20"/>
              </w:rPr>
              <w:t xml:space="preserve">Hint-Rate/Session</w:t>
            </w:r>
          </w:p>
        </w:tc>
        <w:tc>
          <w:tcPr>
            <w:tcW w:type="dxa" w:w="1800"/>
            <w:tcBorders>
              <w:top w:val="single" w:color="D4D4C8" w:sz="1"/>
              <w:left w:val="single" w:color="D4D4C8" w:sz="1"/>
              <w:bottom w:val="single" w:color="D4D4C8" w:sz="1"/>
              <w:right w:val="single" w:color="D4D4C8" w:sz="1"/>
            </w:tcBorders>
            <w:shd w:fill="F5F5F0" w:val="clear"/>
            <w:tcMar>
              <w:top w:type="dxa" w:w="80"/>
              <w:left w:type="dxa" w:w="120"/>
              <w:bottom w:type="dxa" w:w="80"/>
              <w:right w:type="dxa" w:w="120"/>
            </w:tcMar>
          </w:tcPr>
          <w:p>
            <w:r>
              <w:rPr>
                <w:rFonts w:ascii="Arial" w:cs="Arial" w:eastAsia="Arial" w:hAnsi="Arial"/>
                <w:color w:val="3D3D3A"/>
                <w:sz w:val="20"/>
                <w:szCs w:val="20"/>
              </w:rPr>
              <w:t xml:space="preserve">&lt; 1.5 Hints</w:t>
            </w:r>
          </w:p>
        </w:tc>
        <w:tc>
          <w:tcPr>
            <w:tcW w:type="dxa" w:w="4706"/>
            <w:tcBorders>
              <w:top w:val="single" w:color="D4D4C8" w:sz="1"/>
              <w:left w:val="single" w:color="D4D4C8" w:sz="1"/>
              <w:bottom w:val="single" w:color="D4D4C8" w:sz="1"/>
              <w:right w:val="single" w:color="D4D4C8" w:sz="1"/>
            </w:tcBorders>
            <w:shd w:fill="F5F5F0" w:val="clear"/>
            <w:tcMar>
              <w:top w:type="dxa" w:w="80"/>
              <w:left w:type="dxa" w:w="120"/>
              <w:bottom w:type="dxa" w:w="80"/>
              <w:right w:type="dxa" w:w="120"/>
            </w:tcMar>
          </w:tcPr>
          <w:p>
            <w:r>
              <w:rPr>
                <w:rFonts w:ascii="Arial" w:cs="Arial" w:eastAsia="Arial" w:hAnsi="Arial"/>
                <w:color w:val="3D3D3A"/>
                <w:sz w:val="20"/>
                <w:szCs w:val="20"/>
              </w:rPr>
              <w:t xml:space="preserve">Zeigt ob Schüler selbst denken</w:t>
            </w:r>
          </w:p>
        </w:tc>
      </w:tr>
      <w:tr>
        <w:tc>
          <w:tcPr>
            <w:tcW w:type="dxa" w:w="28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AHA-Momente/Woche</w:t>
            </w:r>
          </w:p>
        </w:tc>
        <w:tc>
          <w:tcPr>
            <w:tcW w:type="dxa" w:w="18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&gt; 2 pro Schüler</w:t>
            </w:r>
          </w:p>
        </w:tc>
        <w:tc>
          <w:tcPr>
            <w:tcW w:type="dxa" w:w="4706"/>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Kernmetrik des pädagogischen Erfolgs</w:t>
            </w:r>
          </w:p>
        </w:tc>
      </w:tr>
      <w:tr>
        <w:tc>
          <w:tcPr>
            <w:tcW w:type="dxa" w:w="2800"/>
            <w:tcBorders>
              <w:top w:val="single" w:color="D4D4C8" w:sz="1"/>
              <w:left w:val="single" w:color="D4D4C8" w:sz="1"/>
              <w:bottom w:val="single" w:color="D4D4C8" w:sz="1"/>
              <w:right w:val="single" w:color="D4D4C8" w:sz="1"/>
            </w:tcBorders>
            <w:shd w:fill="F5F5F0" w:val="clear"/>
            <w:tcMar>
              <w:top w:type="dxa" w:w="80"/>
              <w:left w:type="dxa" w:w="120"/>
              <w:bottom w:type="dxa" w:w="80"/>
              <w:right w:type="dxa" w:w="120"/>
            </w:tcMar>
          </w:tcPr>
          <w:p>
            <w:r>
              <w:rPr>
                <w:rFonts w:ascii="Arial" w:cs="Arial" w:eastAsia="Arial" w:hAnsi="Arial"/>
                <w:color w:val="3D3D3A"/>
                <w:sz w:val="20"/>
                <w:szCs w:val="20"/>
              </w:rPr>
              <w:t xml:space="preserve">Eltern-Retention (30d)</w:t>
            </w:r>
          </w:p>
        </w:tc>
        <w:tc>
          <w:tcPr>
            <w:tcW w:type="dxa" w:w="1800"/>
            <w:tcBorders>
              <w:top w:val="single" w:color="D4D4C8" w:sz="1"/>
              <w:left w:val="single" w:color="D4D4C8" w:sz="1"/>
              <w:bottom w:val="single" w:color="D4D4C8" w:sz="1"/>
              <w:right w:val="single" w:color="D4D4C8" w:sz="1"/>
            </w:tcBorders>
            <w:shd w:fill="F5F5F0" w:val="clear"/>
            <w:tcMar>
              <w:top w:type="dxa" w:w="80"/>
              <w:left w:type="dxa" w:w="120"/>
              <w:bottom w:type="dxa" w:w="80"/>
              <w:right w:type="dxa" w:w="120"/>
            </w:tcMar>
          </w:tcPr>
          <w:p>
            <w:r>
              <w:rPr>
                <w:rFonts w:ascii="Arial" w:cs="Arial" w:eastAsia="Arial" w:hAnsi="Arial"/>
                <w:color w:val="3D3D3A"/>
                <w:sz w:val="20"/>
                <w:szCs w:val="20"/>
              </w:rPr>
              <w:t xml:space="preserve">&gt; 65%</w:t>
            </w:r>
          </w:p>
        </w:tc>
        <w:tc>
          <w:tcPr>
            <w:tcW w:type="dxa" w:w="4706"/>
            <w:tcBorders>
              <w:top w:val="single" w:color="D4D4C8" w:sz="1"/>
              <w:left w:val="single" w:color="D4D4C8" w:sz="1"/>
              <w:bottom w:val="single" w:color="D4D4C8" w:sz="1"/>
              <w:right w:val="single" w:color="D4D4C8" w:sz="1"/>
            </w:tcBorders>
            <w:shd w:fill="F5F5F0" w:val="clear"/>
            <w:tcMar>
              <w:top w:type="dxa" w:w="80"/>
              <w:left w:type="dxa" w:w="120"/>
              <w:bottom w:type="dxa" w:w="80"/>
              <w:right w:type="dxa" w:w="120"/>
            </w:tcMar>
          </w:tcPr>
          <w:p>
            <w:r>
              <w:rPr>
                <w:rFonts w:ascii="Arial" w:cs="Arial" w:eastAsia="Arial" w:hAnsi="Arial"/>
                <w:color w:val="3D3D3A"/>
                <w:sz w:val="20"/>
                <w:szCs w:val="20"/>
              </w:rPr>
              <w:t xml:space="preserve">Retention = wahrgenommener Nutzen</w:t>
            </w:r>
          </w:p>
        </w:tc>
      </w:tr>
      <w:tr>
        <w:tc>
          <w:tcPr>
            <w:tcW w:type="dxa" w:w="28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Schul-NPS</w:t>
            </w:r>
          </w:p>
        </w:tc>
        <w:tc>
          <w:tcPr>
            <w:tcW w:type="dxa" w:w="18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&gt; 50</w:t>
            </w:r>
          </w:p>
        </w:tc>
        <w:tc>
          <w:tcPr>
            <w:tcW w:type="dxa" w:w="4706"/>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Schulen empfehlen intern weiter</w:t>
            </w:r>
          </w:p>
        </w:tc>
      </w:tr>
      <w:tr>
        <w:tc>
          <w:tcPr>
            <w:tcW w:type="dxa" w:w="2800"/>
            <w:tcBorders>
              <w:top w:val="single" w:color="D4D4C8" w:sz="1"/>
              <w:left w:val="single" w:color="D4D4C8" w:sz="1"/>
              <w:bottom w:val="single" w:color="D4D4C8" w:sz="1"/>
              <w:right w:val="single" w:color="D4D4C8" w:sz="1"/>
            </w:tcBorders>
            <w:shd w:fill="F5F5F0" w:val="clear"/>
            <w:tcMar>
              <w:top w:type="dxa" w:w="80"/>
              <w:left w:type="dxa" w:w="120"/>
              <w:bottom w:type="dxa" w:w="80"/>
              <w:right w:type="dxa" w:w="120"/>
            </w:tcMar>
          </w:tcPr>
          <w:p>
            <w:r>
              <w:rPr>
                <w:rFonts w:ascii="Arial" w:cs="Arial" w:eastAsia="Arial" w:hAnsi="Arial"/>
                <w:color w:val="3D3D3A"/>
                <w:sz w:val="20"/>
                <w:szCs w:val="20"/>
              </w:rPr>
              <w:t xml:space="preserve">MRR (Monat 12)</w:t>
            </w:r>
          </w:p>
        </w:tc>
        <w:tc>
          <w:tcPr>
            <w:tcW w:type="dxa" w:w="1800"/>
            <w:tcBorders>
              <w:top w:val="single" w:color="D4D4C8" w:sz="1"/>
              <w:left w:val="single" w:color="D4D4C8" w:sz="1"/>
              <w:bottom w:val="single" w:color="D4D4C8" w:sz="1"/>
              <w:right w:val="single" w:color="D4D4C8" w:sz="1"/>
            </w:tcBorders>
            <w:shd w:fill="F5F5F0" w:val="clear"/>
            <w:tcMar>
              <w:top w:type="dxa" w:w="80"/>
              <w:left w:type="dxa" w:w="120"/>
              <w:bottom w:type="dxa" w:w="80"/>
              <w:right w:type="dxa" w:w="120"/>
            </w:tcMar>
          </w:tcPr>
          <w:p>
            <w:r>
              <w:rPr>
                <w:rFonts w:ascii="Arial" w:cs="Arial" w:eastAsia="Arial" w:hAnsi="Arial"/>
                <w:color w:val="3D3D3A"/>
                <w:sz w:val="20"/>
                <w:szCs w:val="20"/>
              </w:rPr>
              <w:t xml:space="preserve">CHF 25.000</w:t>
            </w:r>
          </w:p>
        </w:tc>
        <w:tc>
          <w:tcPr>
            <w:tcW w:type="dxa" w:w="4706"/>
            <w:tcBorders>
              <w:top w:val="single" w:color="D4D4C8" w:sz="1"/>
              <w:left w:val="single" w:color="D4D4C8" w:sz="1"/>
              <w:bottom w:val="single" w:color="D4D4C8" w:sz="1"/>
              <w:right w:val="single" w:color="D4D4C8" w:sz="1"/>
            </w:tcBorders>
            <w:shd w:fill="F5F5F0" w:val="clear"/>
            <w:tcMar>
              <w:top w:type="dxa" w:w="80"/>
              <w:left w:type="dxa" w:w="120"/>
              <w:bottom w:type="dxa" w:w="80"/>
              <w:right w:type="dxa" w:w="120"/>
            </w:tcMar>
          </w:tcPr>
          <w:p>
            <w:r>
              <w:rPr>
                <w:rFonts w:ascii="Arial" w:cs="Arial" w:eastAsia="Arial" w:hAnsi="Arial"/>
                <w:color w:val="3D3D3A"/>
                <w:sz w:val="20"/>
                <w:szCs w:val="20"/>
              </w:rPr>
              <w:t xml:space="preserve">3-köpfiges Team vollzeitfinanzierbar</w:t>
            </w:r>
          </w:p>
        </w:tc>
      </w:tr>
      <w:tr>
        <w:tc>
          <w:tcPr>
            <w:tcW w:type="dxa" w:w="28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Lehrer-Upload-Rate</w:t>
            </w:r>
          </w:p>
        </w:tc>
        <w:tc>
          <w:tcPr>
            <w:tcW w:type="dxa" w:w="1800"/>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&gt; 80% der Schultage</w:t>
            </w:r>
          </w:p>
        </w:tc>
        <w:tc>
          <w:tcPr>
            <w:tcW w:type="dxa" w:w="4706"/>
            <w:tcBorders>
              <w:top w:val="single" w:color="D4D4C8" w:sz="1"/>
              <w:left w:val="single" w:color="D4D4C8" w:sz="1"/>
              <w:bottom w:val="single" w:color="D4D4C8" w:sz="1"/>
              <w:right w:val="single" w:color="D4D4C8" w:sz="1"/>
            </w:tcBorders>
            <w:tcMar>
              <w:top w:type="dxa" w:w="80"/>
              <w:left w:type="dxa" w:w="120"/>
              <w:bottom w:type="dxa" w:w="80"/>
              <w:right w:type="dxa" w:w="120"/>
            </w:tcMar>
          </w:tcPr>
          <w:p>
            <w:r>
              <w:rPr>
                <w:rFonts w:ascii="Arial" w:cs="Arial" w:eastAsia="Arial" w:hAnsi="Arial"/>
                <w:color w:val="3D3D3A"/>
                <w:sz w:val="20"/>
                <w:szCs w:val="20"/>
              </w:rPr>
              <w:t xml:space="preserve">Zeigt Adoption der Lehrer-Datenbank</w:t>
            </w:r>
          </w:p>
        </w:tc>
      </w:tr>
    </w:tbl>
    <w:p>
      <w:r>
        <w:br w:type="page"/>
      </w:r>
    </w:p>
    <w:p>
      <w:pPr>
        <w:pStyle w:val="Heading1"/>
        <w:spacing w:before="400" w:after="200"/>
      </w:pPr>
      <w:r>
        <w:rPr>
          <w:rFonts w:ascii="Arial" w:cs="Arial" w:eastAsia="Arial" w:hAnsi="Arial"/>
          <w:b/>
          <w:bCs/>
          <w:color w:val="1A3328"/>
          <w:sz w:val="32"/>
          <w:szCs w:val="32"/>
        </w:rPr>
        <w:t xml:space="preserve">10. Kritische Einordnung &amp; offene Fragen</w:t>
      </w:r>
    </w:p>
    <w:p>
      <w:pPr>
        <w:pStyle w:val="Heading2"/>
        <w:spacing w:before="300" w:after="160"/>
      </w:pPr>
      <w:r>
        <w:rPr>
          <w:rFonts w:ascii="Arial" w:cs="Arial" w:eastAsia="Arial" w:hAnsi="Arial"/>
          <w:b/>
          <w:bCs/>
          <w:color w:val="1A3328"/>
          <w:sz w:val="26"/>
          <w:szCs w:val="26"/>
        </w:rPr>
        <w:t xml:space="preserve">10.1 Was ist wirklich stark?</w:t>
      </w:r>
    </w:p>
    <w:p>
      <w:pPr>
        <w:spacing w:after="160" w:line="312"/>
      </w:pPr>
      <w:r>
        <w:rPr>
          <w:rFonts w:ascii="Arial" w:cs="Arial" w:eastAsia="Arial" w:hAnsi="Arial"/>
          <w:color w:val="3D3D3A"/>
          <w:sz w:val="22"/>
          <w:szCs w:val="22"/>
        </w:rPr>
        <w:t xml:space="preserve">Die Kernidee ist ausserordentlich. Der Markt ist voll von Tools, die mit „KI-gestütztem Lernen“ werben und im Kern nur bessere Antwortmaschinen sind. Guided ist der seltene Fall, wo die Methodik der Wettbewerbsvorteil ist — nicht die Technologie. Das System-Prompt ist curriculares Design: die WRONG-vs-RIGHT-Beispiele, die Bloom-Tagging-Anforderung, die AHA-Erkennung, die Pattern Recognition. Dazu kommt: Das Produkt hat in wenigen Wochen eine bemerkenswerte technische Reife erreicht — von 4.838 auf 6.541 Zeilen, mit Account-System, Abitur-Modus und Landing Page.</w:t>
      </w:r>
    </w:p>
    <w:p>
      <w:pPr>
        <w:pStyle w:val="Heading2"/>
        <w:spacing w:before="300" w:after="160"/>
      </w:pPr>
      <w:r>
        <w:rPr>
          <w:rFonts w:ascii="Arial" w:cs="Arial" w:eastAsia="Arial" w:hAnsi="Arial"/>
          <w:b/>
          <w:bCs/>
          <w:color w:val="1A3328"/>
          <w:sz w:val="26"/>
          <w:szCs w:val="26"/>
        </w:rPr>
        <w:t xml:space="preserve">10.2 Wo lauern Risiken?</w:t>
      </w:r>
    </w:p>
    <w:p>
      <w:pPr>
        <w:spacing w:after="160" w:line="312"/>
      </w:pPr>
      <w:r>
        <w:rPr>
          <w:rFonts w:ascii="Arial" w:cs="Arial" w:eastAsia="Arial" w:hAnsi="Arial"/>
          <w:b/>
          <w:bCs/>
          <w:color w:val="1A1A18"/>
          <w:sz w:val="22"/>
          <w:szCs w:val="22"/>
        </w:rPr>
        <w:t xml:space="preserve">Umgehungsrisiko: </w:t>
      </w:r>
      <w:r>
        <w:rPr>
          <w:rFonts w:ascii="Arial" w:cs="Arial" w:eastAsia="Arial" w:hAnsi="Arial"/>
          <w:color w:val="3D3D3A"/>
          <w:sz w:val="22"/>
          <w:szCs w:val="22"/>
        </w:rPr>
        <w:t xml:space="preserve">Schüler, die wirklich nur die Antwort wollen, werden parallel ChatGPT öffnen. Guided kann das nicht verhindern und sollte es nicht versuchen. Das Produkt muss so gut sein, dass der Schüler merkt: Mit Guided lerne ich wirklich was.</w:t>
      </w:r>
    </w:p>
    <w:p>
      <w:pPr>
        <w:spacing w:after="160" w:line="312"/>
      </w:pPr>
      <w:r>
        <w:rPr>
          <w:rFonts w:ascii="Arial" w:cs="Arial" w:eastAsia="Arial" w:hAnsi="Arial"/>
          <w:b/>
          <w:bCs/>
          <w:color w:val="1A1A18"/>
          <w:sz w:val="22"/>
          <w:szCs w:val="22"/>
        </w:rPr>
        <w:t xml:space="preserve">Skalierungskosten: </w:t>
      </w:r>
      <w:r>
        <w:rPr>
          <w:rFonts w:ascii="Arial" w:cs="Arial" w:eastAsia="Arial" w:hAnsi="Arial"/>
          <w:color w:val="3D3D3A"/>
          <w:sz w:val="22"/>
          <w:szCs w:val="22"/>
        </w:rPr>
        <w:t xml:space="preserve">Jeder Chat macht API-Aufrufe. Bei 10.000 aktiven Schülern und 20 Minuten täglich entstehen erhebliche LLM-Kosten. Das Pricing muss Kosten plus Marge abdecken.</w:t>
      </w:r>
    </w:p>
    <w:p>
      <w:pPr>
        <w:spacing w:after="160" w:line="312"/>
      </w:pPr>
      <w:r>
        <w:rPr>
          <w:rFonts w:ascii="Arial" w:cs="Arial" w:eastAsia="Arial" w:hAnsi="Arial"/>
          <w:b/>
          <w:bCs/>
          <w:color w:val="1A1A18"/>
          <w:sz w:val="22"/>
          <w:szCs w:val="22"/>
        </w:rPr>
        <w:t xml:space="preserve">Regulatorik: </w:t>
      </w:r>
      <w:r>
        <w:rPr>
          <w:rFonts w:ascii="Arial" w:cs="Arial" w:eastAsia="Arial" w:hAnsi="Arial"/>
          <w:color w:val="3D3D3A"/>
          <w:sz w:val="22"/>
          <w:szCs w:val="22"/>
        </w:rPr>
        <w:t xml:space="preserve">KI in Schulen ist politisch umstritten. Guided braucht proaktive Kommunikation mit Bildungsbehörden und einen überzeugenden Datenschutz-Audit. Das „Spanien-Argument“ — Guided als konstruktive Alternative zum KI-Verbot — ist hier strategisch wichtig.</w:t>
      </w:r>
    </w:p>
    <w:p>
      <w:pPr>
        <w:spacing w:after="160" w:line="312"/>
      </w:pPr>
      <w:r>
        <w:rPr>
          <w:rFonts w:ascii="Arial" w:cs="Arial" w:eastAsia="Arial" w:hAnsi="Arial"/>
          <w:b/>
          <w:bCs/>
          <w:color w:val="1A1A18"/>
          <w:sz w:val="22"/>
          <w:szCs w:val="22"/>
        </w:rPr>
        <w:t xml:space="preserve">Lehrer-Adoption: </w:t>
      </w:r>
      <w:r>
        <w:rPr>
          <w:rFonts w:ascii="Arial" w:cs="Arial" w:eastAsia="Arial" w:hAnsi="Arial"/>
          <w:color w:val="3D3D3A"/>
          <w:sz w:val="22"/>
          <w:szCs w:val="22"/>
        </w:rPr>
        <w:t xml:space="preserve">Die Schulintegration steht und fällt mit der täglichen Nutzung durch Lehrer. Der Upload-Workflow muss absolut friktionsfrei sein. Wenn er komplizierter ist als ein Teams-Post, bricht die Adoption.</w:t>
      </w:r>
    </w:p>
    <w:p>
      <w:pPr>
        <w:pStyle w:val="Heading2"/>
        <w:spacing w:before="300" w:after="160"/>
      </w:pPr>
      <w:r>
        <w:rPr>
          <w:rFonts w:ascii="Arial" w:cs="Arial" w:eastAsia="Arial" w:hAnsi="Arial"/>
          <w:b/>
          <w:bCs/>
          <w:color w:val="1A3328"/>
          <w:sz w:val="26"/>
          <w:szCs w:val="26"/>
        </w:rPr>
        <w:t xml:space="preserve">10.3 Was fehlt noch?</w:t>
      </w:r>
    </w:p>
    <w:p>
      <w:pPr>
        <w:spacing w:after="160" w:line="312"/>
      </w:pPr>
      <w:r>
        <w:rPr>
          <w:rFonts w:ascii="Arial" w:cs="Arial" w:eastAsia="Arial" w:hAnsi="Arial"/>
          <w:color w:val="3D3D3A"/>
          <w:sz w:val="22"/>
          <w:szCs w:val="22"/>
        </w:rPr>
        <w:t xml:space="preserve">Eigenes Backend (weg vom BYOK), Stripe-Integration für Abrechnung, PWA für mobile Nutzung, DSGVO-Dokumentation (Datenschutzerklärung, Verarbeitungsverzeichnis, ggf. DPIA), Lernfortschritts-Export als PDF, Lehrer-Onboarding mit Video-Demo, die vollständige Schulintegration (Lehrer-Dashboard, Klassen, Unterrichtslog, Jahresplan, Analytics), Gamification-Engine für jüngere Schüler, und Mehrsprachigkeit der UI.</w:t>
      </w:r>
    </w:p>
    <w:p>
      <w:r>
        <w:br w:type="page"/>
      </w:r>
    </w:p>
    <w:p>
      <w:pPr>
        <w:pStyle w:val="Heading1"/>
        <w:spacing w:before="400" w:after="200"/>
      </w:pPr>
      <w:r>
        <w:rPr>
          <w:rFonts w:ascii="Arial" w:cs="Arial" w:eastAsia="Arial" w:hAnsi="Arial"/>
          <w:b/>
          <w:bCs/>
          <w:color w:val="1A3328"/>
          <w:sz w:val="32"/>
          <w:szCs w:val="32"/>
        </w:rPr>
        <w:t xml:space="preserve">11. Empfehlungen</w:t>
      </w:r>
    </w:p>
    <w:p>
      <w:pPr>
        <w:pStyle w:val="Heading2"/>
        <w:spacing w:before="300" w:after="160"/>
      </w:pPr>
      <w:r>
        <w:rPr>
          <w:rFonts w:ascii="Arial" w:cs="Arial" w:eastAsia="Arial" w:hAnsi="Arial"/>
          <w:b/>
          <w:bCs/>
          <w:color w:val="1A3328"/>
          <w:sz w:val="26"/>
          <w:szCs w:val="26"/>
        </w:rPr>
        <w:t xml:space="preserve">11.1 Sofortmassnahmen (nächste 30 Tage)</w:t>
      </w:r>
    </w:p>
    <w:p>
      <w:pPr>
        <w:spacing w:after="160" w:line="312"/>
      </w:pPr>
      <w:r>
        <w:rPr>
          <w:rFonts w:ascii="Arial" w:cs="Arial" w:eastAsia="Arial" w:hAnsi="Arial"/>
          <w:color w:val="3D3D3A"/>
          <w:sz w:val="22"/>
          <w:szCs w:val="22"/>
        </w:rPr>
        <w:t xml:space="preserve">Backend bauen (Node.js/Python, API-Key-Management, Session-Speicherung, Abrechnung). Pricing festlegen und Stripe integrieren. 3 Pilotschulen persönlich kontaktieren (kostenlos gegen Feedback und Testimonials). DSGVO-Kurzgutachten bestellen (ca. CHF 500–1.000). Schulintegration implementieren — die technische Spezifikation ist fertig.</w:t>
      </w:r>
    </w:p>
    <w:p>
      <w:pPr>
        <w:pStyle w:val="Heading2"/>
        <w:spacing w:before="300" w:after="160"/>
      </w:pPr>
      <w:r>
        <w:rPr>
          <w:rFonts w:ascii="Arial" w:cs="Arial" w:eastAsia="Arial" w:hAnsi="Arial"/>
          <w:b/>
          <w:bCs/>
          <w:color w:val="1A3328"/>
          <w:sz w:val="26"/>
          <w:szCs w:val="26"/>
        </w:rPr>
        <w:t xml:space="preserve">11.2 Strategische Prioritäten (3–12 Monate)</w:t>
      </w:r>
    </w:p>
    <w:p>
      <w:pPr>
        <w:spacing w:after="160" w:line="312"/>
      </w:pPr>
      <w:r>
        <w:rPr>
          <w:rFonts w:ascii="Arial" w:cs="Arial" w:eastAsia="Arial" w:hAnsi="Arial"/>
          <w:color w:val="3D3D3A"/>
          <w:sz w:val="22"/>
          <w:szCs w:val="22"/>
        </w:rPr>
        <w:t xml:space="preserve">Den pädagogischen Unterschied messbar machen: Kooperation mit einer Bildungswissenschaftlerin für eine kleine Studie. Teacher Community aufbauen: ein überzeugter Lehrer bringt 30 Schüler und 30 Eltern. KI-Transparenz als Verkaufsargument nutzen. Investoren mit Bildungsfokus ansprechen (Social Impact VCs, Bertelsmann Foundation, Jacobs Foundation). Die Lehrer-Datenbank als Pilotprojekt mit 1–2 Schulen starten. Das „Spanien-Argument“ aktiv bei Bildungsbehörden und Schulkonferenzen positionieren.</w:t>
      </w:r>
    </w:p>
    <w:p>
      <w:pPr>
        <w:pStyle w:val="Heading2"/>
        <w:spacing w:before="300" w:after="160"/>
      </w:pPr>
      <w:r>
        <w:rPr>
          <w:rFonts w:ascii="Arial" w:cs="Arial" w:eastAsia="Arial" w:hAnsi="Arial"/>
          <w:b/>
          <w:bCs/>
          <w:color w:val="1A3328"/>
          <w:sz w:val="26"/>
          <w:szCs w:val="26"/>
        </w:rPr>
        <w:t xml:space="preserve">11.3 Langfristige Vision</w:t>
      </w:r>
    </w:p>
    <w:p>
      <w:pPr>
        <w:spacing w:after="160" w:line="312"/>
      </w:pPr>
      <w:r>
        <w:rPr>
          <w:rFonts w:ascii="Arial" w:cs="Arial" w:eastAsia="Arial" w:hAnsi="Arial"/>
          <w:color w:val="3D3D3A"/>
          <w:sz w:val="22"/>
          <w:szCs w:val="22"/>
        </w:rPr>
        <w:t xml:space="preserve">Guided kann zu dem Standard werden, an dem sich KI-Bildungstools messen lassen. Nicht „das Tool, das Antworten gibt“, sondern „das Tool, das Denken lehrt“. Dieser Unterschied ist klar kommunizierbar, klar erfahrbar — und schwer zu kopieren, weil er nicht technologisch ist, sondern methodologisch.</w:t>
      </w:r>
    </w:p>
    <w:p>
      <w:pPr>
        <w:spacing w:after="160" w:line="312"/>
      </w:pPr>
      <w:r>
        <w:rPr>
          <w:rFonts w:ascii="Arial" w:cs="Arial" w:eastAsia="Arial" w:hAnsi="Arial"/>
          <w:color w:val="3D3D3A"/>
          <w:sz w:val="22"/>
          <w:szCs w:val="22"/>
        </w:rPr>
        <w:t xml:space="preserve">Mit der schulweiten Integration — Lehrer-Datenbank, Jahresplan, kontextuelles Tutoring — wird Guided zum unsichtbaren Rückgrat des Schulalltags. Der Reframe ist klar: Nicht „Hausaufgaben anders“, sondern „Schule anders“. Das ist die Vision, die Schulleiter, Bildungsbehörden und Investoren gleichermassen anspricht.</w:t>
      </w:r>
    </w:p>
    <w:p>
      <w:pPr>
        <w:spacing w:after="160" w:line="312"/>
      </w:pPr>
      <w:r>
        <w:rPr>
          <w:rFonts w:ascii="Arial" w:cs="Arial" w:eastAsia="Arial" w:hAnsi="Arial"/>
          <w:color w:val="3D3D3A"/>
          <w:sz w:val="22"/>
          <w:szCs w:val="22"/>
        </w:rPr>
        <w:t xml:space="preserve">Die Frage ist nicht ob es einen Markt gibt. Der Markt ist riesig. Die Frage ist: Schafft es Guided, schnell genug Vertrauen aufzubauen — bei Eltern, Lehrern und Bildungsbehörden — bevor gut finanzierte Wettbewerber die gleiche Philosophie übernehmen?</w:t>
      </w:r>
    </w:p>
    <w:p>
      <w:pPr>
        <w:spacing w:after="80"/>
      </w:pPr>
    </w:p>
    <w:p>
      <w:pPr>
        <w:spacing w:before="400"/>
      </w:pPr>
      <w:r>
        <w:rPr>
          <w:color w:val="D4D4C8"/>
          <w:sz w:val="18"/>
          <w:szCs w:val="18"/>
        </w:rPr>
        <w:t xml:space="preserve">──────────────────────────────────────────────────</w:t>
      </w:r>
    </w:p>
    <w:p>
      <w:pPr>
        <w:spacing w:after="160" w:line="312"/>
      </w:pPr>
      <w:r>
        <w:rPr>
          <w:rFonts w:ascii="Arial" w:cs="Arial" w:eastAsia="Arial" w:hAnsi="Arial"/>
          <w:i/>
          <w:iCs/>
          <w:color w:val="73726C"/>
          <w:sz w:val="22"/>
          <w:szCs w:val="22"/>
        </w:rPr>
        <w:t xml:space="preserve">Produktanalyse basiert auf Direktanalyse des Guided-Quellcodes (index.html, 6.541 Zeilen, März 2026), Voice-Memo und Notizbuch-Skizzen der Gründer zur pädagogischen Vision und Schulintegration, der technischen Spezifikation für die Schulweite Integration, sowie dem begleitenden Markteinschätzungs-Report. Alle Preisempfehlungen sind Schätzungen auf Basis von Marktvergleichen — keine verbindlichen Businessplan-Zahlen.</w:t>
      </w:r>
    </w:p>
    <w:sectPr>
      <w:headerReference w:type="default" r:id="rId6"/>
      <w:footerReference w:type="default" r:id="rId7"/>
      <w:pgSz w:w="11906" w:h="16838" w:orient="portrait"/>
      <w:pgMar w:top="144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3726C"/>
        <w:sz w:val="16"/>
        <w:szCs w:val="16"/>
      </w:rPr>
      <w:t xml:space="preserve">Seite </w:t>
    </w:r>
    <w:r>
      <w:rPr>
        <w:rFonts w:ascii="Arial" w:cs="Arial" w:eastAsia="Arial" w:hAnsi="Arial"/>
        <w:color w:val="7372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3726C"/>
        <w:sz w:val="16"/>
        <w:szCs w:val="16"/>
      </w:rPr>
      <w:t xml:space="preserve">GUIDED — Unternehmensanalyse 2026 (aktualisiert)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328"/>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A3328"/>
      <w:sz w:val="26"/>
      <w:szCs w:val="26"/>
    </w:rPr>
  </w:style>
  <w:style w:type="paragraph" w:styleId="Heading3">
    <w:name w:val="Heading 3"/>
    <w:basedOn w:val="Normal"/>
    <w:next w:val="Normal"/>
    <w:qFormat/>
    <w:pPr>
      <w:spacing w:before="24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2026-03-23T21:22:26.168Z</dcterms:created>
  <dcterms:modified xsi:type="dcterms:W3CDTF">2026-03-23T21:22:26.169Z</dcterms:modified>
</cp:coreProperties>
</file>

<file path=docProps/custom.xml><?xml version="1.0" encoding="utf-8"?>
<Properties xmlns="http://schemas.openxmlformats.org/officeDocument/2006/custom-properties" xmlns:vt="http://schemas.openxmlformats.org/officeDocument/2006/docPropsVTypes"/>
</file>