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240"/>
        <w:jc w:val="center"/>
      </w:pPr>
      <w:r>
        <w:rPr>
          <w:rFonts w:ascii="Arial" w:cs="Arial" w:eastAsia="Arial" w:hAnsi="Arial"/>
          <w:b/>
          <w:bCs/>
          <w:color w:val="1F3864"/>
          <w:sz w:val="52"/>
          <w:szCs w:val="52"/>
        </w:rPr>
        <w:t xml:space="preserve">MARKTEINSCHÄTZUNG</w:t>
      </w:r>
    </w:p>
    <w:p>
      <w:pPr>
        <w:spacing w:after="120"/>
        <w:jc w:val="center"/>
      </w:pPr>
      <w:r>
        <w:rPr>
          <w:rFonts w:ascii="Arial" w:cs="Arial" w:eastAsia="Arial" w:hAnsi="Arial"/>
          <w:color w:val="2E74B5"/>
          <w:sz w:val="32"/>
          <w:szCs w:val="32"/>
        </w:rPr>
        <w:t xml:space="preserve">Wettbewerbslandschaft: Schüler, Familien &amp; Schulen</w:t>
      </w:r>
    </w:p>
    <w:p>
      <w:pPr>
        <w:spacing w:after="80"/>
        <w:jc w:val="center"/>
      </w:pPr>
      <w:r>
        <w:rPr>
          <w:rFonts w:ascii="Arial" w:cs="Arial" w:eastAsia="Arial" w:hAnsi="Arial"/>
          <w:color w:val="888888"/>
          <w:sz w:val="22"/>
          <w:szCs w:val="22"/>
        </w:rPr>
        <w:t xml:space="preserve">EdTech • Consumer Learning • KI-Bildungstools</w:t>
      </w:r>
    </w:p>
    <w:p>
      <w:pPr>
        <w:spacing w:after="640"/>
        <w:jc w:val="center"/>
      </w:pPr>
      <w:r>
        <w:rPr>
          <w:rFonts w:ascii="Arial" w:cs="Arial" w:eastAsia="Arial" w:hAnsi="Arial"/>
          <w:color w:val="AAAAAA"/>
          <w:sz w:val="20"/>
          <w:szCs w:val="20"/>
        </w:rPr>
        <w:t xml:space="preserve">Stand: März 2026</w:t>
      </w:r>
    </w:p>
    <w:p>
      <w:r>
        <w:br w:type="page"/>
      </w:r>
    </w:p>
    <w:p>
      <w:pPr>
        <w:pStyle w:val="Heading1"/>
        <w:spacing w:after="160" w:before="360"/>
      </w:pPr>
      <w:r>
        <w:rPr>
          <w:rFonts w:ascii="Arial" w:cs="Arial" w:eastAsia="Arial" w:hAnsi="Arial"/>
          <w:b/>
          <w:bCs/>
          <w:color w:val="1F3864"/>
          <w:sz w:val="32"/>
          <w:szCs w:val="32"/>
        </w:rPr>
        <w:t xml:space="preserve">1. Executive Summary</w:t>
      </w:r>
    </w:p>
    <w:p>
      <w:pPr>
        <w:spacing w:after="160"/>
      </w:pPr>
      <w:r>
        <w:rPr>
          <w:rFonts w:ascii="Arial" w:cs="Arial" w:eastAsia="Arial" w:hAnsi="Arial"/>
          <w:sz w:val="22"/>
          <w:szCs w:val="22"/>
        </w:rPr>
        <w:t xml:space="preserve">Der Markt für digitale Bildungsprodukte, der Schüler, Familien und Schulen adressiert, befindet sich in einer Phase rasanten Wandels. Wenige Tech-Konzerne – allen voran Google, Microsoft und Apple – dominieren die schulische Infrastruktur weltweit und schaffen damit Abhängigkeiten, die weit über Software hinausgehen.</w:t>
      </w:r>
    </w:p>
    <w:p>
      <w:pPr>
        <w:spacing w:after="160"/>
      </w:pPr>
      <w:r>
        <w:rPr>
          <w:rFonts w:ascii="Arial" w:cs="Arial" w:eastAsia="Arial" w:hAnsi="Arial"/>
          <w:sz w:val="22"/>
          <w:szCs w:val="22"/>
        </w:rPr>
        <w:t xml:space="preserve">Gleichzeitig drängen KI-getriebene Plattformen wie ChatGPT/OpenAI und Khanmigo in den Markt, die das Lernen individualisieren und potenziell demokratisieren – aber auch neue Fragen zu Datenschutz, Qualitätskontrolle und wirtschaftlichen Interessen aufwerfen.</w:t>
      </w:r>
    </w:p>
    <w:p>
      <w:pPr>
        <w:spacing w:after="160"/>
      </w:pPr>
      <w:r>
        <w:rPr>
          <w:rFonts w:ascii="Arial" w:cs="Arial" w:eastAsia="Arial" w:hAnsi="Arial"/>
          <w:sz w:val="22"/>
          <w:szCs w:val="22"/>
        </w:rPr>
        <w:t xml:space="preserve">Für neue Marktteilnehmer bestehen Chancen in den Bereichen: Datenschutz-konforme KI-Tutoring-Lösungen, europäische Alternativen zu US-Plattformen, Eltern-Lehrer-Kommunikation sowie gamifiziertes Lernen für Grundschulkinder.</w:t>
      </w:r>
    </w:p>
    <w:p>
      <w:pPr>
        <w:spacing w:after="120"/>
      </w:pPr>
      <w:r>
        <w:t xml:space="preserve"/>
      </w:r>
    </w:p>
    <w:p>
      <w:pPr>
        <w:pStyle w:val="Heading1"/>
        <w:spacing w:after="160" w:before="360"/>
      </w:pPr>
      <w:r>
        <w:rPr>
          <w:rFonts w:ascii="Arial" w:cs="Arial" w:eastAsia="Arial" w:hAnsi="Arial"/>
          <w:b/>
          <w:bCs/>
          <w:color w:val="1F3864"/>
          <w:sz w:val="32"/>
          <w:szCs w:val="32"/>
        </w:rPr>
        <w:t xml:space="preserve">2. Marktübersicht &amp; Kenngrössen</w:t>
      </w:r>
    </w:p>
    <w:p>
      <w:pPr>
        <w:spacing w:after="160"/>
      </w:pPr>
      <w:r>
        <w:rPr>
          <w:rFonts w:ascii="Arial" w:cs="Arial" w:eastAsia="Arial" w:hAnsi="Arial"/>
          <w:sz w:val="22"/>
          <w:szCs w:val="22"/>
        </w:rPr>
        <w:t xml:space="preserve">Der globale EdTech-Markt hat sich seit 2020 (COVID-Beschleuniger) strukturell verändert. Was früher ein Nischenmarkt war, ist heute ein strategisches Feld für die grössten Technologiekonzerne der Welt. Die folgende Tabelle zeigt Schlüsselkennzahlen nach Segment: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Segment</w:t>
            </w:r>
          </w:p>
        </w:tc>
        <w:tc>
          <w:tcPr>
            <w:tcW w:type="dxa" w:w="312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Marktvolumen (2024)</w:t>
            </w:r>
          </w:p>
        </w:tc>
        <w:tc>
          <w:tcPr>
            <w:tcW w:type="dxa" w:w="312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Wachstumsrate (CAGR)</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Global EdTech</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 220 Mrd. USD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~13 % p.a.</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KI in Bildung</w:t>
            </w:r>
          </w:p>
        </w:tc>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 5 Mrd. USD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~35 % p.a.</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K-12 Software (Schule)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 18 Mrd. USD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~15 % p.a.</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Lern-Apps Consumer</w:t>
            </w:r>
          </w:p>
        </w:tc>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 12 Mrd. USD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~18 % p.a.</w:t>
            </w:r>
          </w:p>
        </w:tc>
      </w:tr>
    </w:tbl>
    <w:p>
      <w:pPr>
        <w:spacing w:after="120"/>
      </w:pPr>
      <w:r>
        <w:t xml:space="preserve"/>
      </w:r>
    </w:p>
    <w:p>
      <w:pPr>
        <w:spacing w:after="160"/>
      </w:pPr>
      <w:r>
        <w:rPr>
          <w:rFonts w:ascii="Arial" w:cs="Arial" w:eastAsia="Arial" w:hAnsi="Arial"/>
          <w:sz w:val="22"/>
          <w:szCs w:val="22"/>
        </w:rPr>
        <w:t xml:space="preserve">Wichtig für die Einordnung: Diese Zahlen spiegeln vor allem den angelsächsischen und asiatischen Markt wider. In Europa – insbesondere in der DACH-Region – hinkt die Digitalisierung von Schulen noch hinterher, was paradoxerweise eine grosse Chance für lokale Anbieter darstellt.</w:t>
      </w:r>
    </w:p>
    <w:p>
      <w:r>
        <w:br w:type="page"/>
      </w:r>
    </w:p>
    <w:p>
      <w:pPr>
        <w:pStyle w:val="Heading1"/>
        <w:spacing w:after="160" w:before="360"/>
      </w:pPr>
      <w:r>
        <w:rPr>
          <w:rFonts w:ascii="Arial" w:cs="Arial" w:eastAsia="Arial" w:hAnsi="Arial"/>
          <w:b/>
          <w:bCs/>
          <w:color w:val="1F3864"/>
          <w:sz w:val="32"/>
          <w:szCs w:val="32"/>
        </w:rPr>
        <w:t xml:space="preserve">3. Wettbewerberanalyse</w:t>
      </w:r>
    </w:p>
    <w:p>
      <w:pPr>
        <w:spacing w:after="160"/>
      </w:pPr>
      <w:r>
        <w:rPr>
          <w:rFonts w:ascii="Arial" w:cs="Arial" w:eastAsia="Arial" w:hAnsi="Arial"/>
          <w:sz w:val="22"/>
          <w:szCs w:val="22"/>
        </w:rPr>
        <w:t xml:space="preserve">Im Folgenden werden die relevantesten Wettbewerber im Markt für Schüler, Familien und Schulen systematisch erfasst, bewertet und kritisch eingeordnet.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600"/>
        <w:gridCol w:w="1600"/>
        <w:gridCol w:w="1560"/>
        <w:gridCol w:w="130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Unternehmen</w:t>
            </w:r>
          </w:p>
        </w:tc>
        <w:tc>
          <w:tcPr>
            <w:tcW w:type="dxa" w:w="17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Kategorie</w:t>
            </w:r>
          </w:p>
        </w:tc>
        <w:tc>
          <w:tcPr>
            <w:tcW w:type="dxa" w:w="16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Zielgruppe</w:t>
            </w:r>
          </w:p>
        </w:tc>
        <w:tc>
          <w:tcPr>
            <w:tcW w:type="dxa" w:w="16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Preismodell</w:t>
            </w:r>
          </w:p>
        </w:tc>
        <w:tc>
          <w:tcPr>
            <w:tcW w:type="dxa" w:w="156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Macht-hebel</w:t>
            </w:r>
          </w:p>
        </w:tc>
        <w:tc>
          <w:tcPr>
            <w:tcW w:type="dxa" w:w="1300"/>
            <w:tcBorders>
              <w:top w:val="single" w:color="AAAAAA" w:sz="4"/>
              <w:left w:val="single" w:color="AAAAAA" w:sz="4"/>
              <w:bottom w:val="single" w:color="AAAAAA" w:sz="4"/>
              <w:right w:val="single" w:color="AAAAAA"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Stärke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Google (Classroom / Gemini)</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EdTech + KI</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Schulen, Familien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Kostenlos (Freemium)</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Marktmacht, Datenhoheit</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Microsoft (Teams Edu / Copilot)</w:t>
            </w:r>
          </w:p>
        </w:tc>
        <w:tc>
          <w:tcPr>
            <w:tcW w:type="dxa" w:w="1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EdTech + KI</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Schulen, Unternehmen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Freemium / Lizenz</w:t>
            </w:r>
          </w:p>
        </w:tc>
        <w:tc>
          <w:tcPr>
            <w:tcW w:type="dxa" w:w="1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Cloud-Lock-in, Schnittstellen</w:t>
            </w:r>
          </w:p>
        </w:tc>
        <w:tc>
          <w:tcPr>
            <w:tcW w:type="dxa" w:w="13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Apple (Education / iPad)</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Hardware + Software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Schulen, Familien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Premium</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Ökosystem-Bindung</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Khan Academy / Khanmigo</w:t>
            </w:r>
          </w:p>
        </w:tc>
        <w:tc>
          <w:tcPr>
            <w:tcW w:type="dxa" w:w="1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KI-Tutor</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Schüler, Familien</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Kostenlos / Donation</w:t>
            </w:r>
          </w:p>
        </w:tc>
        <w:tc>
          <w:tcPr>
            <w:tcW w:type="dxa" w:w="1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Bildungsauftrag, NGO-Modell</w:t>
            </w:r>
          </w:p>
        </w:tc>
        <w:tc>
          <w:tcPr>
            <w:tcW w:type="dxa" w:w="13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Duolingo</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Sprachlern-App</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Alle Altersgruppen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Freemium / Abo</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Gamification, Engagement</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Quizlet</w:t>
            </w:r>
          </w:p>
        </w:tc>
        <w:tc>
          <w:tcPr>
            <w:tcW w:type="dxa" w:w="1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Lernkarten + KI</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Schüler, Studierende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Freemium / Abo</w:t>
            </w:r>
          </w:p>
        </w:tc>
        <w:tc>
          <w:tcPr>
            <w:tcW w:type="dxa" w:w="1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Nutzer-generat. Inhalte</w:t>
            </w:r>
          </w:p>
        </w:tc>
        <w:tc>
          <w:tcPr>
            <w:tcW w:type="dxa" w:w="13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ClassDojo</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Klassenzimmer-Komm.</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Lehrer, Eltern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Kostenlos (Werbung)</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Eltern-Lehrer-Bindung</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Pearson / Cornelsen</w:t>
            </w:r>
          </w:p>
        </w:tc>
        <w:tc>
          <w:tcPr>
            <w:tcW w:type="dxa" w:w="1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Schulbücher digital</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Schulen, Verlage</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Lizenz / B2B</w:t>
            </w:r>
          </w:p>
        </w:tc>
        <w:tc>
          <w:tcPr>
            <w:tcW w:type="dxa" w:w="1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Lehrplan-Gatekeeping</w:t>
            </w:r>
          </w:p>
        </w:tc>
        <w:tc>
          <w:tcPr>
            <w:tcW w:type="dxa" w:w="13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ChatGPT (OpenAI)</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KI-Assistent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Alle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Freemium / Plus</w:t>
            </w:r>
          </w:p>
        </w:tc>
        <w:tc>
          <w:tcPr>
            <w:tcW w:type="dxa" w:w="1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KI-Infrastruktur, API</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bCs/>
                <w:color w:val="222222"/>
                <w:sz w:val="20"/>
                <w:szCs w:val="20"/>
              </w:rPr>
              <w:t xml:space="preserve">Canva for Education</w:t>
            </w:r>
          </w:p>
        </w:tc>
        <w:tc>
          <w:tcPr>
            <w:tcW w:type="dxa" w:w="17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Design-Tool</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Schüler, Lehrer</w:t>
            </w:r>
          </w:p>
        </w:tc>
        <w:tc>
          <w:tcPr>
            <w:tcW w:type="dxa" w:w="16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Kostenlos für Schulen</w:t>
            </w:r>
          </w:p>
        </w:tc>
        <w:tc>
          <w:tcPr>
            <w:tcW w:type="dxa" w:w="1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Kreativwirtschaft</w:t>
            </w:r>
          </w:p>
        </w:tc>
        <w:tc>
          <w:tcPr>
            <w:tcW w:type="dxa" w:w="13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t>
            </w:r>
          </w:p>
        </w:tc>
      </w:tr>
    </w:tbl>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3.1  Google – der unsichtbare Hausmeister</w:t>
      </w:r>
    </w:p>
    <w:p>
      <w:pPr>
        <w:spacing w:after="160"/>
      </w:pPr>
      <w:r>
        <w:rPr>
          <w:rFonts w:ascii="Arial" w:cs="Arial" w:eastAsia="Arial" w:hAnsi="Arial"/>
          <w:sz w:val="22"/>
          <w:szCs w:val="22"/>
        </w:rPr>
        <w:t xml:space="preserve">Google Workspace for Education ist in Millionen von Schulen weltweit installiert – oft kostenlos. Das Geschäftsmodell ist klar: Google investiert in eine Generation, die später als Erwachsene Google-Dienste nutzt und Daten generiert. Mit Gemini integriert Google jetzt KI direkt in Classroom und Docs.</w:t>
      </w:r>
    </w:p>
    <w:p>
      <w:pPr>
        <w:pStyle w:val="Heading3"/>
        <w:spacing w:after="80" w:before="200"/>
      </w:pPr>
      <w:r>
        <w:rPr>
          <w:rFonts w:ascii="Arial" w:cs="Arial" w:eastAsia="Arial" w:hAnsi="Arial"/>
          <w:b/>
          <w:bCs/>
          <w:color w:val="1F3864"/>
          <w:sz w:val="22"/>
          <w:szCs w:val="22"/>
        </w:rPr>
        <w:t xml:space="preserve">Stärken</w:t>
      </w:r>
    </w:p>
    <w:p>
      <w:pPr>
        <w:pStyle w:val="ListParagraph"/>
        <w:numPr>
          <w:ilvl w:val="0"/>
          <w:numId w:val="2"/>
        </w:numPr>
        <w:spacing w:after="80"/>
      </w:pPr>
      <w:r>
        <w:rPr>
          <w:rFonts w:ascii="Arial" w:cs="Arial" w:eastAsia="Arial" w:hAnsi="Arial"/>
          <w:b w:val="false"/>
          <w:bCs w:val="false"/>
          <w:sz w:val="22"/>
          <w:szCs w:val="22"/>
        </w:rPr>
        <w:t xml:space="preserve">Nahezu ubiquitäre Verbreitung in Schulen</w:t>
      </w:r>
    </w:p>
    <w:p>
      <w:pPr>
        <w:pStyle w:val="ListParagraph"/>
        <w:numPr>
          <w:ilvl w:val="0"/>
          <w:numId w:val="2"/>
        </w:numPr>
        <w:spacing w:after="80"/>
      </w:pPr>
      <w:r>
        <w:rPr>
          <w:rFonts w:ascii="Arial" w:cs="Arial" w:eastAsia="Arial" w:hAnsi="Arial"/>
          <w:b w:val="false"/>
          <w:bCs w:val="false"/>
          <w:sz w:val="22"/>
          <w:szCs w:val="22"/>
        </w:rPr>
        <w:t xml:space="preserve">Tiefer Integration in bestehende Arbeitsabläufe (Gmail, Drive, Meet)</w:t>
      </w:r>
    </w:p>
    <w:p>
      <w:pPr>
        <w:pStyle w:val="ListParagraph"/>
        <w:numPr>
          <w:ilvl w:val="0"/>
          <w:numId w:val="2"/>
        </w:numPr>
        <w:spacing w:after="80"/>
      </w:pPr>
      <w:r>
        <w:rPr>
          <w:rFonts w:ascii="Arial" w:cs="Arial" w:eastAsia="Arial" w:hAnsi="Arial"/>
          <w:b w:val="false"/>
          <w:bCs w:val="false"/>
          <w:sz w:val="22"/>
          <w:szCs w:val="22"/>
        </w:rPr>
        <w:t xml:space="preserve">Kostenlos für Schulen (Basisversion)</w:t>
      </w:r>
    </w:p>
    <w:p>
      <w:pPr>
        <w:pStyle w:val="Heading3"/>
        <w:spacing w:after="80" w:before="200"/>
      </w:pPr>
      <w:r>
        <w:rPr>
          <w:rFonts w:ascii="Arial" w:cs="Arial" w:eastAsia="Arial" w:hAnsi="Arial"/>
          <w:b/>
          <w:bCs/>
          <w:color w:val="1F3864"/>
          <w:sz w:val="22"/>
          <w:szCs w:val="22"/>
        </w:rPr>
        <w:t xml:space="preserve">Schwächen &amp; Kritische Einordnung</w:t>
      </w:r>
    </w:p>
    <w:p>
      <w:pPr>
        <w:pStyle w:val="ListParagraph"/>
        <w:numPr>
          <w:ilvl w:val="0"/>
          <w:numId w:val="2"/>
        </w:numPr>
        <w:spacing w:after="80"/>
      </w:pPr>
      <w:r>
        <w:rPr>
          <w:rFonts w:ascii="Arial" w:cs="Arial" w:eastAsia="Arial" w:hAnsi="Arial"/>
          <w:b w:val="false"/>
          <w:bCs w:val="false"/>
          <w:sz w:val="22"/>
          <w:szCs w:val="22"/>
        </w:rPr>
        <w:t xml:space="preserve">Datenschutz: DSGVO-Konformität wird in Europa regelmässig hinterfragt</w:t>
      </w:r>
    </w:p>
    <w:p>
      <w:pPr>
        <w:pStyle w:val="ListParagraph"/>
        <w:numPr>
          <w:ilvl w:val="0"/>
          <w:numId w:val="2"/>
        </w:numPr>
        <w:spacing w:after="80"/>
      </w:pPr>
      <w:r>
        <w:rPr>
          <w:rFonts w:ascii="Arial" w:cs="Arial" w:eastAsia="Arial" w:hAnsi="Arial"/>
          <w:b w:val="false"/>
          <w:bCs w:val="false"/>
          <w:sz w:val="22"/>
          <w:szCs w:val="22"/>
        </w:rPr>
        <w:t xml:space="preserve">Lock-in-Effekt: Wer einmal in Google-Infrastruktur ist, kommt schwer heraus</w:t>
      </w:r>
    </w:p>
    <w:p>
      <w:pPr>
        <w:pStyle w:val="ListParagraph"/>
        <w:numPr>
          <w:ilvl w:val="0"/>
          <w:numId w:val="2"/>
        </w:numPr>
        <w:spacing w:after="80"/>
      </w:pPr>
      <w:r>
        <w:rPr>
          <w:rFonts w:ascii="Arial" w:cs="Arial" w:eastAsia="Arial" w:hAnsi="Arial"/>
          <w:b w:val="false"/>
          <w:bCs w:val="false"/>
          <w:sz w:val="22"/>
          <w:szCs w:val="22"/>
        </w:rPr>
        <w:t xml:space="preserve">Interessen: Googles Hauptgeschäft bleibt Werbung und Datenverarbeitung – nicht Bildung</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3.2  Microsoft – der Anzug im Klassenzimmer</w:t>
      </w:r>
    </w:p>
    <w:p>
      <w:pPr>
        <w:spacing w:after="160"/>
      </w:pPr>
      <w:r>
        <w:rPr>
          <w:rFonts w:ascii="Arial" w:cs="Arial" w:eastAsia="Arial" w:hAnsi="Arial"/>
          <w:sz w:val="22"/>
          <w:szCs w:val="22"/>
        </w:rPr>
        <w:t xml:space="preserve">Microsoft Teams for Education und Office 365 A1 (kostenlos für Schulen) haben Google in vielen europäischen Schulen als Standard verdrängt. Microsoft positioniert sich als 'enterprise-grade' Bildungspartner. Copilot wird schrittweise in alle Produkte integriert.</w:t>
      </w:r>
    </w:p>
    <w:p>
      <w:pPr>
        <w:pStyle w:val="Heading3"/>
        <w:spacing w:after="80" w:before="200"/>
      </w:pPr>
      <w:r>
        <w:rPr>
          <w:rFonts w:ascii="Arial" w:cs="Arial" w:eastAsia="Arial" w:hAnsi="Arial"/>
          <w:b/>
          <w:bCs/>
          <w:color w:val="1F3864"/>
          <w:sz w:val="22"/>
          <w:szCs w:val="22"/>
        </w:rPr>
        <w:t xml:space="preserve">Stärken</w:t>
      </w:r>
    </w:p>
    <w:p>
      <w:pPr>
        <w:pStyle w:val="ListParagraph"/>
        <w:numPr>
          <w:ilvl w:val="0"/>
          <w:numId w:val="2"/>
        </w:numPr>
        <w:spacing w:after="80"/>
      </w:pPr>
      <w:r>
        <w:rPr>
          <w:rFonts w:ascii="Arial" w:cs="Arial" w:eastAsia="Arial" w:hAnsi="Arial"/>
          <w:b w:val="false"/>
          <w:bCs w:val="false"/>
          <w:sz w:val="22"/>
          <w:szCs w:val="22"/>
        </w:rPr>
        <w:t xml:space="preserve">Starke Position bei IT-Abteilungen von Schulbehörden</w:t>
      </w:r>
    </w:p>
    <w:p>
      <w:pPr>
        <w:pStyle w:val="ListParagraph"/>
        <w:numPr>
          <w:ilvl w:val="0"/>
          <w:numId w:val="2"/>
        </w:numPr>
        <w:spacing w:after="80"/>
      </w:pPr>
      <w:r>
        <w:rPr>
          <w:rFonts w:ascii="Arial" w:cs="Arial" w:eastAsia="Arial" w:hAnsi="Arial"/>
          <w:b w:val="false"/>
          <w:bCs w:val="false"/>
          <w:sz w:val="22"/>
          <w:szCs w:val="22"/>
        </w:rPr>
        <w:t xml:space="preserve">Bekannte Office-Oberfläche senkt Hemmschwelle für Lehrer</w:t>
      </w:r>
    </w:p>
    <w:p>
      <w:pPr>
        <w:pStyle w:val="ListParagraph"/>
        <w:numPr>
          <w:ilvl w:val="0"/>
          <w:numId w:val="2"/>
        </w:numPr>
        <w:spacing w:after="80"/>
      </w:pPr>
      <w:r>
        <w:rPr>
          <w:rFonts w:ascii="Arial" w:cs="Arial" w:eastAsia="Arial" w:hAnsi="Arial"/>
          <w:b w:val="false"/>
          <w:bCs w:val="false"/>
          <w:sz w:val="22"/>
          <w:szCs w:val="22"/>
        </w:rPr>
        <w:t xml:space="preserve">Copilot bietet leistungsstarke KI-Unterstützung direkt in Word/Teams</w:t>
      </w:r>
    </w:p>
    <w:p>
      <w:pPr>
        <w:pStyle w:val="Heading3"/>
        <w:spacing w:after="80" w:before="200"/>
      </w:pPr>
      <w:r>
        <w:rPr>
          <w:rFonts w:ascii="Arial" w:cs="Arial" w:eastAsia="Arial" w:hAnsi="Arial"/>
          <w:b/>
          <w:bCs/>
          <w:color w:val="1F3864"/>
          <w:sz w:val="22"/>
          <w:szCs w:val="22"/>
        </w:rPr>
        <w:t xml:space="preserve">Schwächen &amp; Kritische Einordnung</w:t>
      </w:r>
    </w:p>
    <w:p>
      <w:pPr>
        <w:pStyle w:val="ListParagraph"/>
        <w:numPr>
          <w:ilvl w:val="0"/>
          <w:numId w:val="2"/>
        </w:numPr>
        <w:spacing w:after="80"/>
      </w:pPr>
      <w:r>
        <w:rPr>
          <w:rFonts w:ascii="Arial" w:cs="Arial" w:eastAsia="Arial" w:hAnsi="Arial"/>
          <w:b w:val="false"/>
          <w:bCs w:val="false"/>
          <w:sz w:val="22"/>
          <w:szCs w:val="22"/>
        </w:rPr>
        <w:t xml:space="preserve">Abhängigkeit von Microsoft-Lizenzen schafft Budgetrisiken für Schulen</w:t>
      </w:r>
    </w:p>
    <w:p>
      <w:pPr>
        <w:pStyle w:val="ListParagraph"/>
        <w:numPr>
          <w:ilvl w:val="0"/>
          <w:numId w:val="2"/>
        </w:numPr>
        <w:spacing w:after="80"/>
      </w:pPr>
      <w:r>
        <w:rPr>
          <w:rFonts w:ascii="Arial" w:cs="Arial" w:eastAsia="Arial" w:hAnsi="Arial"/>
          <w:b w:val="false"/>
          <w:bCs w:val="false"/>
          <w:sz w:val="22"/>
          <w:szCs w:val="22"/>
        </w:rPr>
        <w:t xml:space="preserve">Komplexität: Das System ist für viele Lehrer schwer zu administrieren</w:t>
      </w:r>
    </w:p>
    <w:p>
      <w:pPr>
        <w:pStyle w:val="ListParagraph"/>
        <w:numPr>
          <w:ilvl w:val="0"/>
          <w:numId w:val="2"/>
        </w:numPr>
        <w:spacing w:after="80"/>
      </w:pPr>
      <w:r>
        <w:rPr>
          <w:rFonts w:ascii="Arial" w:cs="Arial" w:eastAsia="Arial" w:hAnsi="Arial"/>
          <w:b w:val="false"/>
          <w:bCs w:val="false"/>
          <w:sz w:val="22"/>
          <w:szCs w:val="22"/>
        </w:rPr>
        <w:t xml:space="preserve">Interessen: Microsoft verdient langfristig durch Cloud-Abos (Azure) und Lizenzen</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3.3  Khan Academy / Khanmigo – der ehrliche Wettbewerber?</w:t>
      </w:r>
    </w:p>
    <w:p>
      <w:pPr>
        <w:spacing w:after="160"/>
      </w:pPr>
      <w:r>
        <w:rPr>
          <w:rFonts w:ascii="Arial" w:cs="Arial" w:eastAsia="Arial" w:hAnsi="Arial"/>
          <w:sz w:val="22"/>
          <w:szCs w:val="22"/>
        </w:rPr>
        <w:t xml:space="preserve">Khan Academy ist gemeinnützig und hat mit Khanmigo (GPT-4-basierter KI-Tutor) einen bemerkenswerten Schritt gemacht: KI, die Schülern nicht einfach Antworten gibt, sondern durch sokratische Fragen zum Denken anregt. Das Modell ist transparent und darauf ausgelegt, echten Lernfortschritt zu erzielen.</w:t>
      </w:r>
    </w:p>
    <w:p>
      <w:pPr>
        <w:pStyle w:val="Heading3"/>
        <w:spacing w:after="80" w:before="200"/>
      </w:pPr>
      <w:r>
        <w:rPr>
          <w:rFonts w:ascii="Arial" w:cs="Arial" w:eastAsia="Arial" w:hAnsi="Arial"/>
          <w:b/>
          <w:bCs/>
          <w:color w:val="1F3864"/>
          <w:sz w:val="22"/>
          <w:szCs w:val="22"/>
        </w:rPr>
        <w:t xml:space="preserve">Stärken</w:t>
      </w:r>
    </w:p>
    <w:p>
      <w:pPr>
        <w:pStyle w:val="ListParagraph"/>
        <w:numPr>
          <w:ilvl w:val="0"/>
          <w:numId w:val="2"/>
        </w:numPr>
        <w:spacing w:after="80"/>
      </w:pPr>
      <w:r>
        <w:rPr>
          <w:rFonts w:ascii="Arial" w:cs="Arial" w:eastAsia="Arial" w:hAnsi="Arial"/>
          <w:b w:val="false"/>
          <w:bCs w:val="false"/>
          <w:sz w:val="22"/>
          <w:szCs w:val="22"/>
        </w:rPr>
        <w:t xml:space="preserve">Kein Gewinnmotiv – Fokus liegt auf Bildungsqualität</w:t>
      </w:r>
    </w:p>
    <w:p>
      <w:pPr>
        <w:pStyle w:val="ListParagraph"/>
        <w:numPr>
          <w:ilvl w:val="0"/>
          <w:numId w:val="2"/>
        </w:numPr>
        <w:spacing w:after="80"/>
      </w:pPr>
      <w:r>
        <w:rPr>
          <w:rFonts w:ascii="Arial" w:cs="Arial" w:eastAsia="Arial" w:hAnsi="Arial"/>
          <w:b w:val="false"/>
          <w:bCs w:val="false"/>
          <w:sz w:val="22"/>
          <w:szCs w:val="22"/>
        </w:rPr>
        <w:t xml:space="preserve">Bewährte Methodik (Mastery Learning, strukturierter Lehrplan)</w:t>
      </w:r>
    </w:p>
    <w:p>
      <w:pPr>
        <w:pStyle w:val="ListParagraph"/>
        <w:numPr>
          <w:ilvl w:val="0"/>
          <w:numId w:val="2"/>
        </w:numPr>
        <w:spacing w:after="80"/>
      </w:pPr>
      <w:r>
        <w:rPr>
          <w:rFonts w:ascii="Arial" w:cs="Arial" w:eastAsia="Arial" w:hAnsi="Arial"/>
          <w:b w:val="false"/>
          <w:bCs w:val="false"/>
          <w:sz w:val="22"/>
          <w:szCs w:val="22"/>
        </w:rPr>
        <w:t xml:space="preserve">Khanmigo vermeidet 'Antworten-Dumping' und fördert kritisches Denken</w:t>
      </w:r>
    </w:p>
    <w:p>
      <w:pPr>
        <w:pStyle w:val="Heading3"/>
        <w:spacing w:after="80" w:before="200"/>
      </w:pPr>
      <w:r>
        <w:rPr>
          <w:rFonts w:ascii="Arial" w:cs="Arial" w:eastAsia="Arial" w:hAnsi="Arial"/>
          <w:b/>
          <w:bCs/>
          <w:color w:val="1F3864"/>
          <w:sz w:val="22"/>
          <w:szCs w:val="22"/>
        </w:rPr>
        <w:t xml:space="preserve">Schwächen &amp; Kritische Einordnung</w:t>
      </w:r>
    </w:p>
    <w:p>
      <w:pPr>
        <w:pStyle w:val="ListParagraph"/>
        <w:numPr>
          <w:ilvl w:val="0"/>
          <w:numId w:val="2"/>
        </w:numPr>
        <w:spacing w:after="80"/>
      </w:pPr>
      <w:r>
        <w:rPr>
          <w:rFonts w:ascii="Arial" w:cs="Arial" w:eastAsia="Arial" w:hAnsi="Arial"/>
          <w:b w:val="false"/>
          <w:bCs w:val="false"/>
          <w:sz w:val="22"/>
          <w:szCs w:val="22"/>
        </w:rPr>
        <w:t xml:space="preserve">Finanzierung durch Spenden und Grants ist strukturell fragil</w:t>
      </w:r>
    </w:p>
    <w:p>
      <w:pPr>
        <w:pStyle w:val="ListParagraph"/>
        <w:numPr>
          <w:ilvl w:val="0"/>
          <w:numId w:val="2"/>
        </w:numPr>
        <w:spacing w:after="80"/>
      </w:pPr>
      <w:r>
        <w:rPr>
          <w:rFonts w:ascii="Arial" w:cs="Arial" w:eastAsia="Arial" w:hAnsi="Arial"/>
          <w:b w:val="false"/>
          <w:bCs w:val="false"/>
          <w:sz w:val="22"/>
          <w:szCs w:val="22"/>
        </w:rPr>
        <w:t xml:space="preserve">Primär englischsprachig – begrenzte Reichweite im deutschsprachigen Raum</w:t>
      </w:r>
    </w:p>
    <w:p>
      <w:pPr>
        <w:pStyle w:val="ListParagraph"/>
        <w:numPr>
          <w:ilvl w:val="0"/>
          <w:numId w:val="2"/>
        </w:numPr>
        <w:spacing w:after="80"/>
      </w:pPr>
      <w:r>
        <w:rPr>
          <w:rFonts w:ascii="Arial" w:cs="Arial" w:eastAsia="Arial" w:hAnsi="Arial"/>
          <w:b w:val="false"/>
          <w:bCs w:val="false"/>
          <w:sz w:val="22"/>
          <w:szCs w:val="22"/>
        </w:rPr>
        <w:t xml:space="preserve">Weniger bekannt bei Eltern im Vergleich zu grossen Plattformen</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3.4  ChatGPT (OpenAI) – Disruptor mit offenen Fragen</w:t>
      </w:r>
    </w:p>
    <w:p>
      <w:pPr>
        <w:spacing w:after="160"/>
      </w:pPr>
      <w:r>
        <w:rPr>
          <w:rFonts w:ascii="Arial" w:cs="Arial" w:eastAsia="Arial" w:hAnsi="Arial"/>
          <w:sz w:val="22"/>
          <w:szCs w:val="22"/>
        </w:rPr>
        <w:t xml:space="preserve">ChatGPT hat die Bildungswelt in einer Weise erschüttert, die selbst die Anbieter überraschte. Schulen reagierten zunächst mit Verboten, bevor viele einen pragmatischeren Umgang fanden. OpenAI hat mit 'ChatGPT Edu' ein spezielles Angebot für Universitäten lanciert.</w:t>
      </w:r>
    </w:p>
    <w:p>
      <w:pPr>
        <w:pStyle w:val="Heading3"/>
        <w:spacing w:after="80" w:before="200"/>
      </w:pPr>
      <w:r>
        <w:rPr>
          <w:rFonts w:ascii="Arial" w:cs="Arial" w:eastAsia="Arial" w:hAnsi="Arial"/>
          <w:b/>
          <w:bCs/>
          <w:color w:val="1F3864"/>
          <w:sz w:val="22"/>
          <w:szCs w:val="22"/>
        </w:rPr>
        <w:t xml:space="preserve">Stärken</w:t>
      </w:r>
    </w:p>
    <w:p>
      <w:pPr>
        <w:pStyle w:val="ListParagraph"/>
        <w:numPr>
          <w:ilvl w:val="0"/>
          <w:numId w:val="2"/>
        </w:numPr>
        <w:spacing w:after="80"/>
      </w:pPr>
      <w:r>
        <w:rPr>
          <w:rFonts w:ascii="Arial" w:cs="Arial" w:eastAsia="Arial" w:hAnsi="Arial"/>
          <w:b w:val="false"/>
          <w:bCs w:val="false"/>
          <w:sz w:val="22"/>
          <w:szCs w:val="22"/>
        </w:rPr>
        <w:t xml:space="preserve">Universell einsetzbar – von Aufsatzhilfe bis Mathe-Erklärung</w:t>
      </w:r>
    </w:p>
    <w:p>
      <w:pPr>
        <w:pStyle w:val="ListParagraph"/>
        <w:numPr>
          <w:ilvl w:val="0"/>
          <w:numId w:val="2"/>
        </w:numPr>
        <w:spacing w:after="80"/>
      </w:pPr>
      <w:r>
        <w:rPr>
          <w:rFonts w:ascii="Arial" w:cs="Arial" w:eastAsia="Arial" w:hAnsi="Arial"/>
          <w:b w:val="false"/>
          <w:bCs w:val="false"/>
          <w:sz w:val="22"/>
          <w:szCs w:val="22"/>
        </w:rPr>
        <w:t xml:space="preserve">Schnellste Adoption unter Schülern und Studierenden weltweit</w:t>
      </w:r>
    </w:p>
    <w:p>
      <w:pPr>
        <w:pStyle w:val="ListParagraph"/>
        <w:numPr>
          <w:ilvl w:val="0"/>
          <w:numId w:val="2"/>
        </w:numPr>
        <w:spacing w:after="80"/>
      </w:pPr>
      <w:r>
        <w:rPr>
          <w:rFonts w:ascii="Arial" w:cs="Arial" w:eastAsia="Arial" w:hAnsi="Arial"/>
          <w:b w:val="false"/>
          <w:bCs w:val="false"/>
          <w:sz w:val="22"/>
          <w:szCs w:val="22"/>
        </w:rPr>
        <w:t xml:space="preserve">API-Infrastruktur ermöglicht vielen EdTech-Startups den Aufbau darauf</w:t>
      </w:r>
    </w:p>
    <w:p>
      <w:pPr>
        <w:pStyle w:val="Heading3"/>
        <w:spacing w:after="80" w:before="200"/>
      </w:pPr>
      <w:r>
        <w:rPr>
          <w:rFonts w:ascii="Arial" w:cs="Arial" w:eastAsia="Arial" w:hAnsi="Arial"/>
          <w:b/>
          <w:bCs/>
          <w:color w:val="1F3864"/>
          <w:sz w:val="22"/>
          <w:szCs w:val="22"/>
        </w:rPr>
        <w:t xml:space="preserve">Schwächen &amp; Kritische Einordnung</w:t>
      </w:r>
    </w:p>
    <w:p>
      <w:pPr>
        <w:pStyle w:val="ListParagraph"/>
        <w:numPr>
          <w:ilvl w:val="0"/>
          <w:numId w:val="2"/>
        </w:numPr>
        <w:spacing w:after="80"/>
      </w:pPr>
      <w:r>
        <w:rPr>
          <w:rFonts w:ascii="Arial" w:cs="Arial" w:eastAsia="Arial" w:hAnsi="Arial"/>
          <w:b w:val="false"/>
          <w:bCs w:val="false"/>
          <w:sz w:val="22"/>
          <w:szCs w:val="22"/>
        </w:rPr>
        <w:t xml:space="preserve">Halluzinationen: Falsche Informationen wirken authentisch – gefährlich für Lernende</w:t>
      </w:r>
    </w:p>
    <w:p>
      <w:pPr>
        <w:pStyle w:val="ListParagraph"/>
        <w:numPr>
          <w:ilvl w:val="0"/>
          <w:numId w:val="2"/>
        </w:numPr>
        <w:spacing w:after="80"/>
      </w:pPr>
      <w:r>
        <w:rPr>
          <w:rFonts w:ascii="Arial" w:cs="Arial" w:eastAsia="Arial" w:hAnsi="Arial"/>
          <w:b w:val="false"/>
          <w:bCs w:val="false"/>
          <w:sz w:val="22"/>
          <w:szCs w:val="22"/>
        </w:rPr>
        <w:t xml:space="preserve">Geschäftsmodell: OpenAI strebt Profitabilität an; Bildung ist ein Einstiegsmarkt</w:t>
      </w:r>
    </w:p>
    <w:p>
      <w:pPr>
        <w:pStyle w:val="ListParagraph"/>
        <w:numPr>
          <w:ilvl w:val="0"/>
          <w:numId w:val="2"/>
        </w:numPr>
        <w:spacing w:after="80"/>
      </w:pPr>
      <w:r>
        <w:rPr>
          <w:rFonts w:ascii="Arial" w:cs="Arial" w:eastAsia="Arial" w:hAnsi="Arial"/>
          <w:b w:val="false"/>
          <w:bCs w:val="false"/>
          <w:sz w:val="22"/>
          <w:szCs w:val="22"/>
        </w:rPr>
        <w:t xml:space="preserve">Machtstruktur: Microsoft hält Milliarden-Investitionen in OpenAI – keine neutrale Plattform</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3.5  Duolingo – Gamification als Geschäftsmodell</w:t>
      </w:r>
    </w:p>
    <w:p>
      <w:pPr>
        <w:spacing w:after="160"/>
      </w:pPr>
      <w:r>
        <w:rPr>
          <w:rFonts w:ascii="Arial" w:cs="Arial" w:eastAsia="Arial" w:hAnsi="Arial"/>
          <w:sz w:val="22"/>
          <w:szCs w:val="22"/>
        </w:rPr>
        <w:t xml:space="preserve">Duolingo ist mit über 500 Millionen registrierten Nutzern die weltweit führende Sprachlern-App. Das Freemium-Modell und die starke Gamification-Mechanik haben Duolingo zur meistgenutzten Bildungs-App der Welt gemacht.</w:t>
      </w:r>
    </w:p>
    <w:p>
      <w:pPr>
        <w:pStyle w:val="Heading3"/>
        <w:spacing w:after="80" w:before="200"/>
      </w:pPr>
      <w:r>
        <w:rPr>
          <w:rFonts w:ascii="Arial" w:cs="Arial" w:eastAsia="Arial" w:hAnsi="Arial"/>
          <w:b/>
          <w:bCs/>
          <w:color w:val="1F3864"/>
          <w:sz w:val="22"/>
          <w:szCs w:val="22"/>
        </w:rPr>
        <w:t xml:space="preserve">Stärken</w:t>
      </w:r>
    </w:p>
    <w:p>
      <w:pPr>
        <w:pStyle w:val="ListParagraph"/>
        <w:numPr>
          <w:ilvl w:val="0"/>
          <w:numId w:val="2"/>
        </w:numPr>
        <w:spacing w:after="80"/>
      </w:pPr>
      <w:r>
        <w:rPr>
          <w:rFonts w:ascii="Arial" w:cs="Arial" w:eastAsia="Arial" w:hAnsi="Arial"/>
          <w:b w:val="false"/>
          <w:bCs w:val="false"/>
          <w:sz w:val="22"/>
          <w:szCs w:val="22"/>
        </w:rPr>
        <w:t xml:space="preserve">Extrem hohes Engagement durch Streaks, Punkte, soziale Elemente</w:t>
      </w:r>
    </w:p>
    <w:p>
      <w:pPr>
        <w:pStyle w:val="ListParagraph"/>
        <w:numPr>
          <w:ilvl w:val="0"/>
          <w:numId w:val="2"/>
        </w:numPr>
        <w:spacing w:after="80"/>
      </w:pPr>
      <w:r>
        <w:rPr>
          <w:rFonts w:ascii="Arial" w:cs="Arial" w:eastAsia="Arial" w:hAnsi="Arial"/>
          <w:b w:val="false"/>
          <w:bCs w:val="false"/>
          <w:sz w:val="22"/>
          <w:szCs w:val="22"/>
        </w:rPr>
        <w:t xml:space="preserve">Breite Sprachauswahl, inklusive seltener Sprachen</w:t>
      </w:r>
    </w:p>
    <w:p>
      <w:pPr>
        <w:pStyle w:val="ListParagraph"/>
        <w:numPr>
          <w:ilvl w:val="0"/>
          <w:numId w:val="2"/>
        </w:numPr>
        <w:spacing w:after="80"/>
      </w:pPr>
      <w:r>
        <w:rPr>
          <w:rFonts w:ascii="Arial" w:cs="Arial" w:eastAsia="Arial" w:hAnsi="Arial"/>
          <w:b w:val="false"/>
          <w:bCs w:val="false"/>
          <w:sz w:val="22"/>
          <w:szCs w:val="22"/>
        </w:rPr>
        <w:t xml:space="preserve">Klares Freemium-Modell – kostenlos nutzbar, Abo für Extras</w:t>
      </w:r>
    </w:p>
    <w:p>
      <w:pPr>
        <w:pStyle w:val="Heading3"/>
        <w:spacing w:after="80" w:before="200"/>
      </w:pPr>
      <w:r>
        <w:rPr>
          <w:rFonts w:ascii="Arial" w:cs="Arial" w:eastAsia="Arial" w:hAnsi="Arial"/>
          <w:b/>
          <w:bCs/>
          <w:color w:val="1F3864"/>
          <w:sz w:val="22"/>
          <w:szCs w:val="22"/>
        </w:rPr>
        <w:t xml:space="preserve">Schwächen &amp; Kritische Einordnung</w:t>
      </w:r>
    </w:p>
    <w:p>
      <w:pPr>
        <w:pStyle w:val="ListParagraph"/>
        <w:numPr>
          <w:ilvl w:val="0"/>
          <w:numId w:val="2"/>
        </w:numPr>
        <w:spacing w:after="80"/>
      </w:pPr>
      <w:r>
        <w:rPr>
          <w:rFonts w:ascii="Arial" w:cs="Arial" w:eastAsia="Arial" w:hAnsi="Arial"/>
          <w:b w:val="false"/>
          <w:bCs w:val="false"/>
          <w:sz w:val="22"/>
          <w:szCs w:val="22"/>
        </w:rPr>
        <w:t xml:space="preserve">Lerntiefe ist begrenzt – für Konversationsfähigkeit reicht die App allein nicht</w:t>
      </w:r>
    </w:p>
    <w:p>
      <w:pPr>
        <w:pStyle w:val="ListParagraph"/>
        <w:numPr>
          <w:ilvl w:val="0"/>
          <w:numId w:val="2"/>
        </w:numPr>
        <w:spacing w:after="80"/>
      </w:pPr>
      <w:r>
        <w:rPr>
          <w:rFonts w:ascii="Arial" w:cs="Arial" w:eastAsia="Arial" w:hAnsi="Arial"/>
          <w:b w:val="false"/>
          <w:bCs w:val="false"/>
          <w:sz w:val="22"/>
          <w:szCs w:val="22"/>
        </w:rPr>
        <w:t xml:space="preserve">Seit IPO 2021 wächst Druck auf Monetarisierung und KI-Integration</w:t>
      </w:r>
    </w:p>
    <w:p>
      <w:pPr>
        <w:pStyle w:val="ListParagraph"/>
        <w:numPr>
          <w:ilvl w:val="0"/>
          <w:numId w:val="2"/>
        </w:numPr>
        <w:spacing w:after="80"/>
      </w:pPr>
      <w:r>
        <w:rPr>
          <w:rFonts w:ascii="Arial" w:cs="Arial" w:eastAsia="Arial" w:hAnsi="Arial"/>
          <w:b w:val="false"/>
          <w:bCs w:val="false"/>
          <w:sz w:val="22"/>
          <w:szCs w:val="22"/>
        </w:rPr>
        <w:t xml:space="preserve">Kritik: Gamification kann Lernstress erzeugen (Streak-Angst)</w:t>
      </w:r>
    </w:p>
    <w:p>
      <w:r>
        <w:br w:type="page"/>
      </w:r>
    </w:p>
    <w:p>
      <w:pPr>
        <w:pStyle w:val="Heading1"/>
        <w:spacing w:after="160" w:before="360"/>
      </w:pPr>
      <w:r>
        <w:rPr>
          <w:rFonts w:ascii="Arial" w:cs="Arial" w:eastAsia="Arial" w:hAnsi="Arial"/>
          <w:b/>
          <w:bCs/>
          <w:color w:val="1F3864"/>
          <w:sz w:val="32"/>
          <w:szCs w:val="32"/>
        </w:rPr>
        <w:t xml:space="preserve">4. Machtstrukturen &amp; verborgene Interessen</w:t>
      </w:r>
    </w:p>
    <w:p>
      <w:pPr>
        <w:spacing w:after="160"/>
      </w:pPr>
      <w:r>
        <w:rPr>
          <w:rFonts w:ascii="Arial" w:cs="Arial" w:eastAsia="Arial" w:hAnsi="Arial"/>
          <w:sz w:val="22"/>
          <w:szCs w:val="22"/>
        </w:rPr>
        <w:t xml:space="preserve">Eine kritische Markteinschätzung muss die Frage stellen: Wem dient dieser Markt wirklich? Die oberflächliche Antwort lautet 'Schülern und Familien'. Die strukturelle Antwort ist komplizierter.</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4.1  Das Daten-Interesse der Tech-Konzerne</w:t>
      </w:r>
    </w:p>
    <w:p>
      <w:pPr>
        <w:spacing w:after="160"/>
      </w:pPr>
      <w:r>
        <w:rPr>
          <w:rFonts w:ascii="Arial" w:cs="Arial" w:eastAsia="Arial" w:hAnsi="Arial"/>
          <w:sz w:val="22"/>
          <w:szCs w:val="22"/>
        </w:rPr>
        <w:t xml:space="preserve">Google, Microsoft und Meta (Meta AI) haben ein fundamentales Interesse daran, Nutzerdaten zu sammeln – auch von Kindern. Schulen sind ideale Zugangspunkte: früh, vertrauenswürdig, langfristig. Auch wenn Schuldaten oft unter strengeren Regeln stehen (FERPA in den USA, DSGVO in Europa), bleibt die strukturelle Frage: Können Konzerne, deren Kerngeschäft Daten sind, wirklich neutrale Bildungspartner sein?</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4.2  Verlage und Lehrplankontrolle</w:t>
      </w:r>
    </w:p>
    <w:p>
      <w:pPr>
        <w:spacing w:after="160"/>
      </w:pPr>
      <w:r>
        <w:rPr>
          <w:rFonts w:ascii="Arial" w:cs="Arial" w:eastAsia="Arial" w:hAnsi="Arial"/>
          <w:sz w:val="22"/>
          <w:szCs w:val="22"/>
        </w:rPr>
        <w:t xml:space="preserve">Traditionelle Schulbuchverlage (Pearson, Cornelsen, Klett) verlieren Marktanteile an digitale Angebote – reagieren aber mit aggressiven Lizenzmodellen und politischem Lobbying. In vielen Ländern sind Schulbücher staatlich zugelassen, was einen regulierten Markt schafft, der Innovation bremst und bestehende Anbieter schützt.</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4.3  Das Eltern-Lehrer-Dilemma</w:t>
      </w:r>
    </w:p>
    <w:p>
      <w:pPr>
        <w:spacing w:after="160"/>
      </w:pPr>
      <w:r>
        <w:rPr>
          <w:rFonts w:ascii="Arial" w:cs="Arial" w:eastAsia="Arial" w:hAnsi="Arial"/>
          <w:sz w:val="22"/>
          <w:szCs w:val="22"/>
        </w:rPr>
        <w:t xml:space="preserve">Plattformen wie ClassDojo oder Seesaw positionieren sich als neutrale Kommunikationstools zwischen Eltern und Lehrern. In Wirklichkeit schaffen sie proprietäre Datensilos über Schülerverhalten, Elternengagement und Lernfortschritt – oft ohne dass die betroffenen Familien die Implikationen verstehen.</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4.4  Der KI-Bildungsmarkt als Investitionsvehikel</w:t>
      </w:r>
    </w:p>
    <w:p>
      <w:pPr>
        <w:spacing w:after="160"/>
      </w:pPr>
      <w:r>
        <w:rPr>
          <w:rFonts w:ascii="Arial" w:cs="Arial" w:eastAsia="Arial" w:hAnsi="Arial"/>
          <w:sz w:val="22"/>
          <w:szCs w:val="22"/>
        </w:rPr>
        <w:t xml:space="preserve">Venture Capital fliesst massenweise in EdTech-KI-Startups. Viele dieser Investitionen sind nicht primär von bildungspädagogischen Überlegungen geleitet, sondern von der Hoffnung auf schnelles Wachstum und Exit. Das führt zu Produkten, die für Engagement und Retention optimiert sind – nicht unbedingt für Lernoutcomes.</w:t>
      </w:r>
    </w:p>
    <w:p>
      <w:r>
        <w:br w:type="page"/>
      </w:r>
    </w:p>
    <w:p>
      <w:pPr>
        <w:pStyle w:val="Heading1"/>
        <w:spacing w:after="160" w:before="360"/>
      </w:pPr>
      <w:r>
        <w:rPr>
          <w:rFonts w:ascii="Arial" w:cs="Arial" w:eastAsia="Arial" w:hAnsi="Arial"/>
          <w:b/>
          <w:bCs/>
          <w:color w:val="1F3864"/>
          <w:sz w:val="32"/>
          <w:szCs w:val="32"/>
        </w:rPr>
        <w:t xml:space="preserve">5. Strategische Einschätzung &amp; Chancen</w:t>
      </w:r>
    </w:p>
    <w:p>
      <w:pPr>
        <w:spacing w:after="160"/>
      </w:pPr>
      <w:r>
        <w:rPr>
          <w:rFonts w:ascii="Arial" w:cs="Arial" w:eastAsia="Arial" w:hAnsi="Arial"/>
          <w:sz w:val="22"/>
          <w:szCs w:val="22"/>
        </w:rPr>
        <w:t xml:space="preserve">Trotz der beschriebenen Dominanz grosser Akteure gibt es strukturelle Chancen – besonders für Anbieter, die mit echten Werten differenzieren.</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5.1  Europäische Datenschutz-konforme Alternativen</w:t>
      </w:r>
    </w:p>
    <w:p>
      <w:pPr>
        <w:spacing w:after="160"/>
      </w:pPr>
      <w:r>
        <w:rPr>
          <w:rFonts w:ascii="Arial" w:cs="Arial" w:eastAsia="Arial" w:hAnsi="Arial"/>
          <w:sz w:val="22"/>
          <w:szCs w:val="22"/>
        </w:rPr>
        <w:t xml:space="preserve">DSGVO und der EU AI Act schaffen regulatorische Nachfrage nach europäischen Alternativen zu Google und Microsoft. Schulen in Deutschland, Österreich und der Schweiz stehen unter Druck, datenschutzkonforme Lösungen zu nutzen. Ein europäischer Anbieter mit echtem Datenschutz als Kernwert (nicht nur als Compliance-Box) hat hier einen authentischen Vorteil.</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5.2  KI-Tutoring mit pädagogischer Tiefe</w:t>
      </w:r>
    </w:p>
    <w:p>
      <w:pPr>
        <w:spacing w:after="160"/>
      </w:pPr>
      <w:r>
        <w:rPr>
          <w:rFonts w:ascii="Arial" w:cs="Arial" w:eastAsia="Arial" w:hAnsi="Arial"/>
          <w:sz w:val="22"/>
          <w:szCs w:val="22"/>
        </w:rPr>
        <w:t xml:space="preserve">Der aktuelle ChatGPT-Hype zeigt: Schüler wollen KI-Hilfe. Aber Eltern und Lehrer haben Recht, wenn sie sich fragen, ob 'Antworten-auf-Knopfdruck' das Lernen fördert oder verhindert. Ein Anbieter, der KI nach dem Khanmigo-Modell einsetzt (sokrat. Führung, kein Antwort-Dumping, Lernfortschritt-Tracking) kann hier echten Mehrwert bieten.</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5.3  Eltern-orientierte Lernbegleitung</w:t>
      </w:r>
    </w:p>
    <w:p>
      <w:pPr>
        <w:spacing w:after="160"/>
      </w:pPr>
      <w:r>
        <w:rPr>
          <w:rFonts w:ascii="Arial" w:cs="Arial" w:eastAsia="Arial" w:hAnsi="Arial"/>
          <w:sz w:val="22"/>
          <w:szCs w:val="22"/>
        </w:rPr>
        <w:t xml:space="preserve">Viele Eltern wissen nicht, wie sie ihr Kind beim Lernen sinnvoll unterstützen können. Eine Plattform, die Eltern als aktive Lernbegleiter einbindet – mit konkreten, niedrigschwelligen Hinweisen – fehlt im Markt noch weitgehend.</w:t>
      </w:r>
    </w:p>
    <w:p>
      <w:pPr>
        <w:spacing w:after="120"/>
      </w:pPr>
      <w:r>
        <w:t xml:space="preserve"/>
      </w:r>
    </w:p>
    <w:p>
      <w:pPr>
        <w:pStyle w:val="Heading2"/>
        <w:pBdr>
          <w:bottom w:val="single" w:color="2E74B5" w:sz="6" w:space="2"/>
        </w:pBdr>
        <w:spacing w:after="120" w:before="280"/>
      </w:pPr>
      <w:r>
        <w:rPr>
          <w:rFonts w:ascii="Arial" w:cs="Arial" w:eastAsia="Arial" w:hAnsi="Arial"/>
          <w:b/>
          <w:bCs/>
          <w:color w:val="2E74B5"/>
          <w:sz w:val="26"/>
          <w:szCs w:val="26"/>
        </w:rPr>
        <w:t xml:space="preserve">5.4  Nischen mit hohem Impact</w:t>
      </w:r>
    </w:p>
    <w:p>
      <w:pPr>
        <w:spacing w:after="160"/>
      </w:pPr>
      <w:r>
        <w:rPr>
          <w:rFonts w:ascii="Arial" w:cs="Arial" w:eastAsia="Arial" w:hAnsi="Arial"/>
          <w:sz w:val="22"/>
          <w:szCs w:val="22"/>
        </w:rPr>
        <w:t xml:space="preserve">Besonders unterversorgte Segmente sind: Grundschulkinder (6-10 Jahre) mit adaptivem Lernen, Förderschüler und Lernende mit Behinderungen, Lernende in ländlichen Gebieten ohne gute Schulinfrastruktur, sowie mehrsprachige Familien mit Migrationshintergrund.</w:t>
      </w:r>
    </w:p>
    <w:p>
      <w:pPr>
        <w:spacing w:after="120"/>
      </w:pPr>
      <w:r>
        <w:t xml:space="preserve"/>
      </w:r>
    </w:p>
    <w:p>
      <w:pPr>
        <w:pStyle w:val="Heading1"/>
        <w:spacing w:after="160" w:before="360"/>
      </w:pPr>
      <w:r>
        <w:rPr>
          <w:rFonts w:ascii="Arial" w:cs="Arial" w:eastAsia="Arial" w:hAnsi="Arial"/>
          <w:b/>
          <w:bCs/>
          <w:color w:val="1F3864"/>
          <w:sz w:val="32"/>
          <w:szCs w:val="32"/>
        </w:rPr>
        <w:t xml:space="preserve">6. Fazit</w:t>
      </w:r>
    </w:p>
    <w:p>
      <w:pPr>
        <w:spacing w:after="160"/>
      </w:pPr>
      <w:r>
        <w:rPr>
          <w:rFonts w:ascii="Arial" w:cs="Arial" w:eastAsia="Arial" w:hAnsi="Arial"/>
          <w:sz w:val="22"/>
          <w:szCs w:val="22"/>
        </w:rPr>
        <w:t xml:space="preserve">Der Markt für digitale Bildungsangebote für Schüler, Familien und Schulen ist einer der dynamischsten und gleichzeitig politisch sensibelsten Märkte der Gegenwart. Die Machtstrukturen sind klar: wenige US-Konzerne dominieren die Infrastruktur, während pädagogische Qualität oft dem Wachstumsimperativ untergeordnet wird.</w:t>
      </w:r>
    </w:p>
    <w:p>
      <w:pPr>
        <w:spacing w:after="160"/>
      </w:pPr>
      <w:r>
        <w:rPr>
          <w:rFonts w:ascii="Arial" w:cs="Arial" w:eastAsia="Arial" w:hAnsi="Arial"/>
          <w:sz w:val="22"/>
          <w:szCs w:val="22"/>
        </w:rPr>
        <w:t xml:space="preserve">Wettbewerbsvorteile entstehen nicht mehr primär durch technologische Überlegenheit – die KI-Grundmodelle sind weitgehend Commodity. Sie entstehen durch Vertrauen, Datenschutz, pädagogische Glaubwürdigkeit und echte Wirksamkeit im Lernprozess.</w:t>
      </w:r>
    </w:p>
    <w:p>
      <w:pPr>
        <w:spacing w:after="160"/>
      </w:pPr>
      <w:r>
        <w:rPr>
          <w:rFonts w:ascii="Arial" w:cs="Arial" w:eastAsia="Arial" w:hAnsi="Arial"/>
          <w:sz w:val="22"/>
          <w:szCs w:val="22"/>
        </w:rPr>
        <w:t xml:space="preserve">Für neue Marktteilnehmer gilt: Der Markt ist gross, aber die Kundschaft (Eltern, Schüler, Lehrer, Schulbehörden) ist kritischer geworden. Wer nachhaltig wachsen will, muss zeigen, dass das Produkt tatsächlich lernen hilft – und nicht nur wie ein gutes Lernprodukt aussieht.</w:t>
      </w:r>
    </w:p>
    <w:p>
      <w:pPr>
        <w:spacing w:after="120"/>
      </w:pPr>
      <w:r>
        <w:t xml:space="preserve"/>
      </w:r>
    </w:p>
    <w:p>
      <w:pPr>
        <w:pBdr>
          <w:top w:val="single" w:color="2E74B5" w:sz="6" w:space="2"/>
        </w:pBdr>
        <w:spacing w:after="80" w:before="320"/>
      </w:pPr>
      <w:r>
        <w:rPr>
          <w:rFonts w:ascii="Arial" w:cs="Arial" w:eastAsia="Arial" w:hAnsi="Arial"/>
          <w:b/>
          <w:bCs/>
          <w:color w:val="888888"/>
          <w:sz w:val="20"/>
          <w:szCs w:val="20"/>
        </w:rPr>
        <w:t xml:space="preserve">Quellen &amp; weiterführende Lektüre</w:t>
      </w:r>
    </w:p>
    <w:p>
      <w:pPr>
        <w:spacing w:after="160"/>
      </w:pPr>
      <w:r>
        <w:rPr>
          <w:rFonts w:ascii="Arial" w:cs="Arial" w:eastAsia="Arial" w:hAnsi="Arial"/>
          <w:color w:val="888888"/>
          <w:sz w:val="18"/>
          <w:szCs w:val="18"/>
        </w:rPr>
        <w:t xml:space="preserve">HolonIQ Global EdTech Market Report 2024 | Statista EdTech Outlook 2025 | EU AI Act (2024) | OECD Education at a Glance 2024 | Ben Williamson: Big Data in Education (2017) | Audrey Watters: Teaching Machines (2021)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026"/>
      </w:tabs>
    </w:pPr>
    <w:r>
      <w:rPr>
        <w:rFonts w:ascii="Arial" w:cs="Arial" w:eastAsia="Arial" w:hAnsi="Arial"/>
        <w:color w:val="666666"/>
        <w:sz w:val="18"/>
        <w:szCs w:val="18"/>
      </w:rPr>
      <w:t xml:space="preserve">Markteinschätzung: EdTech &amp; Consumer-Bildungsmarkt</w:t>
    </w:r>
    <w:r>
      <w:rPr>
        <w:rFonts w:ascii="Arial" w:cs="Arial" w:eastAsia="Arial" w:hAnsi="Arial"/>
        <w:color w:val="666666"/>
        <w:sz w:val="18"/>
        <w:szCs w:val="18"/>
      </w:rPr>
      <w:t xml:space="preserve">	März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2026-03-22T18:01:05.476Z</dcterms:created>
  <dcterms:modified xsi:type="dcterms:W3CDTF">2026-03-22T18:01:05.477Z</dcterms:modified>
</cp:coreProperties>
</file>

<file path=docProps/custom.xml><?xml version="1.0" encoding="utf-8"?>
<Properties xmlns="http://schemas.openxmlformats.org/officeDocument/2006/custom-properties" xmlns:vt="http://schemas.openxmlformats.org/officeDocument/2006/docPropsVTypes"/>
</file>