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D3ED" w14:textId="542F68B9" w:rsidR="00A95778" w:rsidRDefault="00880F40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0F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Определение фактического количества жильцов - Анализ потребления ресурсов: управляющая компания может анализировать показания счетчиков потребления электроэнергии, воды и газа в доме, чтобы определить фактическое количество жильцов. Например, если в доме живут двое, но водосчетчик показывает потребление воды, соответствующее четырем жильцам, то возможно, что в доме живут еще двое.</w:t>
      </w:r>
    </w:p>
    <w:p w14:paraId="42AA8B7D" w14:textId="092E94AF" w:rsidR="00A95778" w:rsidRDefault="00880F40" w:rsidP="00880F40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80F4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тогда надо данные по показаниям счетчиков достать и попробовать сделать вычисление для одной квартиры, а затем для дома, а затем для округа</w:t>
      </w:r>
    </w:p>
    <w:p w14:paraId="1F829E05" w14:textId="77777777" w:rsidR="00AD07F0" w:rsidRDefault="00AD07F0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7045658" w14:textId="77777777" w:rsidR="00AD07F0" w:rsidRDefault="00AD07F0" w:rsidP="00AD07F0">
      <w:pPr>
        <w:pStyle w:val="a3"/>
      </w:pPr>
      <w:r>
        <w:t>Определить фактическое количество жильцов в квартире при помощи показаний счетчиков воды и электричества можно с помощью расчета среднего потребления ресурсов на одного человека. Для этого необходимо знать общее количество потребляемой воды и электроэнергии в квартире за определенный период времени и количество проживающих в квартире людей за этот же период.</w:t>
      </w:r>
    </w:p>
    <w:p w14:paraId="3C714FFA" w14:textId="77777777" w:rsidR="00AD07F0" w:rsidRDefault="00AD07F0" w:rsidP="00AD07F0">
      <w:pPr>
        <w:pStyle w:val="a3"/>
      </w:pPr>
      <w:r>
        <w:t>Для расчета среднего потребления воды и электричества на одного человека необходимо использовать следующую формулу:</w:t>
      </w:r>
    </w:p>
    <w:p w14:paraId="6215F3C6" w14:textId="77777777" w:rsidR="00AD07F0" w:rsidRDefault="00AD07F0" w:rsidP="00AD07F0">
      <w:pPr>
        <w:pStyle w:val="a3"/>
      </w:pPr>
      <w:r>
        <w:t>Среднее потребление на одного человека = Общее потребление ресурса / (Количество жильцов x количество дней)</w:t>
      </w:r>
    </w:p>
    <w:p w14:paraId="7F35D77B" w14:textId="77777777" w:rsidR="00AD07F0" w:rsidRDefault="00AD07F0" w:rsidP="00AD07F0">
      <w:pPr>
        <w:pStyle w:val="a3"/>
      </w:pPr>
      <w:r>
        <w:t>Например, если общее потребление воды за месяц составило 10 кубических метров, в квартире проживает 4 человека, а месяц содержит 30 дней, то среднее потребление воды на одного человека за месяц будет равно:</w:t>
      </w:r>
    </w:p>
    <w:p w14:paraId="4F9880BE" w14:textId="77777777" w:rsidR="00AD07F0" w:rsidRDefault="00AD07F0" w:rsidP="00AD07F0">
      <w:pPr>
        <w:pStyle w:val="a3"/>
      </w:pPr>
      <w:r>
        <w:t>10 / (4 x 30) = 0.083 кубических метра на человека в день</w:t>
      </w:r>
    </w:p>
    <w:p w14:paraId="288FEAFE" w14:textId="77777777" w:rsidR="00AD07F0" w:rsidRDefault="00AD07F0" w:rsidP="00AD07F0">
      <w:pPr>
        <w:pStyle w:val="a3"/>
      </w:pPr>
      <w:r>
        <w:t>Аналогично, если общее потребление электроэнергии за месяц составило 300 киловатт-часов, в квартире проживает 4 человека, а месяц содержит 30 дней, то среднее потребление электроэнергии на одного человека за месяц будет равно:</w:t>
      </w:r>
    </w:p>
    <w:p w14:paraId="3436D051" w14:textId="77777777" w:rsidR="00AD07F0" w:rsidRDefault="00AD07F0" w:rsidP="00AD07F0">
      <w:pPr>
        <w:pStyle w:val="a3"/>
      </w:pPr>
      <w:r>
        <w:t>300 / (4 x 30) = 2.5 киловатт-часа на человека в день</w:t>
      </w:r>
    </w:p>
    <w:p w14:paraId="35E27630" w14:textId="77777777" w:rsidR="00AD07F0" w:rsidRDefault="00AD07F0" w:rsidP="00AD07F0">
      <w:pPr>
        <w:pStyle w:val="a3"/>
        <w:pBdr>
          <w:bottom w:val="single" w:sz="12" w:space="1" w:color="auto"/>
        </w:pBdr>
      </w:pPr>
      <w:r>
        <w:t>На основе этих данных можно приблизительно определить количество проживающих в квартире людей, но необходимо учитывать, что среднее потребление может варьироваться в зависимости от факторов, таких как время года, домашние привычки, наличие бытовой техники и других факторов.</w:t>
      </w:r>
    </w:p>
    <w:p w14:paraId="34D5B3AA" w14:textId="77777777" w:rsid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997FC7" w14:textId="77777777" w:rsidR="00372EFD" w:rsidRDefault="00372EFD" w:rsidP="00372EFD">
      <w:pPr>
        <w:pStyle w:val="a3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Стоимость содержания одного человека управляющей компанией может варьироваться в зависимости от многих факторов, таких как регион, количество жильцов, площадь жилья и т.д. </w:t>
      </w:r>
      <w:hyperlink r:id="rId5" w:tgtFrame="_blank" w:history="1">
        <w:r>
          <w:rPr>
            <w:rStyle w:val="a4"/>
            <w:rFonts w:ascii="Roboto" w:hAnsi="Roboto"/>
          </w:rPr>
          <w:t>В среднем, стоимость содержания одного человека управляющей компанией составляет от 500 до 1500 рублей в месяц</w:t>
        </w:r>
      </w:hyperlink>
      <w:hyperlink r:id="rId6" w:tgtFrame="_blank" w:history="1">
        <w:r>
          <w:rPr>
            <w:rStyle w:val="a4"/>
            <w:rFonts w:ascii="Roboto" w:hAnsi="Roboto"/>
            <w:b/>
            <w:bCs/>
            <w:sz w:val="15"/>
            <w:szCs w:val="15"/>
            <w:vertAlign w:val="superscript"/>
          </w:rPr>
          <w:t>1</w:t>
        </w:r>
      </w:hyperlink>
      <w:hyperlink r:id="rId7" w:tgtFrame="_blank" w:history="1">
        <w:r>
          <w:rPr>
            <w:rStyle w:val="a4"/>
            <w:rFonts w:ascii="Roboto" w:hAnsi="Roboto"/>
            <w:b/>
            <w:bCs/>
            <w:sz w:val="15"/>
            <w:szCs w:val="15"/>
            <w:vertAlign w:val="superscript"/>
          </w:rPr>
          <w:t>2</w:t>
        </w:r>
      </w:hyperlink>
      <w:hyperlink r:id="rId8" w:tgtFrame="_blank" w:history="1">
        <w:r>
          <w:rPr>
            <w:rStyle w:val="a4"/>
            <w:rFonts w:ascii="Roboto" w:hAnsi="Roboto"/>
            <w:b/>
            <w:bCs/>
            <w:sz w:val="15"/>
            <w:szCs w:val="15"/>
            <w:vertAlign w:val="superscript"/>
          </w:rPr>
          <w:t>3</w:t>
        </w:r>
      </w:hyperlink>
      <w:r>
        <w:rPr>
          <w:rFonts w:ascii="Roboto" w:hAnsi="Roboto"/>
          <w:color w:val="111111"/>
        </w:rPr>
        <w:t>. Однако, эта цифра может быть выше или ниже в зависимости от конкретной ситуации.</w:t>
      </w:r>
    </w:p>
    <w:p w14:paraId="0CC7C937" w14:textId="77777777" w:rsidR="00372EFD" w:rsidRDefault="00372EFD" w:rsidP="00372EFD">
      <w:pPr>
        <w:pStyle w:val="a3"/>
        <w:spacing w:before="0" w:beforeAutospacing="0" w:after="0" w:afterAutospacing="0"/>
        <w:rPr>
          <w:rFonts w:ascii="Roboto" w:hAnsi="Roboto"/>
          <w:color w:val="111111"/>
        </w:rPr>
      </w:pPr>
      <w:hyperlink r:id="rId9" w:tgtFrame="_blank" w:history="1">
        <w:r w:rsidRPr="00372EFD">
          <w:rPr>
            <w:rStyle w:val="a4"/>
            <w:rFonts w:ascii="Roboto" w:hAnsi="Roboto"/>
            <w:b/>
            <w:bCs/>
            <w:sz w:val="15"/>
            <w:szCs w:val="15"/>
            <w:vertAlign w:val="superscript"/>
            <w:lang w:val="en-US"/>
          </w:rPr>
          <w:t>1</w:t>
        </w:r>
      </w:hyperlink>
      <w:r w:rsidRPr="00372EFD">
        <w:rPr>
          <w:rFonts w:ascii="Roboto" w:hAnsi="Roboto"/>
          <w:color w:val="111111"/>
          <w:lang w:val="en-US"/>
        </w:rPr>
        <w:t>: </w:t>
      </w:r>
      <w:hyperlink r:id="rId10" w:tgtFrame="_blank" w:history="1">
        <w:r w:rsidRPr="00372EFD">
          <w:rPr>
            <w:rStyle w:val="a4"/>
            <w:rFonts w:ascii="Roboto" w:hAnsi="Roboto"/>
            <w:lang w:val="en-US"/>
          </w:rPr>
          <w:t>mirkvartir.ru</w:t>
        </w:r>
      </w:hyperlink>
      <w:r w:rsidRPr="00372EFD">
        <w:rPr>
          <w:rFonts w:ascii="Roboto" w:hAnsi="Roboto"/>
          <w:color w:val="111111"/>
          <w:lang w:val="en-US"/>
        </w:rPr>
        <w:t> </w:t>
      </w:r>
      <w:hyperlink r:id="rId11" w:tgtFrame="_blank" w:history="1">
        <w:r w:rsidRPr="00372EFD">
          <w:rPr>
            <w:rStyle w:val="a4"/>
            <w:rFonts w:ascii="Roboto" w:hAnsi="Roboto"/>
            <w:b/>
            <w:bCs/>
            <w:sz w:val="15"/>
            <w:szCs w:val="15"/>
            <w:vertAlign w:val="superscript"/>
            <w:lang w:val="en-US"/>
          </w:rPr>
          <w:t>2</w:t>
        </w:r>
      </w:hyperlink>
      <w:r w:rsidRPr="00372EFD">
        <w:rPr>
          <w:rFonts w:ascii="Roboto" w:hAnsi="Roboto"/>
          <w:color w:val="111111"/>
          <w:lang w:val="en-US"/>
        </w:rPr>
        <w:t>: </w:t>
      </w:r>
      <w:hyperlink r:id="rId12" w:tgtFrame="_blank" w:history="1">
        <w:r w:rsidRPr="00372EFD">
          <w:rPr>
            <w:rStyle w:val="a4"/>
            <w:rFonts w:ascii="Roboto" w:hAnsi="Roboto"/>
            <w:lang w:val="en-US"/>
          </w:rPr>
          <w:t>garant.ru</w:t>
        </w:r>
      </w:hyperlink>
      <w:r w:rsidRPr="00372EFD">
        <w:rPr>
          <w:rFonts w:ascii="Roboto" w:hAnsi="Roboto"/>
          <w:color w:val="111111"/>
          <w:lang w:val="en-US"/>
        </w:rPr>
        <w:t> </w:t>
      </w:r>
      <w:hyperlink r:id="rId13" w:tgtFrame="_blank" w:history="1">
        <w:r w:rsidRPr="00372EFD">
          <w:rPr>
            <w:rStyle w:val="a4"/>
            <w:rFonts w:ascii="Roboto" w:hAnsi="Roboto"/>
            <w:b/>
            <w:bCs/>
            <w:sz w:val="15"/>
            <w:szCs w:val="15"/>
            <w:vertAlign w:val="superscript"/>
            <w:lang w:val="en-US"/>
          </w:rPr>
          <w:t>3</w:t>
        </w:r>
      </w:hyperlink>
      <w:r w:rsidRPr="00372EFD">
        <w:rPr>
          <w:rFonts w:ascii="Roboto" w:hAnsi="Roboto"/>
          <w:color w:val="111111"/>
          <w:lang w:val="en-US"/>
        </w:rPr>
        <w:t>: </w:t>
      </w:r>
      <w:hyperlink r:id="rId14" w:tgtFrame="_blank" w:history="1">
        <w:r w:rsidRPr="00372EFD">
          <w:rPr>
            <w:rStyle w:val="a4"/>
            <w:rFonts w:ascii="Roboto" w:hAnsi="Roboto"/>
            <w:lang w:val="en-US"/>
          </w:rPr>
          <w:t>grnt.ru</w:t>
        </w:r>
      </w:hyperlink>
    </w:p>
    <w:p w14:paraId="30A4DDAE" w14:textId="77777777" w:rsidR="00372EFD" w:rsidRDefault="00372EFD" w:rsidP="00372EFD">
      <w:pPr>
        <w:pStyle w:val="a3"/>
        <w:spacing w:before="0" w:beforeAutospacing="0" w:after="0" w:afterAutospacing="0"/>
        <w:rPr>
          <w:rFonts w:ascii="Roboto" w:hAnsi="Roboto"/>
          <w:color w:val="111111"/>
        </w:rPr>
      </w:pPr>
    </w:p>
    <w:p w14:paraId="0BABD061" w14:textId="77777777" w:rsidR="00372EFD" w:rsidRDefault="00372EFD" w:rsidP="00372EFD">
      <w:pPr>
        <w:pStyle w:val="a3"/>
      </w:pPr>
      <w:proofErr w:type="gramStart"/>
      <w:r>
        <w:rPr>
          <w:rFonts w:ascii="Roboto" w:hAnsi="Roboto"/>
          <w:color w:val="111111"/>
        </w:rPr>
        <w:lastRenderedPageBreak/>
        <w:t>Т.е.</w:t>
      </w:r>
      <w:proofErr w:type="gramEnd"/>
      <w:r>
        <w:rPr>
          <w:rFonts w:ascii="Roboto" w:hAnsi="Roboto"/>
          <w:color w:val="111111"/>
        </w:rPr>
        <w:t xml:space="preserve"> в среднем берем 1000 рублей на содержание одного человека управляющей компанией. </w:t>
      </w:r>
      <w:r>
        <w:t>Рассмотрим пример для вычисления потенциальной выгоды управляющей компании в случае, если заявлено 10 жителей, а на самом деле живет 29 человек.</w:t>
      </w:r>
    </w:p>
    <w:p w14:paraId="5965CCCA" w14:textId="77777777" w:rsidR="00372EFD" w:rsidRDefault="00372EFD" w:rsidP="00372EFD">
      <w:pPr>
        <w:pStyle w:val="a3"/>
      </w:pPr>
      <w:r>
        <w:t>Предположим, что за содержание одного человека в месяц управляющая компания получает 1000 рублей. Если управляющая компания знает, что в доме живет на 19 человек больше, чем заявлено, то она может потенциально получить дополнительную выгоду в размере 19 * 1000 = 19000 рублей в месяц или 228000 рублей в год.</w:t>
      </w:r>
    </w:p>
    <w:p w14:paraId="316E3A06" w14:textId="77777777" w:rsidR="00372EFD" w:rsidRDefault="00372EFD" w:rsidP="00372EFD">
      <w:pPr>
        <w:pStyle w:val="a3"/>
      </w:pPr>
      <w:r>
        <w:t>Однако, следует учитывать, что для выявления фактического числа жителей, управляющей компании может потребоваться дополнительные затраты на установку датчиков, проведение инвентаризации жилых помещений, а также на разработку и внедрение новой системы учета жителей.</w:t>
      </w:r>
    </w:p>
    <w:p w14:paraId="0AEA232D" w14:textId="362D3EC8" w:rsidR="00372EFD" w:rsidRPr="00372EFD" w:rsidRDefault="00372EFD" w:rsidP="00372EFD">
      <w:pPr>
        <w:pStyle w:val="a3"/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Тогда в реализации программы мы берем разницу между фактическим и реальным количеством людей, и умножаем на 1000. Если число отрицательное, значит компания несет убытки, обслуживая людей, которые отсутствуют по месту прописки, а соответственно может сократить расходы на данное помещение.</w:t>
      </w:r>
    </w:p>
    <w:p w14:paraId="4C323D7B" w14:textId="77777777" w:rsidR="00372EFD" w:rsidRPr="00372EFD" w:rsidRDefault="00372EFD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5002E0" w14:textId="77777777" w:rsidR="00372EFD" w:rsidRPr="00372EFD" w:rsidRDefault="00372EFD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AD8AE2" w14:textId="77777777" w:rsidR="00372EFD" w:rsidRPr="00372EFD" w:rsidRDefault="00372EFD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311949" w14:textId="77777777" w:rsidR="00372EFD" w:rsidRPr="00372EFD" w:rsidRDefault="00372EFD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99C8A0" w14:textId="77777777" w:rsidR="00372EFD" w:rsidRPr="00372EFD" w:rsidRDefault="00372EFD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1307A0F" w14:textId="77777777" w:rsidR="00372EFD" w:rsidRPr="00372EFD" w:rsidRDefault="00372EFD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F0AFA6" w14:textId="77777777" w:rsidR="00372EFD" w:rsidRPr="00372EFD" w:rsidRDefault="00372EFD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790530" w14:textId="77777777" w:rsidR="00372EFD" w:rsidRPr="00372EFD" w:rsidRDefault="00372EFD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DDD1E8" w14:textId="2EE225ED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вычисления количества денег, которое управляющая компания могла бы получить, если бы знала фактическое количество проживающих, относительно официально заявленных, необходимо выполнить следующие шаги:</w:t>
      </w:r>
    </w:p>
    <w:p w14:paraId="0BCA819C" w14:textId="77777777" w:rsidR="00A95778" w:rsidRPr="00A95778" w:rsidRDefault="00A95778" w:rsidP="00A957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Определить коэффициент соотношения фактического и заявленного количества проживающих. Обозначим его как K.</w:t>
      </w:r>
    </w:p>
    <w:p w14:paraId="72DAFD5C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 = (фактическое количество проживающих) / (заявленное количество проживающих)</w:t>
      </w:r>
    </w:p>
    <w:p w14:paraId="56369B65" w14:textId="77777777" w:rsidR="00A95778" w:rsidRPr="00A95778" w:rsidRDefault="00A95778" w:rsidP="00A9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Найти стоимость единицы жилья, которая используется для расчета платежей жильцов. Обозначим ее как P.</w:t>
      </w:r>
    </w:p>
    <w:p w14:paraId="07F45DF7" w14:textId="77777777" w:rsidR="00A95778" w:rsidRPr="00A95778" w:rsidRDefault="00A95778" w:rsidP="00A957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Рассчитать новую стоимость единицы жилья, учитывая коэффициент K. Обозначим ее как P'.</w:t>
      </w:r>
    </w:p>
    <w:p w14:paraId="44C59244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P' = P / K</w:t>
      </w:r>
    </w:p>
    <w:p w14:paraId="6A8903C2" w14:textId="77777777" w:rsidR="00A95778" w:rsidRPr="00A95778" w:rsidRDefault="00A95778" w:rsidP="00A957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Рассчитать новую сумму платежей, которую должны вносить жильцы, учитывая новую стоимость единицы жилья P'.</w:t>
      </w:r>
    </w:p>
    <w:p w14:paraId="25620724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Новая сумма платежей = (заявленное количество проживающих) * P'</w:t>
      </w:r>
    </w:p>
    <w:p w14:paraId="3CB8A581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формула для вычисления количества денег, которое управляющая компания могла бы получить при известном фактическом количестве проживающих, выглядит следующим образом:</w:t>
      </w:r>
    </w:p>
    <w:p w14:paraId="12B20CE6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Доход = (заявленное количество проживающих) * P - (фактическое количество проживающих) * P'</w:t>
      </w:r>
    </w:p>
    <w:p w14:paraId="53A58E86" w14:textId="77777777" w:rsidR="00A95778" w:rsidRPr="00A95778" w:rsidRDefault="00A95778" w:rsidP="00A95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9577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где P - стоимость единицы жилья, используемая для расчета платежей жильцов, P' - новая стоимость единицы жилья, учитывающая коэффициент K.</w:t>
      </w:r>
    </w:p>
    <w:p w14:paraId="7D2FFFD2" w14:textId="77777777" w:rsidR="0001436C" w:rsidRDefault="00000000"/>
    <w:sectPr w:rsidR="0001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D6195"/>
    <w:multiLevelType w:val="multilevel"/>
    <w:tmpl w:val="BFDE39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44D10"/>
    <w:multiLevelType w:val="multilevel"/>
    <w:tmpl w:val="496069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22D31"/>
    <w:multiLevelType w:val="multilevel"/>
    <w:tmpl w:val="FA16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058165">
    <w:abstractNumId w:val="2"/>
  </w:num>
  <w:num w:numId="2" w16cid:durableId="1062027167">
    <w:abstractNumId w:val="1"/>
  </w:num>
  <w:num w:numId="3" w16cid:durableId="194861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8"/>
    <w:rsid w:val="00372EFD"/>
    <w:rsid w:val="00484186"/>
    <w:rsid w:val="00750CA8"/>
    <w:rsid w:val="007D30AD"/>
    <w:rsid w:val="00880F40"/>
    <w:rsid w:val="0097527C"/>
    <w:rsid w:val="00A95778"/>
    <w:rsid w:val="00AC22C5"/>
    <w:rsid w:val="00AD07F0"/>
    <w:rsid w:val="00B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3EED"/>
  <w15:chartTrackingRefBased/>
  <w15:docId w15:val="{427A9739-90EB-4358-9C22-4C977DF6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72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8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nt.ru/blog/rashody-po-dogovoru-s-upravlyayushhej-kompaniej-na-soderzhanie-zhilogo-pomeshheniya-v-mnogokvartirnom-dome-primenyaem-kvr-i-kosgu-pravilno/" TargetMode="External"/><Relationship Id="rId13" Type="http://schemas.openxmlformats.org/officeDocument/2006/relationships/hyperlink" Target="https://grnt.ru/blog/rashody-po-dogovoru-s-upravlyayushhej-kompaniej-na-soderzhanie-zhilogo-pomeshheniya-v-mnogokvartirnom-dome-primenyaem-kvr-i-kosgu-pravil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rant.ru/products/ipo/prime/doc/71116926/" TargetMode="External"/><Relationship Id="rId12" Type="http://schemas.openxmlformats.org/officeDocument/2006/relationships/hyperlink" Target="https://www.garant.ru/products/ipo/prime/doc/71116926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rkvartir.ru/journal/assistant/2020/12/14/soderzhanie-zhilya-v/" TargetMode="External"/><Relationship Id="rId11" Type="http://schemas.openxmlformats.org/officeDocument/2006/relationships/hyperlink" Target="https://www.garant.ru/products/ipo/prime/doc/71116926/" TargetMode="External"/><Relationship Id="rId5" Type="http://schemas.openxmlformats.org/officeDocument/2006/relationships/hyperlink" Target="https://www.mirkvartir.ru/journal/assistant/2020/12/14/soderzhanie-zhilya-v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irkvartir.ru/journal/assistant/2020/12/14/soderzhanie-zhilya-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rkvartir.ru/journal/assistant/2020/12/14/soderzhanie-zhilya-v/" TargetMode="External"/><Relationship Id="rId14" Type="http://schemas.openxmlformats.org/officeDocument/2006/relationships/hyperlink" Target="https://grnt.ru/blog/rashody-po-dogovoru-s-upravlyayushhej-kompaniej-na-soderzhanie-zhilogo-pomeshheniya-v-mnogokvartirnom-dome-primenyaem-kvr-i-kosgu-praviln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5</cp:revision>
  <dcterms:created xsi:type="dcterms:W3CDTF">2023-04-07T14:15:00Z</dcterms:created>
  <dcterms:modified xsi:type="dcterms:W3CDTF">2023-04-08T15:50:00Z</dcterms:modified>
</cp:coreProperties>
</file>