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04.10.2022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F7 создайте папку lab06 и перейдите в созданный каталог(рис.1)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Пользуясь строкой ввода и командой touch создайте файл lab6-1.asm(рис.2)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F4 откройте файл lab6-1.asm для редактирования во встроенном редакторе(рис.3)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Оттранслируйте текст программы lab6-1.asm в объектный файл. Выполните компоновку объектного файла и запустите получившийся исполняемый файл(рис.4)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Переместил in_out.asm в каталог с исполнительными файлами(рис.5)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F6 создайте копию файла lab6-1.asm с именем lab6-2.asm(рис.6)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Исправьте текст программы в файле lab6-2.asm с использование подпрограмм из внешнего файла in_out.asm(рис.7)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7: Рис. 7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8"/>
        </w:numPr>
        <w:pStyle w:val="Compact"/>
      </w:pPr>
      <w:r>
        <w:t xml:space="preserve">В файле lab6-2.asm замените подпрограмму sprintLF на sprint. Создайте исполняемый файл и проверьте его работу(рис.8)</w:t>
      </w:r>
    </w:p>
    <w:p>
      <w:pPr>
        <w:pStyle w:val="CaptionedFigure"/>
      </w:pPr>
      <w:bookmarkStart w:id="52" w:name="fig:008"/>
      <w:r>
        <w:drawing>
          <wp:inline>
            <wp:extent cx="5334000" cy="4015567"/>
            <wp:effectExtent b="0" l="0" r="0" t="0"/>
            <wp:docPr descr="Figure 8: Рис. 8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Рис. 8</w:t>
      </w:r>
    </w:p>
    <w:p>
      <w:pPr>
        <w:pStyle w:val="BodyText"/>
      </w:pPr>
      <w:r>
        <w:t xml:space="preserve">Разница в том, что sprintLF переносит строку, а sprint нет.</w:t>
      </w:r>
    </w:p>
    <w:p>
      <w:pPr>
        <w:numPr>
          <w:ilvl w:val="0"/>
          <w:numId w:val="1009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выводила введенный текст(рис.9)(рис.10)</w:t>
      </w:r>
    </w:p>
    <w:p>
      <w:pPr>
        <w:pStyle w:val="CaptionedFigure"/>
      </w:pPr>
      <w:bookmarkStart w:id="56" w:name="fig:009"/>
      <w:r>
        <w:drawing>
          <wp:inline>
            <wp:extent cx="5334000" cy="4015567"/>
            <wp:effectExtent b="0" l="0" r="0" t="0"/>
            <wp:docPr descr="Figure 9: Результат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Результат</w:t>
      </w:r>
    </w:p>
    <w:p>
      <w:pPr>
        <w:pStyle w:val="CaptionedFigure"/>
      </w:pPr>
      <w:bookmarkStart w:id="60" w:name="fig:010"/>
      <w:r>
        <w:drawing>
          <wp:inline>
            <wp:extent cx="5334000" cy="5781744"/>
            <wp:effectExtent b="0" l="0" r="0" t="0"/>
            <wp:docPr descr="Figure 10: Код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Код</w:t>
      </w:r>
    </w:p>
    <w:p>
      <w:pPr>
        <w:numPr>
          <w:ilvl w:val="0"/>
          <w:numId w:val="1010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выводила введенный текст(рис.9)(рис.10)</w:t>
      </w:r>
    </w:p>
    <w:p>
      <w:pPr>
        <w:pStyle w:val="CaptionedFigure"/>
      </w:pPr>
      <w:bookmarkStart w:id="64" w:name="fig:011"/>
      <w:r>
        <w:drawing>
          <wp:inline>
            <wp:extent cx="5334000" cy="4015567"/>
            <wp:effectExtent b="0" l="0" r="0" t="0"/>
            <wp:docPr descr="Figure 11: Результат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Результат</w:t>
      </w:r>
    </w:p>
    <w:p>
      <w:pPr>
        <w:pStyle w:val="CaptionedFigure"/>
      </w:pPr>
      <w:bookmarkStart w:id="68" w:name="fig:012"/>
      <w:r>
        <w:drawing>
          <wp:inline>
            <wp:extent cx="5334000" cy="5781744"/>
            <wp:effectExtent b="0" l="0" r="0" t="0"/>
            <wp:docPr descr="Figure 12: Код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Код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 Освоил</w:t>
      </w:r>
      <w:r>
        <w:t xml:space="preserve"> </w:t>
      </w:r>
      <w:r>
        <w:t xml:space="preserve">инструкции языка ассемблера mov и int.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</w:t>
      </w:r>
    </w:p>
    <w:p>
      <w:pPr>
        <w:numPr>
          <w:ilvl w:val="0"/>
          <w:numId w:val="1011"/>
        </w:numPr>
      </w:pPr>
      <w:r>
        <w:t xml:space="preserve">Копирование(cp; F5)</w:t>
      </w:r>
      <w:r>
        <w:br/>
      </w:r>
      <w:r>
        <w:t xml:space="preserve">перенос(mv; F6)</w:t>
      </w:r>
      <w:r>
        <w:br/>
      </w:r>
      <w:r>
        <w:t xml:space="preserve">просмотр(cat; F3)</w:t>
      </w:r>
      <w:r>
        <w:br/>
      </w:r>
      <w:r>
        <w:t xml:space="preserve">создание каталога(mkdir; F7)</w:t>
      </w:r>
      <w:r>
        <w:br/>
      </w:r>
      <w:r>
        <w:t xml:space="preserve">удаление(rm; F8)</w:t>
      </w:r>
    </w:p>
    <w:p>
      <w:pPr>
        <w:numPr>
          <w:ilvl w:val="0"/>
          <w:numId w:val="1011"/>
        </w:numPr>
      </w:pPr>
      <w:r>
        <w:t xml:space="preserve">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</w:t>
      </w:r>
      <w:r>
        <w:t xml:space="preserve"> </w:t>
      </w:r>
      <w:r>
        <w:t xml:space="preserve">во время компиляции) данных (SECTION .data) и секция неинициализированных данных 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</w:t>
      </w:r>
    </w:p>
    <w:p>
      <w:pPr>
        <w:numPr>
          <w:ilvl w:val="0"/>
          <w:numId w:val="1011"/>
        </w:numPr>
      </w:pPr>
      <w:r>
        <w:t xml:space="preserve">неинициализированных и инициированных</w:t>
      </w:r>
    </w:p>
    <w:p>
      <w:pPr>
        <w:numPr>
          <w:ilvl w:val="0"/>
          <w:numId w:val="1011"/>
        </w:numPr>
      </w:pPr>
      <w:r>
        <w:t xml:space="preserve">DB (define byte) — определяет переменную размером в 1 байт;</w:t>
      </w:r>
      <w:r>
        <w:br/>
      </w:r>
      <w:r>
        <w:t xml:space="preserve">DW (define word) — определяет переменную размеров в 2 байта (слово);</w:t>
      </w:r>
      <w:r>
        <w:br/>
      </w:r>
      <w:r>
        <w:t xml:space="preserve">DD (define double word) — определяет переменную размером в 4 байта</w:t>
      </w:r>
      <w:r>
        <w:t xml:space="preserve"> </w:t>
      </w:r>
      <w:r>
        <w:t xml:space="preserve">(двойное слово);</w:t>
      </w:r>
      <w:r>
        <w:br/>
      </w:r>
      <w:r>
        <w:t xml:space="preserve">DQ (define quad word) — определяет переменную размером в 8 байт (учетверённое слово);</w:t>
      </w:r>
      <w:r>
        <w:br/>
      </w:r>
      <w:r>
        <w:t xml:space="preserve">DT (define ten bytes) — определяет переменную размером в 10 байт.</w:t>
      </w:r>
    </w:p>
    <w:p>
      <w:pPr>
        <w:numPr>
          <w:ilvl w:val="0"/>
          <w:numId w:val="1011"/>
        </w:numPr>
      </w:pPr>
      <w:r>
        <w:t xml:space="preserve">произойдет дублирование данных esi в eax</w:t>
      </w:r>
    </w:p>
    <w:p>
      <w:pPr>
        <w:numPr>
          <w:ilvl w:val="0"/>
          <w:numId w:val="1011"/>
        </w:numPr>
      </w:pPr>
      <w:r>
        <w:t xml:space="preserve">Вызов ядра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Кондратьев Арсений Вячеславович</dc:creator>
  <dc:language>ru-RU</dc:language>
  <cp:keywords/>
  <dcterms:created xsi:type="dcterms:W3CDTF">2022-10-04T14:54:39Z</dcterms:created>
  <dcterms:modified xsi:type="dcterms:W3CDTF">2022-10-04T14:54:39Z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04.10.2022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