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Кондратьев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Вячеславович</w:t>
      </w:r>
    </w:p>
    <w:p>
      <w:pPr>
        <w:pStyle w:val="Date"/>
      </w:pPr>
      <w:r>
        <w:t xml:space="preserve">04.10.2022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Ввел листинг и получил на вывод j(рис.1)</w:t>
      </w:r>
    </w:p>
    <w:p>
      <w:pPr>
        <w:pStyle w:val="CaptionedFigure"/>
      </w:pPr>
      <w:bookmarkStart w:id="24" w:name="fig:001"/>
      <w:r>
        <w:drawing>
          <wp:inline>
            <wp:extent cx="5334000" cy="4015567"/>
            <wp:effectExtent b="0" l="0" r="0" t="0"/>
            <wp:docPr descr="Figure 1: Рис.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 1</w:t>
      </w:r>
    </w:p>
    <w:p>
      <w:pPr>
        <w:numPr>
          <w:ilvl w:val="0"/>
          <w:numId w:val="1002"/>
        </w:numPr>
        <w:pStyle w:val="Compact"/>
      </w:pPr>
      <w:r>
        <w:t xml:space="preserve">Ввел листинг и получил на вывод перенос строки(рис.2)</w:t>
      </w:r>
    </w:p>
    <w:p>
      <w:pPr>
        <w:pStyle w:val="CaptionedFigure"/>
      </w:pPr>
      <w:bookmarkStart w:id="28" w:name="fig:002"/>
      <w:r>
        <w:drawing>
          <wp:inline>
            <wp:extent cx="5334000" cy="4015567"/>
            <wp:effectExtent b="0" l="0" r="0" t="0"/>
            <wp:docPr descr="Figure 2: Рис.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Рис. 2</w:t>
      </w:r>
    </w:p>
    <w:p>
      <w:pPr>
        <w:numPr>
          <w:ilvl w:val="0"/>
          <w:numId w:val="1003"/>
        </w:numPr>
        <w:pStyle w:val="Compact"/>
      </w:pPr>
      <w:r>
        <w:t xml:space="preserve">Ввел листинг и получил на вывод 106(рис.3)</w:t>
      </w:r>
    </w:p>
    <w:p>
      <w:pPr>
        <w:pStyle w:val="CaptionedFigure"/>
      </w:pPr>
      <w:bookmarkStart w:id="32" w:name="fig:003"/>
      <w:r>
        <w:drawing>
          <wp:inline>
            <wp:extent cx="5334000" cy="4015567"/>
            <wp:effectExtent b="0" l="0" r="0" t="0"/>
            <wp:docPr descr="Figure 3: Рис.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Рис. 3</w:t>
      </w:r>
    </w:p>
    <w:p>
      <w:pPr>
        <w:numPr>
          <w:ilvl w:val="0"/>
          <w:numId w:val="1004"/>
        </w:numPr>
        <w:pStyle w:val="Compact"/>
      </w:pPr>
      <w:r>
        <w:t xml:space="preserve">Ввел листинг и получил на вывод 10(рис.4)</w:t>
      </w:r>
    </w:p>
    <w:p>
      <w:pPr>
        <w:pStyle w:val="CaptionedFigure"/>
      </w:pPr>
      <w:bookmarkStart w:id="36" w:name="fig:004"/>
      <w:r>
        <w:drawing>
          <wp:inline>
            <wp:extent cx="5334000" cy="4015567"/>
            <wp:effectExtent b="0" l="0" r="0" t="0"/>
            <wp:docPr descr="Figure 4: Рис.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Рис. 4</w:t>
      </w:r>
    </w:p>
    <w:p>
      <w:pPr>
        <w:numPr>
          <w:ilvl w:val="0"/>
          <w:numId w:val="1005"/>
        </w:numPr>
        <w:pStyle w:val="Compact"/>
      </w:pPr>
      <w:r>
        <w:t xml:space="preserve">Заменил функцию iprintLF на iprint, после которой не было переноса строки(рис.5)</w:t>
      </w:r>
    </w:p>
    <w:p>
      <w:pPr>
        <w:pStyle w:val="CaptionedFigure"/>
      </w:pPr>
      <w:bookmarkStart w:id="40" w:name="fig:005"/>
      <w:r>
        <w:drawing>
          <wp:inline>
            <wp:extent cx="5334000" cy="4015567"/>
            <wp:effectExtent b="0" l="0" r="0" t="0"/>
            <wp:docPr descr="Figure 5: Рис.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Рис. 5</w:t>
      </w:r>
    </w:p>
    <w:p>
      <w:pPr>
        <w:numPr>
          <w:ilvl w:val="0"/>
          <w:numId w:val="1006"/>
        </w:numPr>
        <w:pStyle w:val="Compact"/>
      </w:pPr>
      <w:r>
        <w:t xml:space="preserve">Написал программу вычисления выражения (5 * 2 + 3)/3(рис.6)</w:t>
      </w:r>
    </w:p>
    <w:p>
      <w:pPr>
        <w:pStyle w:val="CaptionedFigure"/>
      </w:pPr>
      <w:bookmarkStart w:id="44" w:name="fig:006"/>
      <w:r>
        <w:drawing>
          <wp:inline>
            <wp:extent cx="5334000" cy="4015567"/>
            <wp:effectExtent b="0" l="0" r="0" t="0"/>
            <wp:docPr descr="Figure 6: Рис. 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Рис. 6</w:t>
      </w:r>
    </w:p>
    <w:p>
      <w:pPr>
        <w:numPr>
          <w:ilvl w:val="0"/>
          <w:numId w:val="1007"/>
        </w:numPr>
        <w:pStyle w:val="Compact"/>
      </w:pPr>
      <w:r>
        <w:t xml:space="preserve">Написал программу вычисления варианта, получил вариант 6(рис.7)</w:t>
      </w:r>
    </w:p>
    <w:p>
      <w:pPr>
        <w:pStyle w:val="CaptionedFigure"/>
      </w:pPr>
      <w:bookmarkStart w:id="48" w:name="fig:007"/>
      <w:r>
        <w:drawing>
          <wp:inline>
            <wp:extent cx="5334000" cy="4015567"/>
            <wp:effectExtent b="0" l="0" r="0" t="0"/>
            <wp:docPr descr="Figure 7: Рис. 7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Рис. 7</w:t>
      </w:r>
    </w:p>
    <w:p>
      <w:pPr>
        <w:numPr>
          <w:ilvl w:val="0"/>
          <w:numId w:val="1008"/>
        </w:numPr>
        <w:pStyle w:val="Compact"/>
      </w:pPr>
      <w:r>
        <w:t xml:space="preserve">Написал программу вычисления функции 6-го варианта(рис.8)</w:t>
      </w:r>
    </w:p>
    <w:p>
      <w:pPr>
        <w:pStyle w:val="CaptionedFigure"/>
      </w:pPr>
      <w:bookmarkStart w:id="52" w:name="fig:008"/>
      <w:r>
        <w:drawing>
          <wp:inline>
            <wp:extent cx="5334000" cy="4814875"/>
            <wp:effectExtent b="0" l="0" r="0" t="0"/>
            <wp:docPr descr="Figure 8: Рис. 8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Рис. 8</w:t>
      </w:r>
    </w:p>
    <w:p>
      <w:pPr>
        <w:pStyle w:val="BodyText"/>
      </w:pPr>
      <w:r>
        <w:t xml:space="preserve">8.1. (rem: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,0) (mov eax,rem) и (call sprint)</w:t>
      </w:r>
      <w:r>
        <w:br/>
      </w:r>
      <w:r>
        <w:t xml:space="preserve">8.2. перенос в регистр есх адреса переменной х; передача регистру значения 80; вызов функции считывания</w:t>
      </w:r>
      <w:r>
        <w:br/>
      </w:r>
      <w:r>
        <w:t xml:space="preserve">8.3. преобразование ASCII кода в число</w:t>
      </w:r>
      <w:r>
        <w:br/>
      </w:r>
      <w:r>
        <w:t xml:space="preserve">8.4. xor edx,edx</w:t>
      </w:r>
      <w:r>
        <w:br/>
      </w:r>
      <w:r>
        <w:t xml:space="preserve">mov ebx,20</w:t>
      </w:r>
      <w:r>
        <w:br/>
      </w:r>
      <w:r>
        <w:t xml:space="preserve">div ebx</w:t>
      </w:r>
      <w:r>
        <w:br/>
      </w:r>
      <w:r>
        <w:t xml:space="preserve">inc edx</w:t>
      </w:r>
      <w:r>
        <w:br/>
      </w:r>
      <w:r>
        <w:t xml:space="preserve">8.5. прибавляет 1 к edx</w:t>
      </w:r>
      <w:r>
        <w:br/>
      </w:r>
      <w:r>
        <w:t xml:space="preserve">8.6. mov eax,rem</w:t>
      </w:r>
      <w:r>
        <w:br/>
      </w:r>
      <w:r>
        <w:t xml:space="preserve">call sprint</w:t>
      </w:r>
      <w:r>
        <w:br/>
      </w:r>
      <w:r>
        <w:t xml:space="preserve">mov eax,edx</w:t>
      </w:r>
      <w:r>
        <w:br/>
      </w:r>
      <w:r>
        <w:t xml:space="preserve">call iprintLF</w:t>
      </w:r>
    </w:p>
    <w:p>
      <w:pPr>
        <w:numPr>
          <w:ilvl w:val="0"/>
          <w:numId w:val="1009"/>
        </w:numPr>
        <w:pStyle w:val="Compact"/>
      </w:pPr>
      <w:r>
        <w:t xml:space="preserve">Проверил работу на числах 2 и 5(рис.9)</w:t>
      </w:r>
    </w:p>
    <w:p>
      <w:pPr>
        <w:pStyle w:val="CaptionedFigure"/>
      </w:pPr>
      <w:bookmarkStart w:id="56" w:name="fig:009"/>
      <w:r>
        <w:drawing>
          <wp:inline>
            <wp:extent cx="5334000" cy="4015567"/>
            <wp:effectExtent b="0" l="0" r="0" t="0"/>
            <wp:docPr descr="Figure 9: Рис. 9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Рис. 9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арифметические инструкции языка ассемблера NASM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</w:pPr>
      <w:r>
        <w:t xml:space="preserve">add слагаемое1, слагаемое2</w:t>
      </w:r>
    </w:p>
    <w:p>
      <w:pPr>
        <w:numPr>
          <w:ilvl w:val="0"/>
          <w:numId w:val="1010"/>
        </w:numPr>
      </w:pPr>
      <w:r>
        <w:t xml:space="preserve">mul</w:t>
      </w:r>
    </w:p>
    <w:p>
      <w:pPr>
        <w:numPr>
          <w:ilvl w:val="0"/>
          <w:numId w:val="1010"/>
        </w:numPr>
      </w:pPr>
      <w:r>
        <w:t xml:space="preserve">div делитель</w:t>
      </w:r>
    </w:p>
    <w:p>
      <w:pPr>
        <w:numPr>
          <w:ilvl w:val="0"/>
          <w:numId w:val="1010"/>
        </w:numPr>
      </w:pPr>
      <w:r>
        <w:t xml:space="preserve">в АХ</w:t>
      </w:r>
    </w:p>
    <w:p>
      <w:pPr>
        <w:numPr>
          <w:ilvl w:val="0"/>
          <w:numId w:val="1010"/>
        </w:numPr>
      </w:pPr>
      <w:r>
        <w:t xml:space="preserve">add-сложение</w:t>
      </w:r>
      <w:r>
        <w:br/>
      </w:r>
      <w:r>
        <w:t xml:space="preserve">neg-смена знака</w:t>
      </w:r>
      <w:r>
        <w:br/>
      </w:r>
      <w:r>
        <w:t xml:space="preserve">mul-умножение</w:t>
      </w:r>
      <w:r>
        <w:br/>
      </w:r>
      <w:r>
        <w:t xml:space="preserve">div-деление</w:t>
      </w:r>
      <w:r>
        <w:br/>
      </w:r>
      <w:r>
        <w:t xml:space="preserve">inc- +1</w:t>
      </w:r>
      <w:r>
        <w:br/>
      </w:r>
      <w:r>
        <w:t xml:space="preserve">dec- -1</w:t>
      </w:r>
      <w:r>
        <w:br/>
      </w:r>
      <w:r>
        <w:t xml:space="preserve">sub-вычитание</w:t>
      </w:r>
    </w:p>
    <w:p>
      <w:pPr>
        <w:numPr>
          <w:ilvl w:val="0"/>
          <w:numId w:val="1010"/>
        </w:numPr>
      </w:pPr>
      <w:r>
        <w:t xml:space="preserve">АХ</w:t>
      </w:r>
    </w:p>
    <w:p>
      <w:pPr>
        <w:numPr>
          <w:ilvl w:val="0"/>
          <w:numId w:val="1010"/>
        </w:numPr>
      </w:pPr>
      <w:r>
        <w:t xml:space="preserve">AL, AH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Кондратьев Арсений Вячеславович</dc:creator>
  <dc:language>ru-RU</dc:language>
  <cp:keywords/>
  <dcterms:created xsi:type="dcterms:W3CDTF">2022-10-04T20:01:47Z</dcterms:created>
  <dcterms:modified xsi:type="dcterms:W3CDTF">2022-10-04T20:01:47Z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04.10.2022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>Российский университет дружбы народов, Москва, Россия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