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07.10.2022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Реализовал пример программы с использованием вызова подпрограммы(рис.1)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Реализовал программу вывода сообщения Hello world! и проверил работу программы, запустив ее в оболочке GDB с помощью команды run</w:t>
      </w:r>
      <w:r>
        <w:t xml:space="preserve"> </w:t>
      </w:r>
      <w:r>
        <w:t xml:space="preserve">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Установил брейкпоинт на метку _start 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Посмотрел дисассимилированный код программы(рис.4)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Переключился на отображение команд с Intel’овским синтаксисом(рис.5)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Посмотрел значение переменной msg2 по адресу и изменил значение ячейки памяти(рис.6)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7"/>
        </w:numPr>
        <w:pStyle w:val="Compact"/>
      </w:pPr>
      <w:r>
        <w:t xml:space="preserve">Заменил символ во второй переменной msg2(рис.7)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Figure 7: Рис. 7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8"/>
        </w:numPr>
        <w:pStyle w:val="Compact"/>
      </w:pPr>
      <w:r>
        <w:t xml:space="preserve">Посмотрел количество аргументов командной строки(рис.8)</w:t>
      </w:r>
    </w:p>
    <w:p>
      <w:pPr>
        <w:pStyle w:val="CaptionedFigure"/>
      </w:pPr>
      <w:bookmarkStart w:id="52" w:name="fig:008"/>
      <w:r>
        <w:drawing>
          <wp:inline>
            <wp:extent cx="5334000" cy="4015567"/>
            <wp:effectExtent b="0" l="0" r="0" t="0"/>
            <wp:docPr descr="Figure 8: Рис. 8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Рис. 8</w:t>
      </w:r>
    </w:p>
    <w:p>
      <w:pPr>
        <w:numPr>
          <w:ilvl w:val="0"/>
          <w:numId w:val="1009"/>
        </w:numPr>
        <w:pStyle w:val="Compact"/>
      </w:pPr>
      <w:r>
        <w:t xml:space="preserve">Преобразовал программу из лабораторной работы №9, реализовав вычисление значения функции как подпрограмму(рис.9)(рис.10)</w:t>
      </w:r>
    </w:p>
    <w:p>
      <w:pPr>
        <w:pStyle w:val="CaptionedFigure"/>
      </w:pPr>
      <w:bookmarkStart w:id="56" w:name="fig:009"/>
      <w:r>
        <w:drawing>
          <wp:inline>
            <wp:extent cx="5334000" cy="4165970"/>
            <wp:effectExtent b="0" l="0" r="0" t="0"/>
            <wp:docPr descr="Figure 9: Рис. 9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Рис. 9</w:t>
      </w:r>
    </w:p>
    <w:p>
      <w:pPr>
        <w:pStyle w:val="CaptionedFigure"/>
      </w:pPr>
      <w:bookmarkStart w:id="60" w:name="fig:010"/>
      <w:r>
        <w:drawing>
          <wp:inline>
            <wp:extent cx="5334000" cy="4015567"/>
            <wp:effectExtent b="0" l="0" r="0" t="0"/>
            <wp:docPr descr="Figure 10: Рис. 10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Рис. 10</w:t>
      </w:r>
    </w:p>
    <w:p>
      <w:pPr>
        <w:numPr>
          <w:ilvl w:val="0"/>
          <w:numId w:val="1010"/>
        </w:numPr>
        <w:pStyle w:val="Compact"/>
      </w:pPr>
      <w:r>
        <w:t xml:space="preserve">С помощью отладчика GDB, анализируя изменения значений регистров, определил ошибку и исправил ее(рис.11)(рис.12)(рис.13)</w:t>
      </w:r>
    </w:p>
    <w:p>
      <w:pPr>
        <w:pStyle w:val="CaptionedFigure"/>
      </w:pPr>
      <w:bookmarkStart w:id="64" w:name="fig:011"/>
      <w:r>
        <w:drawing>
          <wp:inline>
            <wp:extent cx="5334000" cy="4015567"/>
            <wp:effectExtent b="0" l="0" r="0" t="0"/>
            <wp:docPr descr="Figure 11: Рис. 11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Рис. 11</w:t>
      </w:r>
    </w:p>
    <w:p>
      <w:pPr>
        <w:pStyle w:val="CaptionedFigure"/>
      </w:pPr>
      <w:bookmarkStart w:id="68" w:name="fig:012"/>
      <w:r>
        <w:drawing>
          <wp:inline>
            <wp:extent cx="5334000" cy="4015567"/>
            <wp:effectExtent b="0" l="0" r="0" t="0"/>
            <wp:docPr descr="Figure 12: Рис. 12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Рис. 12</w:t>
      </w:r>
    </w:p>
    <w:p>
      <w:pPr>
        <w:pStyle w:val="CaptionedFigure"/>
      </w:pPr>
      <w:bookmarkStart w:id="72" w:name="fig:013"/>
      <w:r>
        <w:drawing>
          <wp:inline>
            <wp:extent cx="5334000" cy="4165970"/>
            <wp:effectExtent b="0" l="0" r="0" t="0"/>
            <wp:docPr descr="Figure 13: Рис. 13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Рис. 13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подпрограмм.</w:t>
      </w:r>
      <w:r>
        <w:t xml:space="preserve"> </w:t>
      </w:r>
      <w:r>
        <w:t xml:space="preserve">Познакомился с методами отладки при помощи GDB и его основными возможностями</w:t>
      </w:r>
    </w:p>
    <w:bookmarkEnd w:id="74"/>
    <w:bookmarkStart w:id="7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Инструкция call и инструкция ret</w:t>
      </w:r>
    </w:p>
    <w:p>
      <w:pPr>
        <w:numPr>
          <w:ilvl w:val="0"/>
          <w:numId w:val="1011"/>
        </w:numPr>
      </w:pPr>
      <w:r>
        <w:t xml:space="preserve">С помощью инструкции call и имени подпрограммы</w:t>
      </w:r>
    </w:p>
    <w:p>
      <w:pPr>
        <w:numPr>
          <w:ilvl w:val="0"/>
          <w:numId w:val="1011"/>
        </w:numPr>
      </w:pPr>
      <w:r>
        <w:t xml:space="preserve">Для вызова подпрограммы из основной программы используется инструкция</w:t>
      </w:r>
      <w:r>
        <w:t xml:space="preserve"> </w:t>
      </w:r>
      <w:r>
        <w:t xml:space="preserve">call, которая заносит адрес следующей инструкции в стек и загружает в регистр</w:t>
      </w:r>
      <w:r>
        <w:t xml:space="preserve"> </w:t>
      </w:r>
      <w:r>
        <w:t xml:space="preserve">eip адрес соответствующей подпрограммы. Подпрограмма завершается инструкцией ret, которая извлекает из стека</w:t>
      </w:r>
      <w:r>
        <w:t xml:space="preserve"> </w:t>
      </w:r>
      <w:r>
        <w:t xml:space="preserve">адрес, занесённый туда соответствующей инструкцией call, и заносит его в eip.</w:t>
      </w:r>
    </w:p>
    <w:p>
      <w:pPr>
        <w:numPr>
          <w:ilvl w:val="0"/>
          <w:numId w:val="1011"/>
        </w:numPr>
      </w:pPr>
      <w:r>
        <w:t xml:space="preserve">Операнд необязателен, но если он есть, то после того, как будет считан адрес возврата, из стека будет удалено столько байтов, сколько указано в операнде</w:t>
      </w:r>
    </w:p>
    <w:p>
      <w:pPr>
        <w:numPr>
          <w:ilvl w:val="0"/>
          <w:numId w:val="1011"/>
        </w:numPr>
      </w:pP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</w:t>
      </w:r>
      <w:r>
        <w:t xml:space="preserve"> </w:t>
      </w:r>
      <w:r>
        <w:t xml:space="preserve">и ускорить её исправление</w:t>
      </w:r>
    </w:p>
    <w:p>
      <w:pPr>
        <w:numPr>
          <w:ilvl w:val="0"/>
          <w:numId w:val="1011"/>
        </w:numPr>
      </w:pPr>
      <w:r>
        <w:t xml:space="preserve">В отладке можно видеть текущие(во время останова) значения регистров, их адреса.</w:t>
      </w:r>
      <w:r>
        <w:t xml:space="preserve"> </w:t>
      </w:r>
      <w:r>
        <w:t xml:space="preserve">С помощью GDB run</w:t>
      </w:r>
    </w:p>
    <w:p>
      <w:pPr>
        <w:numPr>
          <w:ilvl w:val="0"/>
          <w:numId w:val="1011"/>
        </w:numPr>
      </w:pPr>
      <w:r>
        <w:t xml:space="preserve">breakpoint - это преднамеренное прерывание выполнения программы, при котором выполняется вызов отладчика</w:t>
      </w:r>
      <w:r>
        <w:br/>
      </w:r>
      <w:r>
        <w:t xml:space="preserve">сheckpoint - снимок состояния программы</w:t>
      </w:r>
      <w:r>
        <w:br/>
      </w:r>
      <w:r>
        <w:t xml:space="preserve">Watchpoint - точка останова по данным. Срабатывает, когда меняется значение заданного выражения или переменной</w:t>
      </w:r>
      <w:r>
        <w:br/>
      </w:r>
      <w:r>
        <w:t xml:space="preserve">Catchpoint - специальная точка останова, которая срабатывает при достижении специального события, например, C++ исключения или загрузки библиотеки</w:t>
      </w:r>
      <w:r>
        <w:br/>
      </w:r>
      <w:r>
        <w:t xml:space="preserve">Call stack (стек вызовов) - хранит информацию об активных процедурах и функциях</w:t>
      </w:r>
    </w:p>
    <w:p>
      <w:pPr>
        <w:numPr>
          <w:ilvl w:val="0"/>
          <w:numId w:val="1011"/>
        </w:numPr>
      </w:pPr>
      <w:r>
        <w:t xml:space="preserve">disassemble - Посмотреть дизассемблированный код программы</w:t>
      </w:r>
      <w:r>
        <w:br/>
      </w:r>
      <w:r>
        <w:t xml:space="preserve">run - запуск в режиме отладки</w:t>
      </w:r>
      <w:r>
        <w:br/>
      </w:r>
      <w:r>
        <w:t xml:space="preserve">breakpoint - установить точку останова</w:t>
      </w:r>
      <w:r>
        <w:br/>
      </w:r>
      <w:r>
        <w:t xml:space="preserve">kill (сокращённо k) прекращает отладку программы</w:t>
      </w:r>
      <w:r>
        <w:br/>
      </w:r>
      <w:r>
        <w:t xml:space="preserve">next - переход к следующей точке останова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Кондратьев Арсений Вячеславович</dc:creator>
  <dc:language>ru-RU</dc:language>
  <cp:keywords/>
  <dcterms:created xsi:type="dcterms:W3CDTF">2022-10-07T10:09:41Z</dcterms:created>
  <dcterms:modified xsi:type="dcterms:W3CDTF">2022-10-07T10:09:41Z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07.10.2022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