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C46" w:rsidRDefault="006F6C46" w:rsidP="006F6C46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Инвестиционная деятельность предприятия</w:t>
      </w:r>
    </w:p>
    <w:p w:rsidR="006F6C46" w:rsidRDefault="006F6C46" w:rsidP="006F6C46">
      <w:pPr>
        <w:ind w:firstLine="709"/>
        <w:jc w:val="center"/>
        <w:rPr>
          <w:b/>
          <w:sz w:val="28"/>
          <w:szCs w:val="28"/>
        </w:rPr>
      </w:pPr>
    </w:p>
    <w:p w:rsidR="006F6C46" w:rsidRDefault="006F6C46" w:rsidP="006F6C46">
      <w:pPr>
        <w:pStyle w:val="2"/>
        <w:jc w:val="both"/>
        <w:rPr>
          <w:bCs/>
          <w:szCs w:val="28"/>
        </w:rPr>
      </w:pPr>
      <w:r>
        <w:rPr>
          <w:bCs/>
          <w:szCs w:val="28"/>
        </w:rPr>
        <w:t>.</w:t>
      </w:r>
      <w:r>
        <w:rPr>
          <w:bCs/>
          <w:szCs w:val="28"/>
        </w:rPr>
        <w:t xml:space="preserve"> Понятие   и   виды   инвестиций,   инвестиционная   политика </w:t>
      </w:r>
    </w:p>
    <w:p w:rsidR="006F6C46" w:rsidRDefault="006F6C46" w:rsidP="006F6C46">
      <w:pPr>
        <w:pStyle w:val="2"/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          пре</w:t>
      </w:r>
      <w:r>
        <w:rPr>
          <w:bCs/>
          <w:szCs w:val="28"/>
        </w:rPr>
        <w:t>д</w:t>
      </w:r>
      <w:r>
        <w:rPr>
          <w:bCs/>
          <w:szCs w:val="28"/>
        </w:rPr>
        <w:t>приятия</w:t>
      </w:r>
    </w:p>
    <w:p w:rsidR="006F6C46" w:rsidRDefault="006F6C46" w:rsidP="006F6C46">
      <w:pPr>
        <w:pStyle w:val="2"/>
        <w:ind w:firstLine="709"/>
        <w:jc w:val="left"/>
        <w:rPr>
          <w:b/>
        </w:rPr>
      </w:pPr>
    </w:p>
    <w:p w:rsidR="006F6C46" w:rsidRDefault="006F6C46" w:rsidP="006F6C46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Слово «инвестиция» происходит от латинского «инвест», что означ</w:t>
      </w:r>
      <w:r>
        <w:rPr>
          <w:szCs w:val="28"/>
        </w:rPr>
        <w:t>а</w:t>
      </w:r>
      <w:r>
        <w:rPr>
          <w:szCs w:val="28"/>
        </w:rPr>
        <w:t>ет вкладывать. На практике наиболее часто понятие «инвестиций» уп</w:t>
      </w:r>
      <w:r>
        <w:rPr>
          <w:szCs w:val="28"/>
        </w:rPr>
        <w:t>о</w:t>
      </w:r>
      <w:r>
        <w:rPr>
          <w:szCs w:val="28"/>
        </w:rPr>
        <w:t>требляется применительно к осуществлению каких-либо долговременных затрат со стороны предприятия. При этом предприятия могут осущест</w:t>
      </w:r>
      <w:r>
        <w:rPr>
          <w:szCs w:val="28"/>
        </w:rPr>
        <w:t>в</w:t>
      </w:r>
      <w:r>
        <w:rPr>
          <w:szCs w:val="28"/>
        </w:rPr>
        <w:t>лять инвестиции в производственную сферу, в сферу обращения, в фина</w:t>
      </w:r>
      <w:r>
        <w:rPr>
          <w:szCs w:val="28"/>
        </w:rPr>
        <w:t>н</w:t>
      </w:r>
      <w:r>
        <w:rPr>
          <w:szCs w:val="28"/>
        </w:rPr>
        <w:t>совую сферу.</w:t>
      </w:r>
    </w:p>
    <w:p w:rsidR="006F6C46" w:rsidRDefault="006F6C46" w:rsidP="006F6C46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Таким образом,</w:t>
      </w:r>
      <w:r>
        <w:rPr>
          <w:b/>
          <w:szCs w:val="28"/>
        </w:rPr>
        <w:t xml:space="preserve"> инвестиции</w:t>
      </w:r>
      <w:r>
        <w:rPr>
          <w:szCs w:val="28"/>
        </w:rPr>
        <w:t xml:space="preserve"> – денежные средства, ценные бумаги, иное имущество, в том числе имущественные права, иные права, имеющие денежную оценку, вкладываемые в объекты предпринимательской и (или) иной деятельности в целях получения прибыли и (или) достижения иного полезного эффекта.</w:t>
      </w:r>
    </w:p>
    <w:p w:rsidR="006F6C46" w:rsidRDefault="006F6C46" w:rsidP="006F6C46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Различают реальные (капитальные) и финансовые (портфельные) инвест</w:t>
      </w:r>
      <w:r>
        <w:rPr>
          <w:szCs w:val="28"/>
        </w:rPr>
        <w:t>и</w:t>
      </w:r>
      <w:r>
        <w:rPr>
          <w:szCs w:val="28"/>
        </w:rPr>
        <w:t>ции.</w:t>
      </w:r>
    </w:p>
    <w:p w:rsidR="006F6C46" w:rsidRDefault="006F6C46" w:rsidP="006F6C46">
      <w:pPr>
        <w:pStyle w:val="2"/>
        <w:ind w:right="-1" w:firstLine="709"/>
        <w:jc w:val="both"/>
        <w:rPr>
          <w:szCs w:val="28"/>
        </w:rPr>
      </w:pPr>
      <w:r>
        <w:rPr>
          <w:b/>
          <w:szCs w:val="28"/>
        </w:rPr>
        <w:t>Реальные инвестиции</w:t>
      </w:r>
      <w:r>
        <w:rPr>
          <w:szCs w:val="28"/>
        </w:rPr>
        <w:t xml:space="preserve"> – это вложения средств в физический кап</w:t>
      </w:r>
      <w:r>
        <w:rPr>
          <w:szCs w:val="28"/>
        </w:rPr>
        <w:t>и</w:t>
      </w:r>
      <w:r>
        <w:rPr>
          <w:szCs w:val="28"/>
        </w:rPr>
        <w:t>тал предприятий, например, в создание новых основных фондов, реко</w:t>
      </w:r>
      <w:r>
        <w:rPr>
          <w:szCs w:val="28"/>
        </w:rPr>
        <w:t>н</w:t>
      </w:r>
      <w:r>
        <w:rPr>
          <w:szCs w:val="28"/>
        </w:rPr>
        <w:t>струкцию старых фондов или техническое перевооружение производства.</w:t>
      </w:r>
    </w:p>
    <w:p w:rsidR="006F6C46" w:rsidRDefault="006F6C46" w:rsidP="006F6C46">
      <w:pPr>
        <w:pStyle w:val="2"/>
        <w:ind w:right="-1" w:firstLine="709"/>
        <w:jc w:val="both"/>
        <w:rPr>
          <w:szCs w:val="28"/>
        </w:rPr>
      </w:pPr>
      <w:r>
        <w:rPr>
          <w:b/>
          <w:szCs w:val="28"/>
        </w:rPr>
        <w:t>Финансовые инвестиции</w:t>
      </w:r>
      <w:r>
        <w:rPr>
          <w:szCs w:val="28"/>
        </w:rPr>
        <w:t xml:space="preserve"> – это вложения в покупку акций, ценных бумаг и использование иных финансовых инструментов в целях увелич</w:t>
      </w:r>
      <w:r>
        <w:rPr>
          <w:szCs w:val="28"/>
        </w:rPr>
        <w:t>е</w:t>
      </w:r>
      <w:r>
        <w:rPr>
          <w:szCs w:val="28"/>
        </w:rPr>
        <w:t>ния финансового капитала инвестора. Другой разновидностью финансовых инвестиций является покупка недвижимости (земельных участков), имущественных прав, лицензий, патентов, товарных знаков, других форм нематериальных активов в целях их перепродажи, сдачи в аренду и иного использования, приводящего к увеличению (сохранению) в течение опред</w:t>
      </w:r>
      <w:r>
        <w:rPr>
          <w:szCs w:val="28"/>
        </w:rPr>
        <w:t>е</w:t>
      </w:r>
      <w:r>
        <w:rPr>
          <w:szCs w:val="28"/>
        </w:rPr>
        <w:t>ленного промежутка времени первоначально вложенного (инвестирова</w:t>
      </w:r>
      <w:r>
        <w:rPr>
          <w:szCs w:val="28"/>
        </w:rPr>
        <w:t>н</w:t>
      </w:r>
      <w:r>
        <w:rPr>
          <w:szCs w:val="28"/>
        </w:rPr>
        <w:t>ного) капитала. Одной из форм инвестиций являются капитальные влож</w:t>
      </w:r>
      <w:r>
        <w:rPr>
          <w:szCs w:val="28"/>
        </w:rPr>
        <w:t>е</w:t>
      </w:r>
      <w:r>
        <w:rPr>
          <w:szCs w:val="28"/>
        </w:rPr>
        <w:t>ния. Правовые и экономические основы инвестиционной деятельности, осуществляемой в форме капитальных вложений определяет Федеральный закон "Об инвестиционной деятельности в Российской Федерации, ос</w:t>
      </w:r>
      <w:r>
        <w:rPr>
          <w:szCs w:val="28"/>
        </w:rPr>
        <w:t>у</w:t>
      </w:r>
      <w:r>
        <w:rPr>
          <w:szCs w:val="28"/>
        </w:rPr>
        <w:t>ществляемой в форме капитальных вложений" от 25 февраля 1999 г. № 39-ФЗ. Дадим основные определ</w:t>
      </w:r>
      <w:r>
        <w:rPr>
          <w:szCs w:val="28"/>
        </w:rPr>
        <w:t>е</w:t>
      </w:r>
      <w:r>
        <w:rPr>
          <w:szCs w:val="28"/>
        </w:rPr>
        <w:t>ния, предусмотренные этим законом.</w:t>
      </w:r>
    </w:p>
    <w:p w:rsidR="006F6C46" w:rsidRDefault="006F6C46" w:rsidP="006F6C46">
      <w:pPr>
        <w:pStyle w:val="2"/>
        <w:ind w:right="-1" w:firstLine="709"/>
        <w:jc w:val="both"/>
        <w:rPr>
          <w:szCs w:val="28"/>
        </w:rPr>
      </w:pPr>
      <w:r>
        <w:rPr>
          <w:b/>
          <w:szCs w:val="28"/>
        </w:rPr>
        <w:t>Инвестиционная деятельность</w:t>
      </w:r>
      <w:r>
        <w:rPr>
          <w:szCs w:val="28"/>
        </w:rPr>
        <w:t xml:space="preserve"> – вложение инвестиций и ос</w:t>
      </w:r>
      <w:r>
        <w:rPr>
          <w:szCs w:val="28"/>
        </w:rPr>
        <w:t>у</w:t>
      </w:r>
      <w:r>
        <w:rPr>
          <w:szCs w:val="28"/>
        </w:rPr>
        <w:t>ществление практических действий в целях получения прибыли и (или) достижения иного п</w:t>
      </w:r>
      <w:r>
        <w:rPr>
          <w:szCs w:val="28"/>
        </w:rPr>
        <w:t>о</w:t>
      </w:r>
      <w:r>
        <w:rPr>
          <w:szCs w:val="28"/>
        </w:rPr>
        <w:t>лезного эффекта.</w:t>
      </w:r>
    </w:p>
    <w:p w:rsidR="006F6C46" w:rsidRDefault="006F6C46" w:rsidP="006F6C46">
      <w:pPr>
        <w:pStyle w:val="2"/>
        <w:ind w:right="-1" w:firstLine="709"/>
        <w:jc w:val="both"/>
        <w:rPr>
          <w:szCs w:val="28"/>
        </w:rPr>
      </w:pPr>
      <w:r>
        <w:rPr>
          <w:b/>
          <w:szCs w:val="28"/>
        </w:rPr>
        <w:t>Капитальные вложения</w:t>
      </w:r>
      <w:r>
        <w:rPr>
          <w:szCs w:val="28"/>
        </w:rPr>
        <w:t xml:space="preserve"> – инвестиции в основной капитал (осно</w:t>
      </w:r>
      <w:r>
        <w:rPr>
          <w:szCs w:val="28"/>
        </w:rPr>
        <w:t>в</w:t>
      </w:r>
      <w:r>
        <w:rPr>
          <w:szCs w:val="28"/>
        </w:rPr>
        <w:t>ные сре</w:t>
      </w:r>
      <w:r>
        <w:rPr>
          <w:szCs w:val="28"/>
        </w:rPr>
        <w:t>д</w:t>
      </w:r>
      <w:r>
        <w:rPr>
          <w:szCs w:val="28"/>
        </w:rPr>
        <w:t>ства), в том числе затраты на новое строительство, расширение, реконструкцию и техническое перевооружение действующих предпри</w:t>
      </w:r>
      <w:r>
        <w:rPr>
          <w:szCs w:val="28"/>
        </w:rPr>
        <w:t>я</w:t>
      </w:r>
      <w:r>
        <w:rPr>
          <w:szCs w:val="28"/>
        </w:rPr>
        <w:t>тий, приобретение машин, оборудования, инструмента, инвентаря, проек</w:t>
      </w:r>
      <w:r>
        <w:rPr>
          <w:szCs w:val="28"/>
        </w:rPr>
        <w:t>т</w:t>
      </w:r>
      <w:r>
        <w:rPr>
          <w:szCs w:val="28"/>
        </w:rPr>
        <w:t>но-изыскательские работы и другие затраты.</w:t>
      </w:r>
    </w:p>
    <w:p w:rsidR="006F6C46" w:rsidRDefault="006F6C46" w:rsidP="006F6C46">
      <w:pPr>
        <w:pStyle w:val="2"/>
        <w:ind w:right="-1" w:firstLine="709"/>
        <w:jc w:val="both"/>
        <w:rPr>
          <w:szCs w:val="28"/>
        </w:rPr>
      </w:pPr>
      <w:r>
        <w:rPr>
          <w:b/>
          <w:szCs w:val="28"/>
        </w:rPr>
        <w:lastRenderedPageBreak/>
        <w:t>Инвестиционный проект</w:t>
      </w:r>
      <w:r>
        <w:rPr>
          <w:szCs w:val="28"/>
        </w:rPr>
        <w:t xml:space="preserve"> – обоснование экономической целесоо</w:t>
      </w:r>
      <w:r>
        <w:rPr>
          <w:szCs w:val="28"/>
        </w:rPr>
        <w:t>б</w:t>
      </w:r>
      <w:r>
        <w:rPr>
          <w:szCs w:val="28"/>
        </w:rPr>
        <w:t>разности, объема и сроков осуществления капитальных вложений, в том числе необходимая проектно-сметная документация, разработанная в соответствии с законодательс</w:t>
      </w:r>
      <w:r>
        <w:rPr>
          <w:szCs w:val="28"/>
        </w:rPr>
        <w:t>т</w:t>
      </w:r>
      <w:r>
        <w:rPr>
          <w:szCs w:val="28"/>
        </w:rPr>
        <w:t>вом Российской Федерации и утвержденными в установленном порядке стандартами (нормами и правилами), а также описание практических действий по осущест</w:t>
      </w:r>
      <w:r>
        <w:rPr>
          <w:szCs w:val="28"/>
        </w:rPr>
        <w:t>в</w:t>
      </w:r>
      <w:r>
        <w:rPr>
          <w:szCs w:val="28"/>
        </w:rPr>
        <w:t>лению инвестиций (бизнес-план).</w:t>
      </w:r>
    </w:p>
    <w:p w:rsidR="006F6C46" w:rsidRDefault="006F6C46" w:rsidP="006F6C46">
      <w:pPr>
        <w:pStyle w:val="2"/>
        <w:ind w:right="-1" w:firstLine="709"/>
        <w:jc w:val="both"/>
        <w:rPr>
          <w:szCs w:val="28"/>
        </w:rPr>
      </w:pPr>
      <w:r>
        <w:rPr>
          <w:b/>
          <w:szCs w:val="28"/>
        </w:rPr>
        <w:t>Объектами капитальных вложений</w:t>
      </w:r>
      <w:r>
        <w:rPr>
          <w:szCs w:val="28"/>
        </w:rPr>
        <w:t xml:space="preserve"> в РФ являются находящиеся в частной, государственной, муниципальной и иных формах собственности различные виды вновь создаваемого и (или) модернизируемого имущества.</w:t>
      </w:r>
    </w:p>
    <w:p w:rsidR="006F6C46" w:rsidRDefault="006F6C46" w:rsidP="006F6C46">
      <w:pPr>
        <w:ind w:right="-1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Субъектами инвестиционной деятельности</w:t>
      </w:r>
      <w:r>
        <w:rPr>
          <w:sz w:val="28"/>
          <w:szCs w:val="28"/>
        </w:rPr>
        <w:t>, осуществляемой в форме капитальных вложений, являются инвесторы, заказчики, подрядч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ки, пользователи объектов капитальных вложений и другие лица.</w:t>
      </w:r>
    </w:p>
    <w:p w:rsidR="006F6C46" w:rsidRDefault="006F6C46" w:rsidP="006F6C46">
      <w:pPr>
        <w:ind w:right="-1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Инвесторы</w:t>
      </w:r>
      <w:r>
        <w:rPr>
          <w:sz w:val="28"/>
          <w:szCs w:val="28"/>
        </w:rPr>
        <w:t xml:space="preserve"> осуществляют капитальные вложения с использованием собс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венных и (или) привлеченных средств. Ими могут быть физические и юридические лица, государственные органы, органы местного самоуправления, а также ин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странные субъекты предпринимательской деятельности.</w:t>
      </w:r>
    </w:p>
    <w:p w:rsidR="006F6C46" w:rsidRDefault="006F6C46" w:rsidP="006F6C46">
      <w:pPr>
        <w:ind w:right="-1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Заказчики</w:t>
      </w:r>
      <w:r>
        <w:rPr>
          <w:sz w:val="28"/>
          <w:szCs w:val="28"/>
        </w:rPr>
        <w:t xml:space="preserve"> – уполномоченные на то инвесторами физические и юридические лица, которые осуществляют реализацию инвестиционных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ектов. При этом они не вмешиваются в предпринимательскую и (или) иную деятельность других субъектов инвестиционной деятельности.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казчиками могут быть инвесторы.</w:t>
      </w:r>
    </w:p>
    <w:p w:rsidR="006F6C46" w:rsidRDefault="006F6C46" w:rsidP="006F6C46">
      <w:pPr>
        <w:ind w:right="-1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Подрядчики</w:t>
      </w:r>
      <w:r>
        <w:rPr>
          <w:sz w:val="28"/>
          <w:szCs w:val="28"/>
        </w:rPr>
        <w:t xml:space="preserve"> – физические и юридические лица, которые выполняют работы по договору подряда и (или) государственному контракту, заключаемыми с заказчиками в соответствии с законодательством РФ. Подря</w:t>
      </w:r>
      <w:r>
        <w:rPr>
          <w:sz w:val="28"/>
          <w:szCs w:val="28"/>
        </w:rPr>
        <w:t>д</w:t>
      </w:r>
      <w:r>
        <w:rPr>
          <w:sz w:val="28"/>
          <w:szCs w:val="28"/>
        </w:rPr>
        <w:t>чики должны иметь лицензию на осуществление ими тех видов деятельности, которые подлежат лицензир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ванию.</w:t>
      </w:r>
    </w:p>
    <w:p w:rsidR="006F6C46" w:rsidRDefault="006F6C46" w:rsidP="006F6C46">
      <w:pPr>
        <w:ind w:right="-1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Пользователи объектов капитальных вложений</w:t>
      </w:r>
      <w:r>
        <w:rPr>
          <w:sz w:val="28"/>
          <w:szCs w:val="28"/>
        </w:rPr>
        <w:t xml:space="preserve"> – физические и юридические лица, в том числе иностранные, а также государственные органы, органы местного самоуправления, иностранные государства, межд</w:t>
      </w:r>
      <w:r>
        <w:rPr>
          <w:sz w:val="28"/>
          <w:szCs w:val="28"/>
        </w:rPr>
        <w:t>у</w:t>
      </w:r>
      <w:r>
        <w:rPr>
          <w:sz w:val="28"/>
          <w:szCs w:val="28"/>
        </w:rPr>
        <w:t>народные объединения и организации, для которых создаются объекты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питальных вложений.</w:t>
      </w:r>
    </w:p>
    <w:p w:rsidR="006F6C46" w:rsidRDefault="006F6C46" w:rsidP="006F6C46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Отношения между субъектами инвестиционной деятельности осуществляю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ся на основе договора и (или) государственного контракта. </w:t>
      </w:r>
    </w:p>
    <w:p w:rsidR="006F6C46" w:rsidRDefault="006F6C46" w:rsidP="006F6C46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Основной целью осуществления инвестиций является получение дохода и выгоды. При этом под выгодой необходимо понимать не только получение предприятием дополнительной прибыли, но и сохранение достигнутого уровня рент</w:t>
      </w:r>
      <w:r>
        <w:rPr>
          <w:szCs w:val="28"/>
        </w:rPr>
        <w:t>а</w:t>
      </w:r>
      <w:r>
        <w:rPr>
          <w:szCs w:val="28"/>
        </w:rPr>
        <w:t>бельности, снижение возможных убытков, расширение круга потребителей продукции, расширение имеющихся и завоевание н</w:t>
      </w:r>
      <w:r>
        <w:rPr>
          <w:szCs w:val="28"/>
        </w:rPr>
        <w:t>о</w:t>
      </w:r>
      <w:r>
        <w:rPr>
          <w:szCs w:val="28"/>
        </w:rPr>
        <w:t>вых рынков сбыта продукции и т. п.</w:t>
      </w:r>
    </w:p>
    <w:p w:rsidR="006F6C46" w:rsidRDefault="006F6C46" w:rsidP="006F6C46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 xml:space="preserve">Источники финансовых средств для инвестиций могут быть как собственными (внутренними), так и внешними. </w:t>
      </w:r>
      <w:r>
        <w:rPr>
          <w:b/>
          <w:bCs/>
          <w:iCs/>
          <w:szCs w:val="28"/>
        </w:rPr>
        <w:t>Собственные источники инвестиций</w:t>
      </w:r>
      <w:r>
        <w:rPr>
          <w:i/>
          <w:szCs w:val="28"/>
        </w:rPr>
        <w:t xml:space="preserve"> </w:t>
      </w:r>
      <w:r>
        <w:rPr>
          <w:szCs w:val="28"/>
        </w:rPr>
        <w:t>формируются за счет амортизационных отчислений по действ</w:t>
      </w:r>
      <w:r>
        <w:rPr>
          <w:szCs w:val="28"/>
        </w:rPr>
        <w:t>у</w:t>
      </w:r>
      <w:r>
        <w:rPr>
          <w:szCs w:val="28"/>
        </w:rPr>
        <w:t xml:space="preserve">ющим основным фондам, отчислений от прибыли. </w:t>
      </w:r>
      <w:r>
        <w:rPr>
          <w:b/>
          <w:bCs/>
          <w:iCs/>
          <w:szCs w:val="28"/>
        </w:rPr>
        <w:t xml:space="preserve">Внешние </w:t>
      </w:r>
      <w:r>
        <w:rPr>
          <w:b/>
          <w:bCs/>
          <w:iCs/>
          <w:szCs w:val="28"/>
        </w:rPr>
        <w:lastRenderedPageBreak/>
        <w:t>источники инв</w:t>
      </w:r>
      <w:r>
        <w:rPr>
          <w:b/>
          <w:bCs/>
          <w:iCs/>
          <w:szCs w:val="28"/>
        </w:rPr>
        <w:t>е</w:t>
      </w:r>
      <w:r>
        <w:rPr>
          <w:b/>
          <w:bCs/>
          <w:iCs/>
          <w:szCs w:val="28"/>
        </w:rPr>
        <w:t>стиций</w:t>
      </w:r>
      <w:r>
        <w:rPr>
          <w:i/>
          <w:szCs w:val="28"/>
        </w:rPr>
        <w:t xml:space="preserve"> </w:t>
      </w:r>
      <w:r>
        <w:rPr>
          <w:szCs w:val="28"/>
        </w:rPr>
        <w:t>формируются в основном за счет заемных средств (кредитов) банков, внебюджетных фондов инвестиционной поддержки, инвестицио</w:t>
      </w:r>
      <w:r>
        <w:rPr>
          <w:szCs w:val="28"/>
        </w:rPr>
        <w:t>н</w:t>
      </w:r>
      <w:r>
        <w:rPr>
          <w:szCs w:val="28"/>
        </w:rPr>
        <w:t>ных фондов и компаний, страховых обществ и пенсионных фондов, а та</w:t>
      </w:r>
      <w:r>
        <w:rPr>
          <w:szCs w:val="28"/>
        </w:rPr>
        <w:t>к</w:t>
      </w:r>
      <w:r>
        <w:rPr>
          <w:szCs w:val="28"/>
        </w:rPr>
        <w:t>же за счет эмиссии собственных акций или иных ценных бумаг и размещ</w:t>
      </w:r>
      <w:r>
        <w:rPr>
          <w:szCs w:val="28"/>
        </w:rPr>
        <w:t>е</w:t>
      </w:r>
      <w:r>
        <w:rPr>
          <w:szCs w:val="28"/>
        </w:rPr>
        <w:t>ния их на соответствующих рынках.</w:t>
      </w:r>
    </w:p>
    <w:p w:rsidR="006F6C46" w:rsidRDefault="006F6C46" w:rsidP="006F6C46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Направления инвестиционной политики предприятия могут быть очень ра</w:t>
      </w:r>
      <w:r>
        <w:rPr>
          <w:szCs w:val="28"/>
        </w:rPr>
        <w:t>з</w:t>
      </w:r>
      <w:r>
        <w:rPr>
          <w:szCs w:val="28"/>
        </w:rPr>
        <w:t>нообразными. Вместе с тем, наиболее важным для предприятий является инвестирование в его материальную сферу, как наиболее наде</w:t>
      </w:r>
      <w:r>
        <w:rPr>
          <w:szCs w:val="28"/>
        </w:rPr>
        <w:t>ж</w:t>
      </w:r>
      <w:r>
        <w:rPr>
          <w:szCs w:val="28"/>
        </w:rPr>
        <w:t xml:space="preserve">ное и перспективное. Поэтому к </w:t>
      </w:r>
      <w:r>
        <w:rPr>
          <w:b/>
          <w:szCs w:val="28"/>
        </w:rPr>
        <w:t>основным направлениям инвестицио</w:t>
      </w:r>
      <w:r>
        <w:rPr>
          <w:b/>
          <w:szCs w:val="28"/>
        </w:rPr>
        <w:t>н</w:t>
      </w:r>
      <w:r>
        <w:rPr>
          <w:b/>
          <w:szCs w:val="28"/>
        </w:rPr>
        <w:t>ной политики</w:t>
      </w:r>
      <w:r>
        <w:rPr>
          <w:szCs w:val="28"/>
        </w:rPr>
        <w:t xml:space="preserve"> предприятия мо</w:t>
      </w:r>
      <w:r>
        <w:rPr>
          <w:szCs w:val="28"/>
        </w:rPr>
        <w:t>ж</w:t>
      </w:r>
      <w:r>
        <w:rPr>
          <w:szCs w:val="28"/>
        </w:rPr>
        <w:t>но отнести следующие:</w:t>
      </w:r>
    </w:p>
    <w:p w:rsidR="006F6C46" w:rsidRDefault="006F6C46" w:rsidP="006F6C46">
      <w:pPr>
        <w:pStyle w:val="2"/>
        <w:ind w:right="-1" w:firstLine="709"/>
        <w:jc w:val="both"/>
        <w:rPr>
          <w:szCs w:val="28"/>
        </w:rPr>
      </w:pPr>
      <w:r>
        <w:rPr>
          <w:i/>
          <w:szCs w:val="28"/>
        </w:rPr>
        <w:t>1. Инвестиции, направляемые на повышение эффективности деятельности предприятия.</w:t>
      </w:r>
      <w:r>
        <w:rPr>
          <w:szCs w:val="28"/>
        </w:rPr>
        <w:t xml:space="preserve"> Целью этих инвестиций является создание  условий для снижения текущих затрат на производство и реализацию проду</w:t>
      </w:r>
      <w:r>
        <w:rPr>
          <w:szCs w:val="28"/>
        </w:rPr>
        <w:t>к</w:t>
      </w:r>
      <w:r>
        <w:rPr>
          <w:szCs w:val="28"/>
        </w:rPr>
        <w:t>ции за счет замены устаревшего оборудования, переобучения персонала или перемещения производственных мощностей в регионы с более выгодными усл</w:t>
      </w:r>
      <w:r>
        <w:rPr>
          <w:szCs w:val="28"/>
        </w:rPr>
        <w:t>о</w:t>
      </w:r>
      <w:r>
        <w:rPr>
          <w:szCs w:val="28"/>
        </w:rPr>
        <w:t xml:space="preserve">виями производства и сбыта. </w:t>
      </w:r>
    </w:p>
    <w:p w:rsidR="006F6C46" w:rsidRDefault="006F6C46" w:rsidP="006F6C46">
      <w:pPr>
        <w:pStyle w:val="2"/>
        <w:tabs>
          <w:tab w:val="num" w:pos="0"/>
        </w:tabs>
        <w:ind w:right="-1"/>
        <w:jc w:val="both"/>
        <w:rPr>
          <w:szCs w:val="28"/>
        </w:rPr>
      </w:pPr>
      <w:r>
        <w:rPr>
          <w:i/>
          <w:szCs w:val="28"/>
        </w:rPr>
        <w:tab/>
        <w:t xml:space="preserve">2.  Инвестиции в расширение производства. </w:t>
      </w:r>
      <w:r>
        <w:rPr>
          <w:szCs w:val="28"/>
        </w:rPr>
        <w:t>Цель подобных инвестиций состоит в расширении объемов выпуска продукции (работ, у</w:t>
      </w:r>
      <w:r>
        <w:rPr>
          <w:szCs w:val="28"/>
        </w:rPr>
        <w:t>с</w:t>
      </w:r>
      <w:r>
        <w:rPr>
          <w:szCs w:val="28"/>
        </w:rPr>
        <w:t>луг) для уже сформировавшихся рынков в рамках существующих производств.</w:t>
      </w:r>
    </w:p>
    <w:p w:rsidR="006F6C46" w:rsidRDefault="006F6C46" w:rsidP="006F6C46">
      <w:pPr>
        <w:pStyle w:val="2"/>
        <w:tabs>
          <w:tab w:val="num" w:pos="0"/>
        </w:tabs>
        <w:ind w:right="-1"/>
        <w:jc w:val="both"/>
        <w:rPr>
          <w:szCs w:val="28"/>
        </w:rPr>
      </w:pPr>
      <w:r>
        <w:rPr>
          <w:i/>
          <w:szCs w:val="28"/>
        </w:rPr>
        <w:tab/>
        <w:t>3. Инвестиции в создание новых производств.</w:t>
      </w:r>
      <w:r>
        <w:rPr>
          <w:szCs w:val="28"/>
        </w:rPr>
        <w:t xml:space="preserve"> Подобные инвест</w:t>
      </w:r>
      <w:r>
        <w:rPr>
          <w:szCs w:val="28"/>
        </w:rPr>
        <w:t>и</w:t>
      </w:r>
      <w:r>
        <w:rPr>
          <w:szCs w:val="28"/>
        </w:rPr>
        <w:t>ции  используются для реализации стратегии диверсификации производс</w:t>
      </w:r>
      <w:r>
        <w:rPr>
          <w:szCs w:val="28"/>
        </w:rPr>
        <w:t>т</w:t>
      </w:r>
      <w:r>
        <w:rPr>
          <w:szCs w:val="28"/>
        </w:rPr>
        <w:t>ва, т. е. для создания совершенно новых технологий для выпуска продукции (р</w:t>
      </w:r>
      <w:r>
        <w:rPr>
          <w:szCs w:val="28"/>
        </w:rPr>
        <w:t>а</w:t>
      </w:r>
      <w:r>
        <w:rPr>
          <w:szCs w:val="28"/>
        </w:rPr>
        <w:t>бот, услуг), ранее данным предприятием не производивши</w:t>
      </w:r>
      <w:r>
        <w:rPr>
          <w:szCs w:val="28"/>
        </w:rPr>
        <w:t>х</w:t>
      </w:r>
      <w:r>
        <w:rPr>
          <w:szCs w:val="28"/>
        </w:rPr>
        <w:t>ся.</w:t>
      </w:r>
    </w:p>
    <w:p w:rsidR="006F6C46" w:rsidRDefault="006F6C46" w:rsidP="006F6C46">
      <w:pPr>
        <w:pStyle w:val="2"/>
        <w:ind w:right="-1" w:firstLine="720"/>
        <w:jc w:val="both"/>
        <w:rPr>
          <w:szCs w:val="28"/>
        </w:rPr>
      </w:pPr>
      <w:r>
        <w:rPr>
          <w:i/>
          <w:szCs w:val="28"/>
        </w:rPr>
        <w:t>4. Инвестиции для удовлетворения требований государственных органов управления.</w:t>
      </w:r>
      <w:r>
        <w:rPr>
          <w:szCs w:val="28"/>
        </w:rPr>
        <w:t xml:space="preserve"> Целью этих инвестиций является создание у</w:t>
      </w:r>
      <w:r>
        <w:rPr>
          <w:szCs w:val="28"/>
        </w:rPr>
        <w:t>с</w:t>
      </w:r>
      <w:r>
        <w:rPr>
          <w:szCs w:val="28"/>
        </w:rPr>
        <w:t>ловий для выполнения экологических норм, стандартов безопа</w:t>
      </w:r>
      <w:r>
        <w:rPr>
          <w:szCs w:val="28"/>
        </w:rPr>
        <w:t>с</w:t>
      </w:r>
      <w:r>
        <w:rPr>
          <w:szCs w:val="28"/>
        </w:rPr>
        <w:t>ности и т. п.</w:t>
      </w:r>
    </w:p>
    <w:p w:rsidR="006F6C46" w:rsidRDefault="006F6C46" w:rsidP="006F6C46">
      <w:pPr>
        <w:pStyle w:val="2"/>
        <w:ind w:right="-1" w:firstLine="720"/>
        <w:jc w:val="both"/>
        <w:rPr>
          <w:szCs w:val="28"/>
        </w:rPr>
      </w:pPr>
      <w:r>
        <w:rPr>
          <w:szCs w:val="28"/>
        </w:rPr>
        <w:t>С точки зрения конечных целей возможны два типа инвестиционной страт</w:t>
      </w:r>
      <w:r>
        <w:rPr>
          <w:szCs w:val="28"/>
        </w:rPr>
        <w:t>е</w:t>
      </w:r>
      <w:r>
        <w:rPr>
          <w:szCs w:val="28"/>
        </w:rPr>
        <w:t>гии предприятия:</w:t>
      </w:r>
    </w:p>
    <w:p w:rsidR="006F6C46" w:rsidRDefault="006F6C46" w:rsidP="006F6C46">
      <w:pPr>
        <w:pStyle w:val="2"/>
        <w:ind w:right="-1" w:firstLine="709"/>
        <w:jc w:val="both"/>
        <w:rPr>
          <w:szCs w:val="28"/>
        </w:rPr>
      </w:pPr>
      <w:r>
        <w:rPr>
          <w:b/>
          <w:szCs w:val="28"/>
        </w:rPr>
        <w:t>- стратегия пассивных инвестиций</w:t>
      </w:r>
      <w:r>
        <w:rPr>
          <w:szCs w:val="28"/>
        </w:rPr>
        <w:t>, которые обеспечивают сохр</w:t>
      </w:r>
      <w:r>
        <w:rPr>
          <w:szCs w:val="28"/>
        </w:rPr>
        <w:t>а</w:t>
      </w:r>
      <w:r>
        <w:rPr>
          <w:szCs w:val="28"/>
        </w:rPr>
        <w:t>нение величины показателей прибыльности предприятия;</w:t>
      </w:r>
    </w:p>
    <w:p w:rsidR="006F6C46" w:rsidRDefault="006F6C46" w:rsidP="006F6C46">
      <w:pPr>
        <w:pStyle w:val="2"/>
        <w:ind w:right="-1" w:firstLine="709"/>
        <w:jc w:val="both"/>
        <w:rPr>
          <w:szCs w:val="28"/>
        </w:rPr>
      </w:pPr>
      <w:r>
        <w:rPr>
          <w:b/>
          <w:szCs w:val="28"/>
        </w:rPr>
        <w:t>- стратегия активных инвестиций</w:t>
      </w:r>
      <w:r>
        <w:rPr>
          <w:szCs w:val="28"/>
        </w:rPr>
        <w:t>, которые обеспечивают повышение конкурентоспособности предприятия и прибыльности его деятел</w:t>
      </w:r>
      <w:r>
        <w:rPr>
          <w:szCs w:val="28"/>
        </w:rPr>
        <w:t>ь</w:t>
      </w:r>
      <w:r>
        <w:rPr>
          <w:szCs w:val="28"/>
        </w:rPr>
        <w:t>ности по сравнению с уже достигнутым уровнем.</w:t>
      </w:r>
    </w:p>
    <w:p w:rsidR="006F6C46" w:rsidRDefault="006F6C46" w:rsidP="006F6C46">
      <w:pPr>
        <w:pStyle w:val="2"/>
        <w:ind w:right="-1" w:firstLine="720"/>
        <w:jc w:val="both"/>
        <w:rPr>
          <w:szCs w:val="28"/>
        </w:rPr>
      </w:pPr>
      <w:r>
        <w:rPr>
          <w:szCs w:val="28"/>
        </w:rPr>
        <w:t>Реализация инвестиционной стратегии предприятия требует разр</w:t>
      </w:r>
      <w:r>
        <w:rPr>
          <w:szCs w:val="28"/>
        </w:rPr>
        <w:t>а</w:t>
      </w:r>
      <w:r>
        <w:rPr>
          <w:szCs w:val="28"/>
        </w:rPr>
        <w:t>ботки и обоснования инвестиционного проекта. Инвестиционные проекты могут классиф</w:t>
      </w:r>
      <w:r>
        <w:rPr>
          <w:szCs w:val="28"/>
        </w:rPr>
        <w:t>и</w:t>
      </w:r>
      <w:r>
        <w:rPr>
          <w:szCs w:val="28"/>
        </w:rPr>
        <w:t>цироваться по разным признакам:</w:t>
      </w:r>
    </w:p>
    <w:p w:rsidR="006F6C46" w:rsidRDefault="006F6C46" w:rsidP="006F6C46">
      <w:pPr>
        <w:pStyle w:val="2"/>
        <w:ind w:left="720" w:right="-1054"/>
        <w:jc w:val="both"/>
        <w:rPr>
          <w:szCs w:val="28"/>
        </w:rPr>
      </w:pPr>
      <w:r>
        <w:rPr>
          <w:szCs w:val="28"/>
        </w:rPr>
        <w:t xml:space="preserve">- по масштабам инвестирования (малые, средние, крупные); </w:t>
      </w:r>
    </w:p>
    <w:p w:rsidR="006F6C46" w:rsidRDefault="006F6C46" w:rsidP="006F6C46">
      <w:pPr>
        <w:pStyle w:val="2"/>
        <w:ind w:left="720" w:right="-1054"/>
        <w:jc w:val="both"/>
        <w:rPr>
          <w:szCs w:val="28"/>
        </w:rPr>
      </w:pPr>
      <w:r>
        <w:rPr>
          <w:szCs w:val="28"/>
        </w:rPr>
        <w:t>- по степени интенсивности вложения средств;</w:t>
      </w:r>
    </w:p>
    <w:p w:rsidR="006F6C46" w:rsidRDefault="006F6C46" w:rsidP="006F6C46">
      <w:pPr>
        <w:pStyle w:val="2"/>
        <w:ind w:left="720" w:right="-1054"/>
        <w:jc w:val="both"/>
        <w:rPr>
          <w:szCs w:val="28"/>
        </w:rPr>
      </w:pPr>
      <w:r>
        <w:rPr>
          <w:szCs w:val="28"/>
        </w:rPr>
        <w:t>- по способам расчетов и инвесторами;</w:t>
      </w:r>
    </w:p>
    <w:p w:rsidR="006F6C46" w:rsidRDefault="006F6C46" w:rsidP="006F6C46">
      <w:pPr>
        <w:pStyle w:val="2"/>
        <w:ind w:left="720" w:right="-1054"/>
        <w:jc w:val="both"/>
        <w:rPr>
          <w:szCs w:val="28"/>
        </w:rPr>
      </w:pPr>
      <w:r>
        <w:rPr>
          <w:szCs w:val="28"/>
        </w:rPr>
        <w:t>- по степени риска и т.д.</w:t>
      </w:r>
    </w:p>
    <w:p w:rsidR="006F6C46" w:rsidRDefault="006F6C46" w:rsidP="006F6C46">
      <w:pPr>
        <w:pStyle w:val="2"/>
        <w:ind w:left="720" w:right="-1054"/>
        <w:jc w:val="both"/>
        <w:rPr>
          <w:szCs w:val="28"/>
        </w:rPr>
      </w:pPr>
    </w:p>
    <w:p w:rsidR="006F6C46" w:rsidRDefault="006F6C46" w:rsidP="006F6C46">
      <w:pPr>
        <w:pStyle w:val="2"/>
        <w:ind w:right="-1" w:firstLine="709"/>
        <w:jc w:val="both"/>
        <w:rPr>
          <w:szCs w:val="28"/>
        </w:rPr>
      </w:pPr>
      <w:r>
        <w:rPr>
          <w:szCs w:val="28"/>
        </w:rPr>
        <w:t>11.2.  Оценка эффективности инвестиционных проектов</w:t>
      </w:r>
    </w:p>
    <w:p w:rsidR="006F6C46" w:rsidRDefault="006F6C46" w:rsidP="006F6C46">
      <w:pPr>
        <w:pStyle w:val="a3"/>
        <w:ind w:right="-1054"/>
        <w:rPr>
          <w:sz w:val="28"/>
          <w:szCs w:val="28"/>
        </w:rPr>
      </w:pP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lastRenderedPageBreak/>
        <w:t>Для оценки эффективности инвестиционного проекта используют следующие показатели:</w:t>
      </w: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t>- чистая текущая стоимость (ЧТС) или интегральный эффект;</w:t>
      </w: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t>- чистая дисконтированная текущая стоимость (ЧДТС);</w:t>
      </w: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t>- индекс доходности (ИД);</w:t>
      </w: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t>- внутренняя норма доходности (ВНД) и другие показатели, учитывающие сп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цифику проекта.</w:t>
      </w: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t>Оценка предстоящих результатов и затрат при определении эффе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тивности инвестиционного проекта осуществляется в пределах расчетного периода (горизонта расчета). Горизонт расчета измеряется количеством шагов расчета. Шагом расчета при определении показателей эффективности в пределах расчетного периода м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гут быть: месяц, квартал или год.</w:t>
      </w: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b/>
          <w:bCs/>
          <w:sz w:val="28"/>
          <w:szCs w:val="28"/>
        </w:rPr>
        <w:t>Чистая текущая стоимость</w:t>
      </w:r>
      <w:r>
        <w:rPr>
          <w:sz w:val="28"/>
          <w:szCs w:val="28"/>
        </w:rPr>
        <w:t xml:space="preserve"> представляет собой оценку сегодня</w:t>
      </w:r>
      <w:r>
        <w:rPr>
          <w:sz w:val="28"/>
          <w:szCs w:val="28"/>
        </w:rPr>
        <w:t>ш</w:t>
      </w:r>
      <w:r>
        <w:rPr>
          <w:sz w:val="28"/>
          <w:szCs w:val="28"/>
        </w:rPr>
        <w:t>ней стоимости потока будущего дохода и определяется как сумма текущих э</w:t>
      </w:r>
      <w:r>
        <w:rPr>
          <w:sz w:val="28"/>
          <w:szCs w:val="28"/>
        </w:rPr>
        <w:t>ф</w:t>
      </w:r>
      <w:r>
        <w:rPr>
          <w:sz w:val="28"/>
          <w:szCs w:val="28"/>
        </w:rPr>
        <w:t>фектов за весь расчетный период, приведенная к начальному шагу, или как превышение инт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гральных результатов над интегральными затратами:</w:t>
      </w:r>
    </w:p>
    <w:p w:rsidR="006F6C46" w:rsidRDefault="006F6C46" w:rsidP="006F6C46">
      <w:pPr>
        <w:pStyle w:val="a3"/>
        <w:ind w:right="-1054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Т</w:t>
      </w:r>
    </w:p>
    <w:p w:rsidR="006F6C46" w:rsidRDefault="006F6C46" w:rsidP="006F6C46">
      <w:pPr>
        <w:pStyle w:val="a3"/>
        <w:ind w:left="2160" w:right="-1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ЧТС = SUM  (Пi – Зi),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(87.)</w:t>
      </w:r>
    </w:p>
    <w:p w:rsidR="006F6C46" w:rsidRDefault="006F6C46" w:rsidP="006F6C46">
      <w:pPr>
        <w:pStyle w:val="a3"/>
        <w:ind w:right="-1054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i = 0</w:t>
      </w:r>
    </w:p>
    <w:p w:rsidR="006F6C46" w:rsidRDefault="006F6C46" w:rsidP="006F6C46">
      <w:pPr>
        <w:pStyle w:val="a3"/>
        <w:ind w:right="-1" w:firstLine="0"/>
        <w:rPr>
          <w:sz w:val="28"/>
          <w:szCs w:val="28"/>
        </w:rPr>
      </w:pPr>
      <w:r>
        <w:rPr>
          <w:sz w:val="28"/>
          <w:szCs w:val="28"/>
        </w:rPr>
        <w:t>где sum – обозначение  суммы; Пi  - результаты, достигаемые на i-том ш</w:t>
      </w:r>
      <w:r>
        <w:rPr>
          <w:sz w:val="28"/>
          <w:szCs w:val="28"/>
        </w:rPr>
        <w:t>а</w:t>
      </w:r>
      <w:r>
        <w:rPr>
          <w:sz w:val="28"/>
          <w:szCs w:val="28"/>
        </w:rPr>
        <w:t>ге расчета (стоимость реализованной продукции); Зi - затраты, осуществля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мые на i-том шаге; Т   - горизонт расчета.</w:t>
      </w: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t>В свою очередь, затраты исчисляются по формуле:</w:t>
      </w:r>
    </w:p>
    <w:p w:rsidR="006F6C46" w:rsidRDefault="006F6C46" w:rsidP="006F6C46">
      <w:pPr>
        <w:pStyle w:val="a3"/>
        <w:ind w:left="2880" w:right="-1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Зi = Сеi + Кi,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(88.)</w:t>
      </w:r>
    </w:p>
    <w:p w:rsidR="006F6C46" w:rsidRDefault="006F6C46" w:rsidP="006F6C46">
      <w:pPr>
        <w:pStyle w:val="a3"/>
        <w:ind w:right="-1" w:firstLine="0"/>
        <w:rPr>
          <w:sz w:val="28"/>
          <w:szCs w:val="28"/>
        </w:rPr>
      </w:pPr>
      <w:r>
        <w:rPr>
          <w:sz w:val="28"/>
          <w:szCs w:val="28"/>
        </w:rPr>
        <w:t>где Сеi – себестоимость продукции на i-том шаге расчета;  Кi - капитал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ные вложения на i-том шаге.</w:t>
      </w: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t>Использование в практике оценки инвестиционных проектов чистой дисконтированной текущей стоимости вызвано очевидной неравноценн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стью для инвестора сегодняшних и будущих доходов. Иными словами, доходы инвестора, пол</w:t>
      </w:r>
      <w:r>
        <w:rPr>
          <w:sz w:val="28"/>
          <w:szCs w:val="28"/>
        </w:rPr>
        <w:t>у</w:t>
      </w:r>
      <w:r>
        <w:rPr>
          <w:sz w:val="28"/>
          <w:szCs w:val="28"/>
        </w:rPr>
        <w:t>ченные в результате реализации проекта, подлежат корректировке на величину упущенной им выгоды в связи с «заморажив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нием» денежных средств, отказом от их использования в других сферах. </w:t>
      </w: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Для того чтобы отразить уменьшение абсолютной величины чистой текущей стоимости в результате снижения «ценности» денег с течением времени, используют </w:t>
      </w:r>
      <w:r>
        <w:rPr>
          <w:b/>
          <w:bCs/>
          <w:sz w:val="28"/>
          <w:szCs w:val="28"/>
        </w:rPr>
        <w:t>коэффициент дисконтирования</w:t>
      </w:r>
      <w:r>
        <w:rPr>
          <w:sz w:val="28"/>
          <w:szCs w:val="28"/>
        </w:rPr>
        <w:t>, который определяе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ся по формуле:</w:t>
      </w:r>
    </w:p>
    <w:p w:rsidR="006F6C46" w:rsidRDefault="006F6C46" w:rsidP="006F6C46">
      <w:pPr>
        <w:pStyle w:val="a3"/>
        <w:ind w:right="-1054"/>
        <w:rPr>
          <w:bCs/>
          <w:sz w:val="28"/>
          <w:szCs w:val="28"/>
        </w:rPr>
      </w:pPr>
      <w:r w:rsidRPr="006F6C46">
        <w:rPr>
          <w:bCs/>
          <w:sz w:val="28"/>
          <w:szCs w:val="28"/>
        </w:rPr>
        <w:t xml:space="preserve">                 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</w:t>
      </w:r>
      <w:r>
        <w:rPr>
          <w:bCs/>
          <w:sz w:val="28"/>
          <w:szCs w:val="28"/>
          <w:lang w:val="en-US"/>
        </w:rPr>
        <w:t>i</w:t>
      </w:r>
    </w:p>
    <w:p w:rsidR="006F6C46" w:rsidRDefault="006F6C46" w:rsidP="006F6C46">
      <w:pPr>
        <w:pStyle w:val="a3"/>
        <w:ind w:left="2880" w:right="-1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а(</w:t>
      </w: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</w:rPr>
        <w:t xml:space="preserve">) = 1 / (1 = Е),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(89.)</w:t>
      </w:r>
    </w:p>
    <w:p w:rsidR="006F6C46" w:rsidRDefault="006F6C46" w:rsidP="006F6C46">
      <w:pPr>
        <w:pStyle w:val="a3"/>
        <w:ind w:right="-1" w:firstLine="0"/>
        <w:rPr>
          <w:sz w:val="28"/>
          <w:szCs w:val="28"/>
        </w:rPr>
      </w:pPr>
      <w:r>
        <w:rPr>
          <w:sz w:val="28"/>
          <w:szCs w:val="28"/>
        </w:rPr>
        <w:t>где  Е - норма дисконтирования (дисконта); i - номер временного интерв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ла (шага расчета).</w:t>
      </w: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t>Норма дисконтирования рассматривается в общем случае как норма прибыли на вложенный капитал, приемлемая для инвестора.</w:t>
      </w: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Тогда </w:t>
      </w:r>
      <w:r>
        <w:rPr>
          <w:b/>
          <w:bCs/>
          <w:sz w:val="28"/>
          <w:szCs w:val="28"/>
        </w:rPr>
        <w:t>чистая дисконтированная текущая стоимость</w:t>
      </w:r>
      <w:r>
        <w:rPr>
          <w:sz w:val="28"/>
          <w:szCs w:val="28"/>
        </w:rPr>
        <w:t xml:space="preserve"> может быть определена по формуле:</w:t>
      </w:r>
    </w:p>
    <w:p w:rsidR="006F6C46" w:rsidRDefault="006F6C46" w:rsidP="006F6C46">
      <w:pPr>
        <w:pStyle w:val="a3"/>
        <w:ind w:right="-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Т</w:t>
      </w:r>
    </w:p>
    <w:p w:rsidR="006F6C46" w:rsidRDefault="006F6C46" w:rsidP="006F6C46">
      <w:pPr>
        <w:pStyle w:val="a3"/>
        <w:ind w:left="2160" w:right="-1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ЧДТС = SUM  (Пi – Зi)*а(i),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(90.)</w:t>
      </w:r>
    </w:p>
    <w:p w:rsidR="006F6C46" w:rsidRDefault="006F6C46" w:rsidP="006F6C46">
      <w:pPr>
        <w:pStyle w:val="a3"/>
        <w:ind w:right="-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i = 0</w:t>
      </w: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t>Критерий эффективности инвестиционного проекта выражается 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дующим образом:</w:t>
      </w: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t>ЧДТС&gt;0.</w:t>
      </w: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t>Положительное значение чистой дисконтированной текущей стоимости св</w:t>
      </w:r>
      <w:r>
        <w:rPr>
          <w:sz w:val="28"/>
          <w:szCs w:val="28"/>
        </w:rPr>
        <w:t>и</w:t>
      </w:r>
      <w:r>
        <w:rPr>
          <w:sz w:val="28"/>
          <w:szCs w:val="28"/>
        </w:rPr>
        <w:t>детельствует о том, что проект эффективен и может приносить прибыль в приемл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мом для предприятия (инвестора) объеме. Чем больше ЧДТС, тем эффективнее проект. Отрицательное значение чистой диско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тированной текущей стоимости свидетельствует о неэффективности проекта, т. е. при заданной норме прибыли проект приносит убытки предпри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тию (инвестору).</w:t>
      </w: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b/>
          <w:bCs/>
          <w:sz w:val="28"/>
          <w:szCs w:val="28"/>
        </w:rPr>
        <w:t>Индекс доходности</w:t>
      </w:r>
      <w:r>
        <w:rPr>
          <w:sz w:val="28"/>
          <w:szCs w:val="28"/>
        </w:rPr>
        <w:t xml:space="preserve"> проекта позволяет определить, сможет ли тек</w:t>
      </w:r>
      <w:r>
        <w:rPr>
          <w:sz w:val="28"/>
          <w:szCs w:val="28"/>
        </w:rPr>
        <w:t>у</w:t>
      </w:r>
      <w:r>
        <w:rPr>
          <w:sz w:val="28"/>
          <w:szCs w:val="28"/>
        </w:rPr>
        <w:t>щий доход от проекта покрыть капитальные вложения в него. Он рассч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тывается как отнош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суммы дисконтированных эффектов к величине дисконтированных капитал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вложений:</w:t>
      </w:r>
    </w:p>
    <w:p w:rsidR="006F6C46" w:rsidRPr="006F6C46" w:rsidRDefault="006F6C46" w:rsidP="006F6C46">
      <w:pPr>
        <w:pStyle w:val="a3"/>
        <w:ind w:right="-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    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Т</w:t>
      </w:r>
      <w:r w:rsidRPr="006F6C46">
        <w:rPr>
          <w:bCs/>
          <w:sz w:val="28"/>
          <w:szCs w:val="28"/>
          <w:lang w:val="en-US"/>
        </w:rPr>
        <w:t xml:space="preserve">                                </w:t>
      </w:r>
      <w:r>
        <w:rPr>
          <w:bCs/>
          <w:sz w:val="28"/>
          <w:szCs w:val="28"/>
        </w:rPr>
        <w:t>Т</w:t>
      </w:r>
      <w:r w:rsidRPr="006F6C46">
        <w:rPr>
          <w:bCs/>
          <w:sz w:val="28"/>
          <w:szCs w:val="28"/>
          <w:lang w:val="en-US"/>
        </w:rPr>
        <w:t xml:space="preserve"> </w:t>
      </w:r>
    </w:p>
    <w:p w:rsidR="006F6C46" w:rsidRDefault="006F6C46" w:rsidP="006F6C46">
      <w:pPr>
        <w:pStyle w:val="a3"/>
        <w:ind w:left="1440" w:right="-1" w:firstLine="72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ИД</w:t>
      </w:r>
      <w:r>
        <w:rPr>
          <w:bCs/>
          <w:sz w:val="28"/>
          <w:szCs w:val="28"/>
          <w:lang w:val="en-US"/>
        </w:rPr>
        <w:t xml:space="preserve"> = sum (</w:t>
      </w:r>
      <w:r>
        <w:rPr>
          <w:bCs/>
          <w:sz w:val="28"/>
          <w:szCs w:val="28"/>
        </w:rPr>
        <w:t>П</w:t>
      </w:r>
      <w:r>
        <w:rPr>
          <w:bCs/>
          <w:sz w:val="28"/>
          <w:szCs w:val="28"/>
          <w:lang w:val="en-US"/>
        </w:rPr>
        <w:t xml:space="preserve">i – </w:t>
      </w:r>
      <w:r>
        <w:rPr>
          <w:bCs/>
          <w:sz w:val="28"/>
          <w:szCs w:val="28"/>
        </w:rPr>
        <w:t>Се</w:t>
      </w:r>
      <w:r>
        <w:rPr>
          <w:bCs/>
          <w:sz w:val="28"/>
          <w:szCs w:val="28"/>
          <w:lang w:val="en-US"/>
        </w:rPr>
        <w:t>i)*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  <w:lang w:val="en-US"/>
        </w:rPr>
        <w:t xml:space="preserve">(i) / sum </w:t>
      </w:r>
      <w:r>
        <w:rPr>
          <w:bCs/>
          <w:sz w:val="28"/>
          <w:szCs w:val="28"/>
        </w:rPr>
        <w:t>К</w:t>
      </w:r>
      <w:r>
        <w:rPr>
          <w:bCs/>
          <w:sz w:val="28"/>
          <w:szCs w:val="28"/>
          <w:lang w:val="en-US"/>
        </w:rPr>
        <w:t>i*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  <w:lang w:val="en-US"/>
        </w:rPr>
        <w:t xml:space="preserve">(i), 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  <w:t xml:space="preserve">        (91.)</w:t>
      </w:r>
    </w:p>
    <w:p w:rsidR="006F6C46" w:rsidRPr="006F6C46" w:rsidRDefault="006F6C46" w:rsidP="006F6C46">
      <w:pPr>
        <w:pStyle w:val="a3"/>
        <w:ind w:right="-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    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  <w:t>i</w:t>
      </w:r>
      <w:r w:rsidRPr="006F6C46">
        <w:rPr>
          <w:bCs/>
          <w:sz w:val="28"/>
          <w:szCs w:val="28"/>
          <w:lang w:val="en-US"/>
        </w:rPr>
        <w:t xml:space="preserve"> = 0                           </w:t>
      </w:r>
      <w:r>
        <w:rPr>
          <w:bCs/>
          <w:sz w:val="28"/>
          <w:szCs w:val="28"/>
          <w:lang w:val="en-US"/>
        </w:rPr>
        <w:t>i</w:t>
      </w:r>
      <w:r w:rsidRPr="006F6C46">
        <w:rPr>
          <w:bCs/>
          <w:sz w:val="28"/>
          <w:szCs w:val="28"/>
          <w:lang w:val="en-US"/>
        </w:rPr>
        <w:t xml:space="preserve"> = 0</w:t>
      </w:r>
    </w:p>
    <w:p w:rsidR="006F6C46" w:rsidRPr="006F6C46" w:rsidRDefault="006F6C46" w:rsidP="006F6C46">
      <w:pPr>
        <w:pStyle w:val="a3"/>
        <w:ind w:right="-1"/>
        <w:rPr>
          <w:sz w:val="28"/>
          <w:szCs w:val="28"/>
          <w:lang w:val="en-US"/>
        </w:rPr>
      </w:pP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t>Эффективным считается проект, индекс доходности которого бол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ше един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цы:</w:t>
      </w:r>
    </w:p>
    <w:p w:rsidR="006F6C46" w:rsidRDefault="006F6C46" w:rsidP="006F6C46">
      <w:pPr>
        <w:pStyle w:val="a3"/>
        <w:ind w:right="-1"/>
        <w:rPr>
          <w:b/>
          <w:sz w:val="28"/>
          <w:szCs w:val="28"/>
        </w:rPr>
      </w:pPr>
      <w:r>
        <w:rPr>
          <w:b/>
          <w:sz w:val="28"/>
          <w:szCs w:val="28"/>
        </w:rPr>
        <w:t>ИД&gt;1.</w:t>
      </w: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t>Данное соотношение свидетельствует о том, что величина дисконт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руемых эффектов превышает величину дисконтированных капитальных вложений.</w:t>
      </w: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t>Внутренняя норма доходности (ВНД) представляет собой ту норму дисконта (Евн), при которой величина дисконтированных эффектов равна приведенным капитальным вложениям, или показатель чистой дисконт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рованной текущей стоимости принимает нулевое значение. Внутренняя норма доходности определяется, исходя из решения следующего уравн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ния:</w:t>
      </w:r>
    </w:p>
    <w:p w:rsidR="006F6C46" w:rsidRPr="006F6C46" w:rsidRDefault="006F6C46" w:rsidP="006F6C46">
      <w:pPr>
        <w:pStyle w:val="a3"/>
        <w:ind w:right="-1"/>
        <w:rPr>
          <w:bCs/>
          <w:sz w:val="28"/>
          <w:szCs w:val="28"/>
        </w:rPr>
      </w:pPr>
      <w:r w:rsidRPr="006F6C46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6F6C46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Т</w:t>
      </w:r>
      <w:r w:rsidRPr="006F6C46">
        <w:rPr>
          <w:bCs/>
          <w:sz w:val="28"/>
          <w:szCs w:val="28"/>
        </w:rPr>
        <w:t xml:space="preserve">                                      </w:t>
      </w:r>
      <w:r>
        <w:rPr>
          <w:bCs/>
          <w:sz w:val="28"/>
          <w:szCs w:val="28"/>
          <w:lang w:val="en-US"/>
        </w:rPr>
        <w:t>i</w:t>
      </w:r>
      <w:r w:rsidRPr="006F6C46">
        <w:rPr>
          <w:bCs/>
          <w:sz w:val="28"/>
          <w:szCs w:val="28"/>
        </w:rPr>
        <w:t xml:space="preserve">      </w:t>
      </w:r>
      <w:r>
        <w:rPr>
          <w:bCs/>
          <w:sz w:val="28"/>
          <w:szCs w:val="28"/>
        </w:rPr>
        <w:t>Т</w:t>
      </w:r>
      <w:r w:rsidRPr="006F6C46">
        <w:rPr>
          <w:bCs/>
          <w:sz w:val="28"/>
          <w:szCs w:val="28"/>
        </w:rPr>
        <w:t xml:space="preserve">                       </w:t>
      </w:r>
      <w:r>
        <w:rPr>
          <w:bCs/>
          <w:sz w:val="28"/>
          <w:szCs w:val="28"/>
          <w:lang w:val="en-US"/>
        </w:rPr>
        <w:t>i</w:t>
      </w:r>
    </w:p>
    <w:p w:rsidR="006F6C46" w:rsidRPr="006F6C46" w:rsidRDefault="006F6C46" w:rsidP="006F6C46">
      <w:pPr>
        <w:pStyle w:val="a3"/>
        <w:ind w:left="1440" w:right="-1" w:firstLine="72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sum</w:t>
      </w:r>
      <w:r w:rsidRPr="006F6C46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П</w:t>
      </w:r>
      <w:r>
        <w:rPr>
          <w:bCs/>
          <w:sz w:val="28"/>
          <w:szCs w:val="28"/>
          <w:lang w:val="en-US"/>
        </w:rPr>
        <w:t>i</w:t>
      </w:r>
      <w:r w:rsidRPr="006F6C4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Се</w:t>
      </w:r>
      <w:r>
        <w:rPr>
          <w:bCs/>
          <w:sz w:val="28"/>
          <w:szCs w:val="28"/>
          <w:lang w:val="en-US"/>
        </w:rPr>
        <w:t>i</w:t>
      </w:r>
      <w:r w:rsidRPr="006F6C46">
        <w:rPr>
          <w:bCs/>
          <w:sz w:val="28"/>
          <w:szCs w:val="28"/>
        </w:rPr>
        <w:t xml:space="preserve">) / (1 – </w:t>
      </w:r>
      <w:r>
        <w:rPr>
          <w:bCs/>
          <w:sz w:val="28"/>
          <w:szCs w:val="28"/>
        </w:rPr>
        <w:t>Евн</w:t>
      </w:r>
      <w:r w:rsidRPr="006F6C46">
        <w:rPr>
          <w:bCs/>
          <w:sz w:val="28"/>
          <w:szCs w:val="28"/>
        </w:rPr>
        <w:t xml:space="preserve">) = </w:t>
      </w:r>
      <w:r>
        <w:rPr>
          <w:bCs/>
          <w:sz w:val="28"/>
          <w:szCs w:val="28"/>
          <w:lang w:val="en-US"/>
        </w:rPr>
        <w:t>sum</w:t>
      </w:r>
      <w:r w:rsidRPr="006F6C4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</w:t>
      </w:r>
      <w:r>
        <w:rPr>
          <w:bCs/>
          <w:sz w:val="28"/>
          <w:szCs w:val="28"/>
          <w:lang w:val="en-US"/>
        </w:rPr>
        <w:t>i</w:t>
      </w:r>
      <w:r w:rsidRPr="006F6C46">
        <w:rPr>
          <w:bCs/>
          <w:sz w:val="28"/>
          <w:szCs w:val="28"/>
        </w:rPr>
        <w:t xml:space="preserve"> / (1 – </w:t>
      </w:r>
      <w:r>
        <w:rPr>
          <w:bCs/>
          <w:sz w:val="28"/>
          <w:szCs w:val="28"/>
        </w:rPr>
        <w:t>Евн</w:t>
      </w:r>
      <w:r w:rsidRPr="006F6C46">
        <w:rPr>
          <w:bCs/>
          <w:sz w:val="28"/>
          <w:szCs w:val="28"/>
        </w:rPr>
        <w:t>) ,            (92.)</w:t>
      </w:r>
    </w:p>
    <w:p w:rsidR="006F6C46" w:rsidRDefault="006F6C46" w:rsidP="006F6C46">
      <w:pPr>
        <w:pStyle w:val="a3"/>
        <w:ind w:left="1440" w:right="-1054" w:firstLine="720"/>
        <w:rPr>
          <w:bCs/>
          <w:sz w:val="28"/>
          <w:szCs w:val="28"/>
        </w:rPr>
      </w:pPr>
      <w:r w:rsidRPr="006F6C4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i = 0                                       i = 0</w:t>
      </w:r>
    </w:p>
    <w:p w:rsidR="006F6C46" w:rsidRDefault="006F6C46" w:rsidP="006F6C46">
      <w:pPr>
        <w:pStyle w:val="a3"/>
        <w:ind w:left="1440" w:right="-1054" w:firstLine="720"/>
        <w:rPr>
          <w:sz w:val="28"/>
          <w:szCs w:val="28"/>
        </w:rPr>
      </w:pP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t>Практически величина внутренней нормы доходности вычисляется методом последовательных приближений с помощью программных средств типа электро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 таблиц.</w:t>
      </w: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t>Расчетное значение внутренней нормы доходности (Евн) сравнивае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ся с требуемой инвестором нормой дохода на вкладываемый капитал. В случае, когда ВНД равна или больше требуемой инвестором нормы дохода на </w:t>
      </w:r>
      <w:r>
        <w:rPr>
          <w:sz w:val="28"/>
          <w:szCs w:val="28"/>
        </w:rPr>
        <w:lastRenderedPageBreak/>
        <w:t>капитал, инвестиции   в    данный   проект оправданны, и может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сматриваться вопрос о его принятии. В противном случае инвестиции в проект не целесообразны.</w:t>
      </w:r>
    </w:p>
    <w:p w:rsidR="006F6C46" w:rsidRDefault="006F6C46" w:rsidP="006F6C46">
      <w:pPr>
        <w:pStyle w:val="a3"/>
        <w:ind w:right="-1"/>
        <w:rPr>
          <w:sz w:val="28"/>
          <w:szCs w:val="28"/>
        </w:rPr>
      </w:pPr>
      <w:r>
        <w:rPr>
          <w:sz w:val="28"/>
          <w:szCs w:val="28"/>
        </w:rPr>
        <w:t>Помимо вышеизложенных для оценки коммерческой эффективности инв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стиционных проектов могут использоваться и другие показатели: срок окупаемости инвестиций, точка безубыточности, норма прибыли и др.</w:t>
      </w:r>
    </w:p>
    <w:p w:rsidR="006F6C46" w:rsidRDefault="006F6C46" w:rsidP="006F6C46">
      <w:pPr>
        <w:pStyle w:val="a3"/>
        <w:ind w:right="-1"/>
        <w:rPr>
          <w:sz w:val="28"/>
          <w:szCs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center"/>
        <w:rPr>
          <w:rFonts w:ascii="Times New Roman" w:hAnsi="Times New Roman" w:cs="Times New Roman"/>
          <w:i/>
          <w:iCs/>
          <w:sz w:val="28"/>
        </w:rPr>
      </w:pPr>
    </w:p>
    <w:p w:rsidR="006F6C46" w:rsidRPr="00376B81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376B81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376B81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376B81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376B81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376B81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376B81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376B81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376B81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6F6C46" w:rsidRPr="006F6C46" w:rsidRDefault="006F6C46" w:rsidP="006F6C46">
      <w:pPr>
        <w:pStyle w:val="ConsNonformat"/>
        <w:widowControl/>
        <w:ind w:right="-1"/>
        <w:jc w:val="both"/>
        <w:rPr>
          <w:rFonts w:ascii="Times New Roman" w:hAnsi="Times New Roman" w:cs="Times New Roman"/>
          <w:iCs/>
          <w:sz w:val="28"/>
        </w:rPr>
      </w:pPr>
    </w:p>
    <w:p w:rsidR="002C371F" w:rsidRDefault="002C371F"/>
    <w:sectPr w:rsidR="002C3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FA"/>
    <w:rsid w:val="002C371F"/>
    <w:rsid w:val="00527BFA"/>
    <w:rsid w:val="006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C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F6C46"/>
    <w:pPr>
      <w:jc w:val="center"/>
    </w:pPr>
    <w:rPr>
      <w:sz w:val="28"/>
    </w:rPr>
  </w:style>
  <w:style w:type="character" w:customStyle="1" w:styleId="20">
    <w:name w:val="Основной текст 2 Знак"/>
    <w:basedOn w:val="a0"/>
    <w:link w:val="2"/>
    <w:rsid w:val="006F6C4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rsid w:val="006F6C46"/>
    <w:pPr>
      <w:ind w:firstLine="709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6F6C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Nonformat">
    <w:name w:val="ConsNonformat"/>
    <w:rsid w:val="006F6C4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C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F6C46"/>
    <w:pPr>
      <w:jc w:val="center"/>
    </w:pPr>
    <w:rPr>
      <w:sz w:val="28"/>
    </w:rPr>
  </w:style>
  <w:style w:type="character" w:customStyle="1" w:styleId="20">
    <w:name w:val="Основной текст 2 Знак"/>
    <w:basedOn w:val="a0"/>
    <w:link w:val="2"/>
    <w:rsid w:val="006F6C4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rsid w:val="006F6C46"/>
    <w:pPr>
      <w:ind w:firstLine="709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6F6C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Nonformat">
    <w:name w:val="ConsNonformat"/>
    <w:rsid w:val="006F6C4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1840</Words>
  <Characters>10489</Characters>
  <Application>Microsoft Office Word</Application>
  <DocSecurity>0</DocSecurity>
  <Lines>87</Lines>
  <Paragraphs>24</Paragraphs>
  <ScaleCrop>false</ScaleCrop>
  <Company/>
  <LinksUpToDate>false</LinksUpToDate>
  <CharactersWithSpaces>12305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2023-12-04T04:15:00Z</dcterms:created>
  <dcterms:modified xsi:type="dcterms:W3CDTF">2023-12-04T04:16:00Z</dcterms:modified>
</cp:coreProperties>
</file>