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67. </w:t>
      </w:r>
      <w:proofErr w:type="gramStart"/>
      <w:r>
        <w:rPr>
          <w:color w:val="000000"/>
          <w:sz w:val="28"/>
          <w:szCs w:val="28"/>
        </w:rPr>
        <w:t>Какой показатель характеризует прибыль: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выручка от реализации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часть стоимости (цена) прибавочного продукта, созданного трудом работников материального производства;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стоимость товарной продукции, уменьшенная на величину плановых отчислений в бюджет;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стоимость товарной продукции, уменьшенная на стоимость остатков на конец года;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стоимость единицы продукции, уменьшенная на затраты по заработной плате и цеховые расходы?</w:t>
      </w:r>
      <w:proofErr w:type="gramEnd"/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68. Какой экономический показатель не участвует в оценке прибыли товарной продукции: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цена единицы товарной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себестоимость единицы товарной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прибыль от реализации продукции подсобных хозяйств;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объем производства;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номенклатура продукции?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69. Какой из экономических показателей не участвует при определении  прибыли: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цена единицы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себестоимость единицы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объем производства кооперированных поставок;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выручка от реализации сверхнормативных запасов оборотных средств;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прибыль, не связанная непосредственно с основной производственной деятельностью предприятия?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70. Какой из фондов не формируется за счет прибыли: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страховой запас или резервный фонд;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фонд развития производства;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фонд повышения профессионального мастерства;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фонд специального развития производства;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фонд материального поощрения?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71. Какое из направлений не способствует росту прибыли: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увеличение объема производства;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сокращение условно-постоянных расходов на единицу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внедрение более прогрессивного оборудования;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сокращение доли продукции повышенного спроса;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снижение материальных затрат на единицу продукции?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72. </w:t>
      </w:r>
      <w:proofErr w:type="gramStart"/>
      <w:r>
        <w:rPr>
          <w:color w:val="000000"/>
          <w:sz w:val="28"/>
          <w:szCs w:val="28"/>
        </w:rPr>
        <w:t>Какая характеристика означает допустимый риск: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возможность возникновения потерь;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потери, не превышающие запланированную прибыль;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lastRenderedPageBreak/>
        <w:t>в) потери, превышающие плановую прибыль;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потери, покрывающие плановую прибыль и часть реализованной стоимости имущества;</w:t>
      </w:r>
      <w:r>
        <w:rPr>
          <w:color w:val="000000"/>
          <w:sz w:val="28"/>
          <w:szCs w:val="28"/>
        </w:rPr>
        <w:br/>
        <w:t>д) потери, не достигшие границы банкротства, но превысившие плановую прибыль?</w:t>
      </w:r>
      <w:proofErr w:type="gramEnd"/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73. Какой показатель не участвует в оценке уровня рентабельности:</w:t>
      </w:r>
      <w:r>
        <w:rPr>
          <w:color w:val="000000"/>
          <w:sz w:val="28"/>
          <w:szCs w:val="28"/>
        </w:rPr>
        <w:br/>
        <w:t>а) прибыль;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норматив отчислений в бюджет;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затраты живого труда;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стоимость основных производственных фондов;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стоимость оборотных средств?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74. Какой из показателей отличает  рентабельность от </w:t>
      </w:r>
      <w:proofErr w:type="gramStart"/>
      <w:r>
        <w:rPr>
          <w:color w:val="000000"/>
          <w:sz w:val="28"/>
          <w:szCs w:val="28"/>
        </w:rPr>
        <w:t>чистой</w:t>
      </w:r>
      <w:proofErr w:type="gramEnd"/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br/>
        <w:t>а) среднегодовая стоимость основных фондов;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среднегодовая стоимость оборотных средств;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норматив отчислений в бюджет;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цена;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себестоимость?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75. Какой показатель не используется при оценке уровня  рентабельности:</w:t>
      </w:r>
      <w:r>
        <w:rPr>
          <w:color w:val="000000"/>
          <w:sz w:val="28"/>
          <w:szCs w:val="28"/>
        </w:rPr>
        <w:br/>
        <w:t>а) среднегодовая стоимость производственных фондов;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стоимость реализованной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себестоимость реализованной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выручка от реализации имущества;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выручка от подсобных хозяйств, находящихся на балансе предприятия?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76. Какое мероприятие не обеспечивает роста уровня рентабельности: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снижение материалоемкости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снижение фондоотдачи;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 xml:space="preserve">в) снижение </w:t>
      </w:r>
      <w:proofErr w:type="spellStart"/>
      <w:r>
        <w:rPr>
          <w:color w:val="000000"/>
          <w:sz w:val="28"/>
          <w:szCs w:val="28"/>
        </w:rPr>
        <w:t>фондоемкости</w:t>
      </w:r>
      <w:proofErr w:type="spellEnd"/>
      <w:r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увеличение объема производства;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сокращение сверхнормативных запасов оборотных средств?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77. </w:t>
      </w:r>
      <w:proofErr w:type="gramStart"/>
      <w:r>
        <w:rPr>
          <w:color w:val="000000"/>
          <w:sz w:val="28"/>
          <w:szCs w:val="28"/>
        </w:rPr>
        <w:t>Как должны изменяться темпы роста экономических показателей, чтобы уровень рентабельности повышался: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все показатели должны расти пропорционально;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показатели числителя должны опережать темпы роста показателей знаменателя;</w:t>
      </w:r>
      <w:r>
        <w:rPr>
          <w:color w:val="000000"/>
          <w:sz w:val="28"/>
          <w:szCs w:val="28"/>
        </w:rPr>
        <w:br/>
        <w:t>в) темпы роста оборотных средств должны опережать темпы роста основных фондов;</w:t>
      </w:r>
      <w:r>
        <w:rPr>
          <w:color w:val="000000"/>
          <w:sz w:val="28"/>
          <w:szCs w:val="28"/>
        </w:rPr>
        <w:br/>
        <w:t>г) темпы роста оборотных средств должны опережать темпы роста себестоимости;</w:t>
      </w:r>
      <w:r>
        <w:rPr>
          <w:color w:val="000000"/>
          <w:sz w:val="28"/>
          <w:szCs w:val="28"/>
        </w:rPr>
        <w:br/>
        <w:t>д) темпы роста цены должны опережать темпы роста основных фондов?</w:t>
      </w:r>
      <w:proofErr w:type="gramEnd"/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78. Какое из условий не способствует росту уровня рентабельности: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увеличение выработки;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опережение темпов роста заработной платы основных производственных рабочих по сравнению с ростом производительности труда;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списание излишнего оборудования;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высвобождение оборотных средств;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сокращение трудоемкости?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79. Какой из показателей, характеризующих уровень использования оборудования, влияет на снижение уровня рентабельности:</w:t>
      </w:r>
      <w:r>
        <w:rPr>
          <w:color w:val="000000"/>
          <w:sz w:val="28"/>
          <w:szCs w:val="28"/>
        </w:rPr>
        <w:tab/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а) сокращение среднегодовой стоимости парка основного технологического оборудования;</w:t>
      </w:r>
      <w:r>
        <w:rPr>
          <w:color w:val="000000"/>
          <w:sz w:val="28"/>
          <w:szCs w:val="28"/>
        </w:rPr>
        <w:br/>
        <w:t>б) сокращение длительности времени ремонта;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увеличение среднего возраста оборудования;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повышение доли производительности оборудования;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сокращение внутрисменных потерь рабочего времени?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80. </w:t>
      </w:r>
      <w:proofErr w:type="gramStart"/>
      <w:r>
        <w:rPr>
          <w:color w:val="000000"/>
          <w:sz w:val="28"/>
          <w:szCs w:val="28"/>
        </w:rPr>
        <w:t>При каких соотношениях темпов роста основных производственных фондов и других экономических показателей производства обеспечивается рост уровня рентабельности: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а) темпы роста основных производственных фондов опережают темпы роста себестоимости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темпы роста объема производства опережают темпы роста основных производственных фондов;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темпы роста основных производственных фондов отстают от темпов роста производственных запасов;</w:t>
      </w:r>
      <w:proofErr w:type="gram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темпы роста основных производственных фондов опережают темпы роста номенклатуры выпускаемой продукции;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темпы роста основных производственных фондов опережают темпы роста производительности труда?</w:t>
      </w:r>
    </w:p>
    <w:p w:rsidR="004C427F" w:rsidRDefault="004C427F" w:rsidP="004C427F">
      <w:pPr>
        <w:pStyle w:val="a3"/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81. </w:t>
      </w:r>
      <w:proofErr w:type="gramStart"/>
      <w:r>
        <w:rPr>
          <w:color w:val="000000"/>
          <w:sz w:val="28"/>
          <w:szCs w:val="28"/>
        </w:rPr>
        <w:t>Минимизация</w:t>
      </w:r>
      <w:proofErr w:type="gramEnd"/>
      <w:r>
        <w:rPr>
          <w:color w:val="000000"/>
          <w:sz w:val="28"/>
          <w:szCs w:val="28"/>
        </w:rPr>
        <w:t xml:space="preserve"> какого показателя ведет к росту уровня рентабельности:</w:t>
      </w:r>
      <w:r>
        <w:rPr>
          <w:color w:val="000000"/>
          <w:sz w:val="28"/>
          <w:szCs w:val="28"/>
        </w:rPr>
        <w:br/>
        <w:t>а) минимизация выручки;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б) минимизация цены;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в) минимизация прибыли;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г) минимизация себестоимости;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br/>
        <w:t>д) минимизация объема производства?</w:t>
      </w:r>
    </w:p>
    <w:p w:rsidR="004C427F" w:rsidRDefault="004C427F" w:rsidP="004C427F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bCs/>
          <w:iCs/>
          <w:sz w:val="28"/>
          <w:szCs w:val="28"/>
        </w:rPr>
      </w:pPr>
      <w:r>
        <w:rPr>
          <w:rFonts w:ascii="Times New Roman" w:eastAsia="BookAntiqua" w:hAnsi="Times New Roman"/>
          <w:bCs/>
          <w:iCs/>
          <w:sz w:val="28"/>
          <w:szCs w:val="28"/>
        </w:rPr>
        <w:t>82</w:t>
      </w:r>
      <w:r w:rsidRPr="003B6043">
        <w:rPr>
          <w:rFonts w:ascii="Times New Roman" w:eastAsia="BookAntiqua" w:hAnsi="Times New Roman"/>
          <w:bCs/>
          <w:iCs/>
          <w:sz w:val="28"/>
          <w:szCs w:val="28"/>
        </w:rPr>
        <w:t>.Тенденция снижения инфляции: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А) повышает NPV проектов;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Б) повышает NPV только проектов, имеющих государственную поддержку;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lastRenderedPageBreak/>
        <w:t>В) требует использования при дисконтировании переменной ставки сравнения;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Г) не влияет на оценки экономической эффективности</w:t>
      </w:r>
    </w:p>
    <w:p w:rsidR="004C427F" w:rsidRPr="003B6043" w:rsidRDefault="004C427F" w:rsidP="004C427F">
      <w:pPr>
        <w:spacing w:after="0" w:line="240" w:lineRule="auto"/>
        <w:ind w:right="-1" w:firstLine="567"/>
        <w:rPr>
          <w:sz w:val="28"/>
          <w:szCs w:val="28"/>
        </w:rPr>
      </w:pP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83</w:t>
      </w:r>
      <w:r w:rsidRPr="003B6043">
        <w:rPr>
          <w:rFonts w:ascii="Times New Roman" w:hAnsi="Times New Roman"/>
          <w:bCs/>
          <w:iCs/>
          <w:sz w:val="28"/>
          <w:szCs w:val="28"/>
        </w:rPr>
        <w:t>.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3B6043">
        <w:rPr>
          <w:rFonts w:ascii="Times New Roman" w:hAnsi="Times New Roman"/>
          <w:bCs/>
          <w:iCs/>
          <w:sz w:val="28"/>
          <w:szCs w:val="28"/>
        </w:rPr>
        <w:t>Дисконтированный срок окупаемости: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А) превышает срок окупаемости без учета фактора времени;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Б) позволяет характеризовать риск проекта;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В) в общем случае не учитывает все инвестиционные выгоды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проекта;</w:t>
      </w:r>
    </w:p>
    <w:p w:rsidR="004C427F" w:rsidRPr="003B6043" w:rsidRDefault="004C427F" w:rsidP="004C427F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BookAntiqua" w:hAnsi="Times New Roman"/>
          <w:sz w:val="28"/>
          <w:szCs w:val="28"/>
        </w:rPr>
      </w:pPr>
      <w:r w:rsidRPr="003B6043">
        <w:rPr>
          <w:rFonts w:ascii="Times New Roman" w:eastAsia="BookAntiqua" w:hAnsi="Times New Roman"/>
          <w:sz w:val="28"/>
          <w:szCs w:val="28"/>
        </w:rPr>
        <w:t>Г) оценивается в относительных единицах.</w:t>
      </w: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4C427F" w:rsidRDefault="004C427F" w:rsidP="004C427F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</w:p>
    <w:p w:rsidR="004C427F" w:rsidRPr="00D44A4D" w:rsidRDefault="004C427F" w:rsidP="004C427F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color w:val="000000"/>
          <w:spacing w:val="-9"/>
          <w:sz w:val="28"/>
          <w:szCs w:val="28"/>
        </w:rPr>
      </w:pPr>
      <w:r>
        <w:rPr>
          <w:rFonts w:ascii="Times New Roman" w:hAnsi="Times New Roman"/>
          <w:color w:val="000000"/>
          <w:spacing w:val="-11"/>
          <w:sz w:val="28"/>
          <w:szCs w:val="28"/>
        </w:rPr>
        <w:t xml:space="preserve">84. </w:t>
      </w:r>
      <w:r w:rsidRPr="00D44A4D">
        <w:rPr>
          <w:rFonts w:ascii="Times New Roman" w:hAnsi="Times New Roman"/>
          <w:color w:val="000000"/>
          <w:spacing w:val="-11"/>
          <w:sz w:val="28"/>
          <w:szCs w:val="28"/>
        </w:rPr>
        <w:t xml:space="preserve">Найдите в правой колонке формулы расчета показателей, указанных в левой </w:t>
      </w:r>
      <w:r w:rsidRPr="00D44A4D">
        <w:rPr>
          <w:rFonts w:ascii="Times New Roman" w:hAnsi="Times New Roman"/>
          <w:color w:val="000000"/>
          <w:spacing w:val="-9"/>
          <w:sz w:val="28"/>
          <w:szCs w:val="28"/>
        </w:rPr>
        <w:t>колонке</w:t>
      </w:r>
      <w:r>
        <w:rPr>
          <w:rFonts w:ascii="Times New Roman" w:hAnsi="Times New Roman"/>
          <w:color w:val="000000"/>
          <w:spacing w:val="-9"/>
          <w:sz w:val="28"/>
          <w:szCs w:val="28"/>
        </w:rPr>
        <w:t xml:space="preserve"> таблицы </w:t>
      </w:r>
    </w:p>
    <w:p w:rsidR="004C427F" w:rsidRDefault="004C427F" w:rsidP="004C427F">
      <w:pPr>
        <w:pStyle w:val="a4"/>
        <w:autoSpaceDE w:val="0"/>
        <w:autoSpaceDN w:val="0"/>
        <w:adjustRightInd w:val="0"/>
        <w:spacing w:after="0" w:line="240" w:lineRule="auto"/>
        <w:ind w:left="360" w:right="-1"/>
        <w:jc w:val="both"/>
        <w:rPr>
          <w:rFonts w:ascii="Times New Roman" w:hAnsi="Times New Roman"/>
          <w:color w:val="000000"/>
          <w:spacing w:val="-9"/>
          <w:sz w:val="28"/>
          <w:szCs w:val="28"/>
        </w:rPr>
      </w:pPr>
    </w:p>
    <w:p w:rsidR="004C427F" w:rsidRPr="002774F7" w:rsidRDefault="004C427F" w:rsidP="004C427F">
      <w:pPr>
        <w:pStyle w:val="a4"/>
        <w:autoSpaceDE w:val="0"/>
        <w:autoSpaceDN w:val="0"/>
        <w:adjustRightInd w:val="0"/>
        <w:spacing w:after="0" w:line="240" w:lineRule="auto"/>
        <w:ind w:left="360" w:right="-1"/>
        <w:jc w:val="both"/>
        <w:rPr>
          <w:rFonts w:ascii="Times New Roman" w:hAnsi="Times New Roman"/>
          <w:color w:val="000000"/>
          <w:spacing w:val="-9"/>
          <w:sz w:val="28"/>
          <w:szCs w:val="28"/>
        </w:rPr>
      </w:pPr>
      <w:r>
        <w:rPr>
          <w:rFonts w:ascii="Times New Roman" w:hAnsi="Times New Roman"/>
          <w:color w:val="000000"/>
          <w:spacing w:val="-9"/>
          <w:sz w:val="28"/>
          <w:szCs w:val="28"/>
        </w:rPr>
        <w:t>Таблица  - Поиск соответствия</w:t>
      </w:r>
    </w:p>
    <w:p w:rsidR="004C427F" w:rsidRPr="002774F7" w:rsidRDefault="004C427F" w:rsidP="004C427F">
      <w:pPr>
        <w:autoSpaceDE w:val="0"/>
        <w:autoSpaceDN w:val="0"/>
        <w:adjustRightInd w:val="0"/>
        <w:spacing w:after="0" w:line="240" w:lineRule="auto"/>
        <w:ind w:right="-1"/>
        <w:jc w:val="both"/>
        <w:rPr>
          <w:rFonts w:ascii="Times New Roman" w:hAnsi="Times New Roman"/>
          <w:color w:val="000000"/>
          <w:spacing w:val="-9"/>
          <w:sz w:val="28"/>
          <w:szCs w:val="28"/>
        </w:rPr>
      </w:pPr>
    </w:p>
    <w:tbl>
      <w:tblPr>
        <w:tblW w:w="0" w:type="auto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C427F" w:rsidRPr="0062738D" w:rsidTr="00911B50">
        <w:tc>
          <w:tcPr>
            <w:tcW w:w="4785" w:type="dxa"/>
            <w:shd w:val="clear" w:color="auto" w:fill="auto"/>
          </w:tcPr>
          <w:p w:rsidR="004C427F" w:rsidRPr="002774F7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2774F7">
              <w:rPr>
                <w:rFonts w:ascii="Times New Roman" w:hAnsi="Times New Roman"/>
                <w:iCs/>
                <w:sz w:val="24"/>
                <w:szCs w:val="24"/>
              </w:rPr>
              <w:t>Наименование показателя</w:t>
            </w:r>
          </w:p>
        </w:tc>
        <w:tc>
          <w:tcPr>
            <w:tcW w:w="4786" w:type="dxa"/>
            <w:shd w:val="clear" w:color="auto" w:fill="auto"/>
          </w:tcPr>
          <w:p w:rsidR="004C427F" w:rsidRPr="002774F7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74F7">
              <w:rPr>
                <w:rFonts w:ascii="Times New Roman" w:hAnsi="Times New Roman"/>
                <w:sz w:val="24"/>
                <w:szCs w:val="24"/>
              </w:rPr>
              <w:t>Расчетные формулы</w:t>
            </w:r>
          </w:p>
        </w:tc>
      </w:tr>
      <w:tr w:rsidR="004C427F" w:rsidRPr="0062738D" w:rsidTr="00911B50">
        <w:tc>
          <w:tcPr>
            <w:tcW w:w="4785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iCs/>
                <w:sz w:val="24"/>
                <w:szCs w:val="24"/>
              </w:rPr>
              <w:t>индекс доходности</w:t>
            </w:r>
          </w:p>
        </w:tc>
        <w:tc>
          <w:tcPr>
            <w:tcW w:w="4786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i/>
                <w:position w:val="-38"/>
                <w:sz w:val="24"/>
                <w:szCs w:val="24"/>
              </w:rPr>
              <w:object w:dxaOrig="4160" w:dyaOrig="9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75pt;height:45pt" o:ole="">
                  <v:imagedata r:id="rId6" o:title=""/>
                </v:shape>
                <o:OLEObject Type="Embed" ProgID="Equation.3" ShapeID="_x0000_i1025" DrawAspect="Content" ObjectID="_1763966340" r:id="rId7"/>
              </w:object>
            </w:r>
          </w:p>
        </w:tc>
      </w:tr>
      <w:tr w:rsidR="004C427F" w:rsidRPr="0062738D" w:rsidTr="00911B50">
        <w:tc>
          <w:tcPr>
            <w:tcW w:w="4785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sz w:val="24"/>
                <w:szCs w:val="24"/>
              </w:rPr>
              <w:t>чистая текущая стоимость</w:t>
            </w:r>
          </w:p>
        </w:tc>
        <w:tc>
          <w:tcPr>
            <w:tcW w:w="4786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i/>
                <w:position w:val="-34"/>
                <w:sz w:val="24"/>
                <w:szCs w:val="24"/>
              </w:rPr>
              <w:object w:dxaOrig="3040" w:dyaOrig="800">
                <v:shape id="_x0000_i1026" type="#_x0000_t75" style="width:151.5pt;height:40.5pt" o:ole="">
                  <v:imagedata r:id="rId8" o:title=""/>
                </v:shape>
                <o:OLEObject Type="Embed" ProgID="Equation.3" ShapeID="_x0000_i1026" DrawAspect="Content" ObjectID="_1763966341" r:id="rId9"/>
              </w:object>
            </w:r>
          </w:p>
        </w:tc>
      </w:tr>
      <w:tr w:rsidR="004C427F" w:rsidRPr="0062738D" w:rsidTr="00911B50">
        <w:tc>
          <w:tcPr>
            <w:tcW w:w="4785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sz w:val="24"/>
                <w:szCs w:val="24"/>
              </w:rPr>
              <w:t>внутренняя норма доходности</w:t>
            </w:r>
          </w:p>
        </w:tc>
        <w:tc>
          <w:tcPr>
            <w:tcW w:w="4786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position w:val="-34"/>
                <w:sz w:val="24"/>
                <w:szCs w:val="24"/>
              </w:rPr>
              <w:object w:dxaOrig="3379" w:dyaOrig="760">
                <v:shape id="_x0000_i1027" type="#_x0000_t75" style="width:168.75pt;height:37.5pt" o:ole="">
                  <v:imagedata r:id="rId10" o:title=""/>
                </v:shape>
                <o:OLEObject Type="Embed" ProgID="Equation.3" ShapeID="_x0000_i1027" DrawAspect="Content" ObjectID="_1763966342" r:id="rId11"/>
              </w:object>
            </w:r>
          </w:p>
        </w:tc>
      </w:tr>
      <w:tr w:rsidR="004C427F" w:rsidRPr="0062738D" w:rsidTr="00911B50">
        <w:tc>
          <w:tcPr>
            <w:tcW w:w="4785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iCs/>
                <w:sz w:val="24"/>
                <w:szCs w:val="24"/>
              </w:rPr>
              <w:t>дисконтированный срок окупаемости</w:t>
            </w:r>
          </w:p>
        </w:tc>
        <w:tc>
          <w:tcPr>
            <w:tcW w:w="4786" w:type="dxa"/>
            <w:shd w:val="clear" w:color="auto" w:fill="auto"/>
          </w:tcPr>
          <w:p w:rsidR="004C427F" w:rsidRPr="00D63D40" w:rsidRDefault="004C427F" w:rsidP="00911B50">
            <w:pPr>
              <w:autoSpaceDE w:val="0"/>
              <w:autoSpaceDN w:val="0"/>
              <w:adjustRightInd w:val="0"/>
              <w:ind w:right="-1" w:firstLine="567"/>
              <w:jc w:val="both"/>
              <w:rPr>
                <w:rFonts w:ascii="Times New Roman" w:hAnsi="Times New Roman"/>
                <w:color w:val="000000"/>
                <w:spacing w:val="-11"/>
                <w:sz w:val="24"/>
                <w:szCs w:val="24"/>
              </w:rPr>
            </w:pPr>
            <w:r w:rsidRPr="00D63D40">
              <w:rPr>
                <w:rFonts w:ascii="Times New Roman" w:hAnsi="Times New Roman"/>
                <w:position w:val="-32"/>
                <w:sz w:val="24"/>
                <w:szCs w:val="24"/>
              </w:rPr>
              <w:object w:dxaOrig="1740" w:dyaOrig="1120">
                <v:shape id="_x0000_i1028" type="#_x0000_t75" style="width:87pt;height:56.25pt" o:ole="">
                  <v:imagedata r:id="rId12" o:title=""/>
                </v:shape>
                <o:OLEObject Type="Embed" ProgID="Equation.3" ShapeID="_x0000_i1028" DrawAspect="Content" ObjectID="_1763966343" r:id="rId13"/>
              </w:object>
            </w:r>
          </w:p>
        </w:tc>
      </w:tr>
    </w:tbl>
    <w:p w:rsidR="004C427F" w:rsidRDefault="004C427F" w:rsidP="004C427F">
      <w:pPr>
        <w:spacing w:after="0" w:line="240" w:lineRule="auto"/>
        <w:ind w:right="-1" w:firstLine="567"/>
        <w:rPr>
          <w:rFonts w:ascii="Times New Roman" w:hAnsi="Times New Roman" w:cs="Times New Roman"/>
          <w:b/>
          <w:sz w:val="28"/>
          <w:szCs w:val="28"/>
        </w:rPr>
      </w:pPr>
    </w:p>
    <w:p w:rsidR="004C427F" w:rsidRDefault="004C427F" w:rsidP="004C427F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85. </w:t>
      </w:r>
      <w:r w:rsidRPr="003B6043">
        <w:rPr>
          <w:rFonts w:ascii="Times New Roman" w:hAnsi="Times New Roman"/>
          <w:sz w:val="28"/>
          <w:szCs w:val="28"/>
        </w:rPr>
        <w:t>Если индекс доходности больше единицы, то проект</w:t>
      </w: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imes New Roman" w:hAnsi="Times New Roman"/>
          <w:sz w:val="28"/>
          <w:szCs w:val="28"/>
        </w:rPr>
      </w:pPr>
      <w:r w:rsidRPr="003B6043">
        <w:rPr>
          <w:rFonts w:ascii="Times New Roman" w:hAnsi="Times New Roman"/>
          <w:sz w:val="28"/>
          <w:szCs w:val="28"/>
        </w:rPr>
        <w:t>-принимается к реализации</w:t>
      </w: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imes New Roman" w:hAnsi="Times New Roman"/>
          <w:sz w:val="28"/>
          <w:szCs w:val="28"/>
        </w:rPr>
      </w:pPr>
      <w:r w:rsidRPr="003B6043">
        <w:rPr>
          <w:rFonts w:ascii="Times New Roman" w:hAnsi="Times New Roman"/>
          <w:sz w:val="28"/>
          <w:szCs w:val="28"/>
        </w:rPr>
        <w:t>-отклоняется</w:t>
      </w: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imes New Roman" w:hAnsi="Times New Roman"/>
          <w:sz w:val="28"/>
          <w:szCs w:val="28"/>
        </w:rPr>
      </w:pP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86. </w:t>
      </w:r>
      <w:r w:rsidRPr="003B6043">
        <w:rPr>
          <w:rFonts w:ascii="Times New Roman" w:hAnsi="Times New Roman"/>
          <w:sz w:val="28"/>
          <w:szCs w:val="28"/>
        </w:rPr>
        <w:t xml:space="preserve">Ставка дисконтирования, при которой величина входного и выходного дисконтированных денежных потоков </w:t>
      </w:r>
      <w:proofErr w:type="gramStart"/>
      <w:r w:rsidRPr="003B6043">
        <w:rPr>
          <w:rFonts w:ascii="Times New Roman" w:hAnsi="Times New Roman"/>
          <w:sz w:val="28"/>
          <w:szCs w:val="28"/>
        </w:rPr>
        <w:t>равны</w:t>
      </w:r>
      <w:proofErr w:type="gramEnd"/>
      <w:r w:rsidRPr="003B6043">
        <w:rPr>
          <w:rFonts w:ascii="Times New Roman" w:hAnsi="Times New Roman"/>
          <w:sz w:val="28"/>
          <w:szCs w:val="28"/>
        </w:rPr>
        <w:t>, называется……</w:t>
      </w:r>
    </w:p>
    <w:p w:rsidR="004C427F" w:rsidRDefault="004C427F" w:rsidP="004C427F">
      <w:pPr>
        <w:pStyle w:val="Default"/>
        <w:ind w:right="-1" w:firstLine="567"/>
        <w:jc w:val="both"/>
        <w:rPr>
          <w:sz w:val="28"/>
          <w:szCs w:val="28"/>
        </w:rPr>
      </w:pPr>
    </w:p>
    <w:p w:rsidR="004C427F" w:rsidRPr="003B6043" w:rsidRDefault="004C427F" w:rsidP="004C427F">
      <w:pPr>
        <w:pStyle w:val="Default"/>
        <w:ind w:right="-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88. </w:t>
      </w:r>
      <w:r w:rsidRPr="003B6043">
        <w:rPr>
          <w:sz w:val="28"/>
          <w:szCs w:val="28"/>
        </w:rPr>
        <w:t xml:space="preserve">Абсолютный экономический эффект ИП характеризуют показатели: </w:t>
      </w:r>
    </w:p>
    <w:p w:rsidR="004C427F" w:rsidRPr="003B6043" w:rsidRDefault="004C427F" w:rsidP="004C427F">
      <w:pPr>
        <w:pStyle w:val="Default"/>
        <w:ind w:right="-1" w:firstLine="567"/>
        <w:jc w:val="both"/>
        <w:rPr>
          <w:sz w:val="28"/>
          <w:szCs w:val="28"/>
        </w:rPr>
      </w:pPr>
      <w:r w:rsidRPr="003B6043">
        <w:rPr>
          <w:sz w:val="28"/>
          <w:szCs w:val="28"/>
        </w:rPr>
        <w:t xml:space="preserve">а) внутренняя норма доходности; </w:t>
      </w:r>
    </w:p>
    <w:p w:rsidR="004C427F" w:rsidRPr="003B6043" w:rsidRDefault="004C427F" w:rsidP="004C427F">
      <w:pPr>
        <w:pStyle w:val="Default"/>
        <w:ind w:right="-1" w:firstLine="567"/>
        <w:jc w:val="both"/>
        <w:rPr>
          <w:sz w:val="28"/>
          <w:szCs w:val="28"/>
        </w:rPr>
      </w:pPr>
      <w:r w:rsidRPr="003B6043">
        <w:rPr>
          <w:sz w:val="28"/>
          <w:szCs w:val="28"/>
        </w:rPr>
        <w:lastRenderedPageBreak/>
        <w:t xml:space="preserve">б) </w:t>
      </w:r>
      <w:r w:rsidRPr="003B6043">
        <w:rPr>
          <w:bCs/>
          <w:sz w:val="28"/>
          <w:szCs w:val="28"/>
        </w:rPr>
        <w:t>чистый дисконтированный доход</w:t>
      </w:r>
      <w:r w:rsidRPr="003B6043">
        <w:rPr>
          <w:sz w:val="28"/>
          <w:szCs w:val="28"/>
        </w:rPr>
        <w:t xml:space="preserve">. </w:t>
      </w:r>
    </w:p>
    <w:p w:rsidR="004C427F" w:rsidRPr="003B6043" w:rsidRDefault="004C427F" w:rsidP="004C427F">
      <w:pPr>
        <w:pStyle w:val="Default"/>
        <w:ind w:right="-1" w:firstLine="567"/>
        <w:jc w:val="both"/>
        <w:rPr>
          <w:sz w:val="28"/>
          <w:szCs w:val="28"/>
        </w:rPr>
      </w:pPr>
      <w:r w:rsidRPr="003B6043">
        <w:rPr>
          <w:sz w:val="28"/>
          <w:szCs w:val="28"/>
        </w:rPr>
        <w:t>В) срок окупаемости</w:t>
      </w:r>
    </w:p>
    <w:p w:rsidR="004C427F" w:rsidRPr="003B6043" w:rsidRDefault="004C427F" w:rsidP="004C427F">
      <w:pPr>
        <w:pStyle w:val="Default"/>
        <w:ind w:right="-1" w:firstLine="567"/>
        <w:jc w:val="both"/>
        <w:rPr>
          <w:sz w:val="28"/>
          <w:szCs w:val="28"/>
        </w:rPr>
      </w:pP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color w:val="000000"/>
          <w:spacing w:val="-10"/>
          <w:sz w:val="28"/>
          <w:szCs w:val="28"/>
        </w:rPr>
        <w:t xml:space="preserve">89 . </w:t>
      </w:r>
      <w:r w:rsidRPr="003B6043">
        <w:rPr>
          <w:rFonts w:ascii="Times New Roman" w:eastAsia="Calibri" w:hAnsi="Times New Roman" w:cs="Times New Roman"/>
          <w:iCs/>
          <w:color w:val="000000"/>
          <w:spacing w:val="-10"/>
          <w:sz w:val="28"/>
          <w:szCs w:val="28"/>
        </w:rPr>
        <w:t xml:space="preserve">К собственным финансовым средствам </w:t>
      </w:r>
      <w:r w:rsidRPr="003B6043">
        <w:rPr>
          <w:rFonts w:ascii="Times New Roman" w:hAnsi="Times New Roman"/>
          <w:iCs/>
          <w:color w:val="000000"/>
          <w:spacing w:val="-10"/>
          <w:sz w:val="28"/>
          <w:szCs w:val="28"/>
        </w:rPr>
        <w:t xml:space="preserve"> предприятия </w:t>
      </w:r>
      <w:r w:rsidRPr="003B6043">
        <w:rPr>
          <w:rFonts w:ascii="Times New Roman" w:eastAsia="Calibri" w:hAnsi="Times New Roman" w:cs="Times New Roman"/>
          <w:iCs/>
          <w:color w:val="000000"/>
          <w:spacing w:val="-10"/>
          <w:sz w:val="28"/>
          <w:szCs w:val="28"/>
        </w:rPr>
        <w:t>относятся:</w:t>
      </w:r>
    </w:p>
    <w:p w:rsidR="004C427F" w:rsidRPr="003B6043" w:rsidRDefault="004C427F" w:rsidP="004C427F">
      <w:pPr>
        <w:numPr>
          <w:ilvl w:val="0"/>
          <w:numId w:val="1"/>
        </w:numPr>
        <w:spacing w:after="0" w:line="240" w:lineRule="auto"/>
        <w:ind w:left="0" w:right="-1" w:firstLine="567"/>
        <w:rPr>
          <w:rFonts w:ascii="Times New Roman" w:eastAsia="Calibri" w:hAnsi="Times New Roman" w:cs="Times New Roman"/>
          <w:sz w:val="28"/>
          <w:szCs w:val="28"/>
        </w:rPr>
      </w:pPr>
      <w:r w:rsidRPr="003B6043">
        <w:rPr>
          <w:rFonts w:ascii="Times New Roman" w:eastAsia="Calibri" w:hAnsi="Times New Roman" w:cs="Times New Roman"/>
          <w:color w:val="000000"/>
          <w:spacing w:val="-11"/>
          <w:sz w:val="28"/>
          <w:szCs w:val="28"/>
        </w:rPr>
        <w:t>паевые взносы,</w:t>
      </w:r>
    </w:p>
    <w:p w:rsidR="004C427F" w:rsidRPr="003B6043" w:rsidRDefault="004C427F" w:rsidP="004C427F">
      <w:pPr>
        <w:spacing w:after="0" w:line="240" w:lineRule="auto"/>
        <w:ind w:left="360" w:right="-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1"/>
          <w:sz w:val="28"/>
          <w:szCs w:val="28"/>
        </w:rPr>
        <w:t xml:space="preserve">б) </w:t>
      </w:r>
      <w:r w:rsidRPr="003B6043">
        <w:rPr>
          <w:rFonts w:ascii="Times New Roman" w:eastAsia="Calibri" w:hAnsi="Times New Roman" w:cs="Times New Roman"/>
          <w:color w:val="000000"/>
          <w:spacing w:val="-11"/>
          <w:sz w:val="28"/>
          <w:szCs w:val="28"/>
        </w:rPr>
        <w:t>облигационные займы,</w:t>
      </w:r>
    </w:p>
    <w:p w:rsidR="004C427F" w:rsidRPr="003B6043" w:rsidRDefault="004C427F" w:rsidP="004C427F">
      <w:pPr>
        <w:spacing w:after="0" w:line="240" w:lineRule="auto"/>
        <w:ind w:left="360" w:right="-1"/>
        <w:rPr>
          <w:rFonts w:ascii="Times New Roman" w:eastAsia="Calibri" w:hAnsi="Times New Roman" w:cs="Times New Roman"/>
          <w:color w:val="000000"/>
          <w:spacing w:val="-14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3"/>
          <w:sz w:val="28"/>
          <w:szCs w:val="28"/>
        </w:rPr>
        <w:t xml:space="preserve">в) </w:t>
      </w:r>
      <w:r w:rsidRPr="003B6043">
        <w:rPr>
          <w:rFonts w:ascii="Times New Roman" w:eastAsia="Calibri" w:hAnsi="Times New Roman" w:cs="Times New Roman"/>
          <w:color w:val="000000"/>
          <w:spacing w:val="-13"/>
          <w:sz w:val="28"/>
          <w:szCs w:val="28"/>
        </w:rPr>
        <w:t>чистая прибыль,</w:t>
      </w:r>
    </w:p>
    <w:p w:rsidR="004C427F" w:rsidRPr="003B6043" w:rsidRDefault="004C427F" w:rsidP="004C427F">
      <w:pPr>
        <w:spacing w:after="0" w:line="240" w:lineRule="auto"/>
        <w:ind w:left="360" w:right="-1"/>
        <w:rPr>
          <w:rFonts w:ascii="Times New Roman" w:eastAsia="Calibri" w:hAnsi="Times New Roman" w:cs="Times New Roman"/>
          <w:color w:val="000000"/>
          <w:spacing w:val="-15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  <w:t xml:space="preserve">г) </w:t>
      </w:r>
      <w:r w:rsidRPr="003B6043"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  <w:t>средства, получаемые от продажи акций,</w:t>
      </w:r>
    </w:p>
    <w:p w:rsidR="004C427F" w:rsidRPr="003B6043" w:rsidRDefault="004C427F" w:rsidP="004C427F">
      <w:pPr>
        <w:spacing w:after="0" w:line="240" w:lineRule="auto"/>
        <w:ind w:left="360" w:right="-1"/>
        <w:rPr>
          <w:rFonts w:ascii="Times New Roman" w:eastAsia="Calibri" w:hAnsi="Times New Roman" w:cs="Times New Roman"/>
          <w:color w:val="000000"/>
          <w:spacing w:val="-11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1"/>
          <w:sz w:val="28"/>
          <w:szCs w:val="28"/>
        </w:rPr>
        <w:t xml:space="preserve">д) </w:t>
      </w:r>
      <w:r w:rsidRPr="003B6043">
        <w:rPr>
          <w:rFonts w:ascii="Times New Roman" w:eastAsia="Calibri" w:hAnsi="Times New Roman" w:cs="Times New Roman"/>
          <w:color w:val="000000"/>
          <w:spacing w:val="-11"/>
          <w:sz w:val="28"/>
          <w:szCs w:val="28"/>
        </w:rPr>
        <w:t>внутрихозяйственные  резервы,</w:t>
      </w:r>
    </w:p>
    <w:p w:rsidR="004C427F" w:rsidRPr="003B6043" w:rsidRDefault="004C427F" w:rsidP="004C427F">
      <w:pPr>
        <w:spacing w:after="0" w:line="240" w:lineRule="auto"/>
        <w:ind w:left="360" w:right="-1"/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  <w:t xml:space="preserve">е) </w:t>
      </w:r>
      <w:r w:rsidRPr="003B6043"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  <w:t>амортизационные отчисления.</w:t>
      </w:r>
    </w:p>
    <w:p w:rsidR="004C427F" w:rsidRDefault="004C427F" w:rsidP="004C427F">
      <w:pPr>
        <w:spacing w:after="0" w:line="240" w:lineRule="auto"/>
        <w:ind w:right="-1" w:firstLine="567"/>
        <w:rPr>
          <w:rFonts w:ascii="Times New Roman" w:hAnsi="Times New Roman"/>
          <w:sz w:val="28"/>
          <w:szCs w:val="28"/>
        </w:rPr>
      </w:pP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ahoma" w:eastAsia="Times New Roman" w:hAnsi="Tahoma" w:cs="Tahoma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90. </w:t>
      </w:r>
      <w:r w:rsidRPr="003B60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Коэффициент дисконтирования применяется </w:t>
      </w:r>
      <w:proofErr w:type="gramStart"/>
      <w:r w:rsidRPr="003B604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</w:t>
      </w:r>
      <w:proofErr w:type="gramEnd"/>
    </w:p>
    <w:p w:rsidR="004C427F" w:rsidRDefault="004C427F" w:rsidP="004C427F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</w:t>
      </w:r>
      <w:r w:rsidRPr="003B60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расчета увеличения прибыли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427F" w:rsidRPr="003B6043" w:rsidRDefault="004C427F" w:rsidP="004C427F">
      <w:pPr>
        <w:spacing w:after="0" w:line="240" w:lineRule="auto"/>
        <w:ind w:right="-1" w:firstLine="567"/>
        <w:rPr>
          <w:rFonts w:ascii="Tahoma" w:eastAsia="Times New Roman" w:hAnsi="Tahoma" w:cs="Tahom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приведения будущих поступлений к начальной стоимости инвестирования;</w:t>
      </w:r>
    </w:p>
    <w:p w:rsidR="004C427F" w:rsidRDefault="004C427F" w:rsidP="004C427F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в) </w:t>
      </w:r>
      <w:r w:rsidRPr="003B604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расчета величины налогов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427F" w:rsidRDefault="004C427F" w:rsidP="004C427F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27F" w:rsidRDefault="004C427F" w:rsidP="004C427F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27F" w:rsidRDefault="004C427F" w:rsidP="004C427F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7EFE" w:rsidRDefault="00D27EFE">
      <w:bookmarkStart w:id="0" w:name="_GoBack"/>
      <w:bookmarkEnd w:id="0"/>
    </w:p>
    <w:sectPr w:rsidR="00D27E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Antiqua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45F"/>
    <w:multiLevelType w:val="hybridMultilevel"/>
    <w:tmpl w:val="CD247D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21"/>
    <w:rsid w:val="004C427F"/>
    <w:rsid w:val="00D27EFE"/>
    <w:rsid w:val="00E5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4C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427F"/>
    <w:pPr>
      <w:spacing w:after="160" w:line="259" w:lineRule="auto"/>
      <w:ind w:left="720"/>
      <w:contextualSpacing/>
    </w:pPr>
  </w:style>
  <w:style w:type="paragraph" w:customStyle="1" w:styleId="Default">
    <w:name w:val="Default"/>
    <w:uiPriority w:val="99"/>
    <w:rsid w:val="004C4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unhideWhenUsed/>
    <w:qFormat/>
    <w:rsid w:val="004C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C427F"/>
    <w:pPr>
      <w:spacing w:after="160" w:line="259" w:lineRule="auto"/>
      <w:ind w:left="720"/>
      <w:contextualSpacing/>
    </w:pPr>
  </w:style>
  <w:style w:type="paragraph" w:customStyle="1" w:styleId="Default">
    <w:name w:val="Default"/>
    <w:uiPriority w:val="99"/>
    <w:rsid w:val="004C42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1000</Words>
  <Characters>5702</Characters>
  <Application>Microsoft Office Word</Application>
  <DocSecurity>0</DocSecurity>
  <Lines>47</Lines>
  <Paragraphs>13</Paragraphs>
  <ScaleCrop>false</ScaleCrop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2023-12-13T02:52:00Z</dcterms:created>
  <dcterms:modified xsi:type="dcterms:W3CDTF">2023-12-13T02:53:00Z</dcterms:modified>
</cp:coreProperties>
</file>