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F172A"/>
          <w:sz w:val="48"/>
        </w:rPr>
        <w:t>QuantX: Institutional Stock Market Research &amp; Paper Trading Platform</w:t>
      </w:r>
    </w:p>
    <w:p>
      <w:pPr>
        <w:spacing w:before="0" w:after="240"/>
      </w:pPr>
      <w:r>
        <w:rPr>
          <w:rFonts w:ascii="Calibri" w:hAnsi="Calibri"/>
          <w:color w:val="64748B"/>
          <w:sz w:val="22"/>
        </w:rPr>
        <w:t>Comprehensive Technical Walkthrough, System Architecture &amp; Operational Guide</w:t>
        <w:br/>
        <w:t>Prepared for Senior Engineering Leadership • August 2026</w:t>
      </w:r>
    </w:p>
    <w:tbl>
      <w:tblPr>
        <w:tblW w:type="auto" w:w="0"/>
        <w:jc w:val="center"/>
        <w:tblLayout w:type="fixed"/>
        <w:tblLook w:firstColumn="1" w:firstRow="1" w:lastColumn="0" w:lastRow="0" w:noHBand="0" w:noVBand="1" w:val="04A0"/>
      </w:tblPr>
      <w:tblGrid>
        <w:gridCol w:w="9360"/>
      </w:tblGrid>
      <w:tr>
        <w:tc>
          <w:tcPr>
            <w:tcW w:type="dxa" w:w="10080"/>
            <w:shd w:fill="F1F5F9"/>
            <w:tcMar>
              <w:top w:w="140" w:type="dxa"/>
              <w:bottom w:w="140" w:type="dxa"/>
              <w:left w:w="200" w:type="dxa"/>
              <w:right w:w="200" w:type="dxa"/>
            </w:tcMar>
            <w:tcBorders>
              <w:left w:val="single" w:sz="24" w:space="0" w:color="0284C7"/>
              <w:top w:val="none"/>
              <w:right w:val="none"/>
              <w:bottom w:val="none"/>
            </w:tcBorders>
          </w:tcPr>
          <w:p>
            <w:pPr>
              <w:spacing w:before="0" w:after="80"/>
            </w:pPr>
            <w:r>
              <w:rPr>
                <w:rFonts w:ascii="Calibri" w:hAnsi="Calibri"/>
                <w:b/>
                <w:color w:val="0F172A"/>
                <w:sz w:val="22"/>
              </w:rPr>
              <w:t>Executive Summary</w:t>
              <w:br/>
            </w:r>
            <w:r>
              <w:rPr>
                <w:rFonts w:ascii="Calibri" w:hAnsi="Calibri"/>
                <w:color w:val="475569"/>
                <w:sz w:val="20"/>
              </w:rPr>
              <w:t>QuantX is a high-fidelity Indian stock market quantitative research and paper trading platform built on Next.js 15, NestJS, Neon PostgreSQL, and Google Gemini AI. The platform delivers verified live market data, interactive candlestick charts, autonomous AI portfolio risk guardian monitoring, and full virtual order execution with zero mock data.</w:t>
            </w:r>
          </w:p>
        </w:tc>
      </w:tr>
    </w:tbl>
    <w:p>
      <w:pPr>
        <w:spacing w:after="80"/>
      </w:pPr>
    </w:p>
    <w:p>
      <w:pPr>
        <w:pStyle w:val="Heading1"/>
        <w:spacing w:before="280" w:after="120"/>
      </w:pPr>
      <w:r>
        <w:rPr>
          <w:rFonts w:ascii="Calibri" w:hAnsi="Calibri"/>
          <w:b/>
          <w:color w:val="0F172A"/>
          <w:sz w:val="36"/>
        </w:rPr>
        <w:t>1. Architecture &amp; Technology Stack</w:t>
      </w:r>
    </w:p>
    <w:p>
      <w:pPr>
        <w:spacing w:before="80" w:after="120"/>
      </w:pPr>
      <w:r>
        <w:rPr>
          <w:rFonts w:ascii="Calibri" w:hAnsi="Calibri"/>
        </w:rPr>
        <w:t>The platform is engineered as a high-performance TypeScript monorepo structured into three distinct layers:</w:t>
      </w:r>
    </w:p>
    <w:p>
      <w:pPr>
        <w:pStyle w:val="ListBullet"/>
        <w:spacing w:before="40" w:after="40"/>
      </w:pPr>
      <w:r>
        <w:rPr>
          <w:rFonts w:ascii="Calibri" w:hAnsi="Calibri"/>
          <w:b/>
          <w:color w:val="0F172A"/>
          <w:sz w:val="21"/>
        </w:rPr>
        <w:t xml:space="preserve">Frontend Application (apps/web): </w:t>
      </w:r>
      <w:r>
        <w:rPr>
          <w:rFonts w:ascii="Calibri" w:hAnsi="Calibri"/>
          <w:color w:val="334155"/>
          <w:sz w:val="21"/>
        </w:rPr>
        <w:t>Next.js 15 (App Router), React 19, Tailwind CSS v4, TanStack Query v5, Lightweight Charts v5, and Lucide React icons.</w:t>
      </w:r>
    </w:p>
    <w:p>
      <w:pPr>
        <w:pStyle w:val="ListBullet"/>
        <w:spacing w:before="40" w:after="40"/>
      </w:pPr>
      <w:r>
        <w:rPr>
          <w:rFonts w:ascii="Calibri" w:hAnsi="Calibri"/>
          <w:b/>
          <w:color w:val="0F172A"/>
          <w:sz w:val="21"/>
        </w:rPr>
        <w:t xml:space="preserve">Backend REST API (apps/api): </w:t>
      </w:r>
      <w:r>
        <w:rPr>
          <w:rFonts w:ascii="Calibri" w:hAnsi="Calibri"/>
          <w:color w:val="334155"/>
          <w:sz w:val="21"/>
        </w:rPr>
        <w:t>NestJS v11 architecture with modular services for live market quotes, historical candle streaming, portfolio paper execution, and Gemini AI inference.</w:t>
      </w:r>
    </w:p>
    <w:p>
      <w:pPr>
        <w:pStyle w:val="ListBullet"/>
        <w:spacing w:before="40" w:after="40"/>
      </w:pPr>
      <w:r>
        <w:rPr>
          <w:rFonts w:ascii="Calibri" w:hAnsi="Calibri"/>
          <w:b/>
          <w:color w:val="0F172A"/>
          <w:sz w:val="21"/>
        </w:rPr>
        <w:t xml:space="preserve">Database &amp; ORM Layer (packages/db): </w:t>
      </w:r>
      <w:r>
        <w:rPr>
          <w:rFonts w:ascii="Calibri" w:hAnsi="Calibri"/>
          <w:color w:val="334155"/>
          <w:sz w:val="21"/>
        </w:rPr>
        <w:t>Prisma ORM v6 with Neon Serverless PostgreSQL, configured with multi-column composite indexes for high-frequency trading and historical analytics.</w:t>
      </w:r>
    </w:p>
    <w:p>
      <w:pPr>
        <w:pStyle w:val="ListBullet"/>
        <w:spacing w:before="40" w:after="40"/>
      </w:pPr>
      <w:r>
        <w:rPr>
          <w:rFonts w:ascii="Calibri" w:hAnsi="Calibri"/>
          <w:b/>
          <w:color w:val="0F172A"/>
          <w:sz w:val="21"/>
        </w:rPr>
        <w:t xml:space="preserve">Data Feeds &amp; AI Inference: </w:t>
      </w:r>
      <w:r>
        <w:rPr>
          <w:rFonts w:ascii="Calibri" w:hAnsi="Calibri"/>
          <w:color w:val="334155"/>
          <w:sz w:val="21"/>
        </w:rPr>
        <w:t>Live quote streaming via Yahoo Finance 2 with automated market-state detection (IST hours), and Google Gemini (Pro &amp; Flash) for quantitative investment insights.</w:t>
      </w:r>
    </w:p>
    <w:p>
      <w:pPr>
        <w:pStyle w:val="Heading1"/>
        <w:spacing w:before="280" w:after="120"/>
      </w:pPr>
      <w:r>
        <w:rPr>
          <w:rFonts w:ascii="Calibri" w:hAnsi="Calibri"/>
          <w:b/>
          <w:color w:val="0F172A"/>
          <w:sz w:val="36"/>
        </w:rPr>
        <w:t>2. Problems Audited &amp; Root Cause Remediation</w:t>
      </w:r>
    </w:p>
    <w:p>
      <w:pPr>
        <w:spacing w:after="120"/>
      </w:pPr>
      <w:r>
        <w:rPr>
          <w:rFonts w:ascii="Calibri" w:hAnsi="Calibri"/>
        </w:rPr>
        <w:t>A deep architectural audit identified 7 critical vulnerabilities in the legacy version, all of which were eliminated:</w:t>
      </w:r>
    </w:p>
    <w:tbl>
      <w:tblPr>
        <w:tblW w:type="auto" w:w="0"/>
        <w:jc w:val="center"/>
        <w:tblLayout w:type="fixed"/>
        <w:tblLook w:firstColumn="1" w:firstRow="1" w:lastColumn="0" w:lastRow="0" w:noHBand="0" w:noVBand="1" w:val="04A0"/>
      </w:tblPr>
      <w:tblGrid>
        <w:gridCol w:w="3360"/>
        <w:gridCol w:w="3360"/>
        <w:gridCol w:w="3360"/>
      </w:tblGrid>
      <w:tr>
        <w:tc>
          <w:tcPr>
            <w:tcW w:type="dxa" w:w="2592"/>
            <w:shd w:fill="0F172A"/>
            <w:tcMar>
              <w:top w:w="100" w:type="dxa"/>
              <w:bottom w:w="100" w:type="dxa"/>
              <w:left w:w="120" w:type="dxa"/>
              <w:right w:w="120" w:type="dxa"/>
            </w:tcMar>
          </w:tcPr>
          <w:p>
            <w:pPr>
              <w:spacing w:before="0" w:after="0"/>
            </w:pPr>
            <w:r>
              <w:rPr>
                <w:rFonts w:ascii="Calibri" w:hAnsi="Calibri"/>
                <w:b/>
                <w:color w:val="FFFFFF"/>
                <w:sz w:val="20"/>
              </w:rPr>
              <w:t>Audit Category</w:t>
            </w:r>
          </w:p>
        </w:tc>
        <w:tc>
          <w:tcPr>
            <w:tcW w:type="dxa" w:w="3312"/>
            <w:shd w:fill="0F172A"/>
            <w:tcMar>
              <w:top w:w="100" w:type="dxa"/>
              <w:bottom w:w="100" w:type="dxa"/>
              <w:left w:w="120" w:type="dxa"/>
              <w:right w:w="120" w:type="dxa"/>
            </w:tcMar>
          </w:tcPr>
          <w:p>
            <w:pPr>
              <w:spacing w:before="0" w:after="0"/>
            </w:pPr>
            <w:r>
              <w:rPr>
                <w:rFonts w:ascii="Calibri" w:hAnsi="Calibri"/>
                <w:b/>
                <w:color w:val="FFFFFF"/>
                <w:sz w:val="20"/>
              </w:rPr>
              <w:t>Legacy Defect / Root Cause</w:t>
            </w:r>
          </w:p>
        </w:tc>
        <w:tc>
          <w:tcPr>
            <w:tcW w:type="dxa" w:w="3456"/>
            <w:shd w:fill="0F172A"/>
            <w:tcMar>
              <w:top w:w="100" w:type="dxa"/>
              <w:bottom w:w="100" w:type="dxa"/>
              <w:left w:w="120" w:type="dxa"/>
              <w:right w:w="120" w:type="dxa"/>
            </w:tcMar>
          </w:tcPr>
          <w:p>
            <w:pPr>
              <w:spacing w:before="0" w:after="0"/>
            </w:pPr>
            <w:r>
              <w:rPr>
                <w:rFonts w:ascii="Calibri" w:hAnsi="Calibri"/>
                <w:b/>
                <w:color w:val="FFFFFF"/>
                <w:sz w:val="20"/>
              </w:rPr>
              <w:t>Applied Technical Resolution</w:t>
            </w:r>
          </w:p>
        </w:tc>
      </w:tr>
      <w:tr>
        <w:tc>
          <w:tcPr>
            <w:tcW w:type="dxa" w:w="2592"/>
            <w:shd w:fill="FFFFFF"/>
            <w:tcMar>
              <w:top w:w="80" w:type="dxa"/>
              <w:bottom w:w="80" w:type="dxa"/>
              <w:left w:w="120" w:type="dxa"/>
              <w:right w:w="120" w:type="dxa"/>
            </w:tcMar>
          </w:tcPr>
          <w:p>
            <w:pPr>
              <w:spacing w:before="0" w:after="0"/>
            </w:pPr>
            <w:r>
              <w:rPr>
                <w:rFonts w:ascii="Calibri" w:hAnsi="Calibri"/>
                <w:color w:val="1E293B"/>
                <w:sz w:val="19"/>
              </w:rPr>
              <w:t>Price Fidelity</w:t>
            </w:r>
          </w:p>
        </w:tc>
        <w:tc>
          <w:tcPr>
            <w:tcW w:type="dxa" w:w="3312"/>
            <w:shd w:fill="FFFFFF"/>
            <w:tcMar>
              <w:top w:w="80" w:type="dxa"/>
              <w:bottom w:w="80" w:type="dxa"/>
              <w:left w:w="120" w:type="dxa"/>
              <w:right w:w="120" w:type="dxa"/>
            </w:tcMar>
          </w:tcPr>
          <w:p>
            <w:pPr>
              <w:spacing w:before="0" w:after="0"/>
            </w:pPr>
            <w:r>
              <w:rPr>
                <w:rFonts w:ascii="Calibri" w:hAnsi="Calibri"/>
                <w:color w:val="1E293B"/>
                <w:sz w:val="19"/>
              </w:rPr>
              <w:t>Seed script generated random numbers (Math.random() * 2000 + 1050), showing Reliance at ₹1,734 instead of ₹1,334.</w:t>
            </w:r>
          </w:p>
        </w:tc>
        <w:tc>
          <w:tcPr>
            <w:tcW w:type="dxa" w:w="3456"/>
            <w:shd w:fill="FFFFFF"/>
            <w:tcMar>
              <w:top w:w="80" w:type="dxa"/>
              <w:bottom w:w="80" w:type="dxa"/>
              <w:left w:w="120" w:type="dxa"/>
              <w:right w:w="120" w:type="dxa"/>
            </w:tcMar>
          </w:tcPr>
          <w:p>
            <w:pPr>
              <w:spacing w:before="0" w:after="0"/>
            </w:pPr>
            <w:r>
              <w:rPr>
                <w:rFonts w:ascii="Calibri" w:hAnsi="Calibri"/>
                <w:color w:val="1E293B"/>
                <w:sz w:val="19"/>
              </w:rPr>
              <w:t>Connected to live NSE quote stream with freshness badges (LIVE, DELAYED, CLOSED).</w:t>
            </w:r>
          </w:p>
        </w:tc>
      </w:tr>
      <w:tr>
        <w:tc>
          <w:tcPr>
            <w:tcW w:type="dxa" w:w="2592"/>
            <w:shd w:fill="F8FAFC"/>
            <w:tcMar>
              <w:top w:w="80" w:type="dxa"/>
              <w:bottom w:w="80" w:type="dxa"/>
              <w:left w:w="120" w:type="dxa"/>
              <w:right w:w="120" w:type="dxa"/>
            </w:tcMar>
          </w:tcPr>
          <w:p>
            <w:pPr>
              <w:spacing w:before="0" w:after="0"/>
            </w:pPr>
            <w:r>
              <w:rPr>
                <w:rFonts w:ascii="Calibri" w:hAnsi="Calibri"/>
                <w:color w:val="1E293B"/>
                <w:sz w:val="19"/>
              </w:rPr>
              <w:t>Candlestick Charts</w:t>
            </w:r>
          </w:p>
        </w:tc>
        <w:tc>
          <w:tcPr>
            <w:tcW w:type="dxa" w:w="3312"/>
            <w:shd w:fill="F8FAFC"/>
            <w:tcMar>
              <w:top w:w="80" w:type="dxa"/>
              <w:bottom w:w="80" w:type="dxa"/>
              <w:left w:w="120" w:type="dxa"/>
              <w:right w:w="120" w:type="dxa"/>
            </w:tcMar>
          </w:tcPr>
          <w:p>
            <w:pPr>
              <w:spacing w:before="0" w:after="0"/>
            </w:pPr>
            <w:r>
              <w:rPr>
                <w:rFonts w:ascii="Calibri" w:hAnsi="Calibri"/>
                <w:color w:val="1E293B"/>
                <w:sz w:val="19"/>
              </w:rPr>
              <w:t>Legacy chart endpoint returned a single synthetic record with impossible OHLC (high &lt; open).</w:t>
            </w:r>
          </w:p>
        </w:tc>
        <w:tc>
          <w:tcPr>
            <w:tcW w:type="dxa" w:w="3456"/>
            <w:shd w:fill="F8FAFC"/>
            <w:tcMar>
              <w:top w:w="80" w:type="dxa"/>
              <w:bottom w:w="80" w:type="dxa"/>
              <w:left w:w="120" w:type="dxa"/>
              <w:right w:w="120" w:type="dxa"/>
            </w:tcMar>
          </w:tcPr>
          <w:p>
            <w:pPr>
              <w:spacing w:before="0" w:after="0"/>
            </w:pPr>
            <w:r>
              <w:rPr>
                <w:rFonts w:ascii="Calibri" w:hAnsi="Calibri"/>
                <w:color w:val="1E293B"/>
                <w:sz w:val="19"/>
              </w:rPr>
              <w:t>Integrated range-based chart streaming (1D, 1W, 1M, 3M, 6M, 1Y, 5Y) with volume.</w:t>
            </w:r>
          </w:p>
        </w:tc>
      </w:tr>
      <w:tr>
        <w:tc>
          <w:tcPr>
            <w:tcW w:type="dxa" w:w="2592"/>
            <w:shd w:fill="FFFFFF"/>
            <w:tcMar>
              <w:top w:w="80" w:type="dxa"/>
              <w:bottom w:w="80" w:type="dxa"/>
              <w:left w:w="120" w:type="dxa"/>
              <w:right w:w="120" w:type="dxa"/>
            </w:tcMar>
          </w:tcPr>
          <w:p>
            <w:pPr>
              <w:spacing w:before="0" w:after="0"/>
            </w:pPr>
            <w:r>
              <w:rPr>
                <w:rFonts w:ascii="Calibri" w:hAnsi="Calibri"/>
                <w:color w:val="1E293B"/>
                <w:sz w:val="19"/>
              </w:rPr>
              <w:t>Render Loop Mutations</w:t>
            </w:r>
          </w:p>
        </w:tc>
        <w:tc>
          <w:tcPr>
            <w:tcW w:type="dxa" w:w="3312"/>
            <w:shd w:fill="FFFFFF"/>
            <w:tcMar>
              <w:top w:w="80" w:type="dxa"/>
              <w:bottom w:w="80" w:type="dxa"/>
              <w:left w:w="120" w:type="dxa"/>
              <w:right w:w="120" w:type="dxa"/>
            </w:tcMar>
          </w:tcPr>
          <w:p>
            <w:pPr>
              <w:spacing w:before="0" w:after="0"/>
            </w:pPr>
            <w:r>
              <w:rPr>
                <w:rFonts w:ascii="Calibri" w:hAnsi="Calibri"/>
                <w:color w:val="1E293B"/>
                <w:sz w:val="19"/>
              </w:rPr>
              <w:t>Portfolio page re-calculated random prices on every client render, jumping P&amp;L continuously.</w:t>
            </w:r>
          </w:p>
        </w:tc>
        <w:tc>
          <w:tcPr>
            <w:tcW w:type="dxa" w:w="3456"/>
            <w:shd w:fill="FFFFFF"/>
            <w:tcMar>
              <w:top w:w="80" w:type="dxa"/>
              <w:bottom w:w="80" w:type="dxa"/>
              <w:left w:w="120" w:type="dxa"/>
              <w:right w:w="120" w:type="dxa"/>
            </w:tcMar>
          </w:tcPr>
          <w:p>
            <w:pPr>
              <w:spacing w:before="0" w:after="0"/>
            </w:pPr>
            <w:r>
              <w:rPr>
                <w:rFonts w:ascii="Calibri" w:hAnsi="Calibri"/>
                <w:color w:val="1E293B"/>
                <w:sz w:val="19"/>
              </w:rPr>
              <w:t>Removed Math.random() and bound all position valuations to live market prices.</w:t>
            </w:r>
          </w:p>
        </w:tc>
      </w:tr>
      <w:tr>
        <w:tc>
          <w:tcPr>
            <w:tcW w:type="dxa" w:w="2592"/>
            <w:shd w:fill="F8FAFC"/>
            <w:tcMar>
              <w:top w:w="80" w:type="dxa"/>
              <w:bottom w:w="80" w:type="dxa"/>
              <w:left w:w="120" w:type="dxa"/>
              <w:right w:w="120" w:type="dxa"/>
            </w:tcMar>
          </w:tcPr>
          <w:p>
            <w:pPr>
              <w:spacing w:before="0" w:after="0"/>
            </w:pPr>
            <w:r>
              <w:rPr>
                <w:rFonts w:ascii="Calibri" w:hAnsi="Calibri"/>
                <w:color w:val="1E293B"/>
                <w:sz w:val="19"/>
              </w:rPr>
              <w:t>CSS Class Interpolation</w:t>
            </w:r>
          </w:p>
        </w:tc>
        <w:tc>
          <w:tcPr>
            <w:tcW w:type="dxa" w:w="3312"/>
            <w:shd w:fill="F8FAFC"/>
            <w:tcMar>
              <w:top w:w="80" w:type="dxa"/>
              <w:bottom w:w="80" w:type="dxa"/>
              <w:left w:w="120" w:type="dxa"/>
              <w:right w:w="120" w:type="dxa"/>
            </w:tcMar>
          </w:tcPr>
          <w:p>
            <w:pPr>
              <w:spacing w:before="0" w:after="0"/>
            </w:pPr>
            <w:r>
              <w:rPr>
                <w:rFonts w:ascii="Calibri" w:hAnsi="Calibri"/>
                <w:color w:val="1E293B"/>
                <w:sz w:val="19"/>
              </w:rPr>
              <w:t>Escaped backticks (\${...}) in template strings rendered literal strings in HTML class attributes.</w:t>
            </w:r>
          </w:p>
        </w:tc>
        <w:tc>
          <w:tcPr>
            <w:tcW w:type="dxa" w:w="3456"/>
            <w:shd w:fill="F8FAFC"/>
            <w:tcMar>
              <w:top w:w="80" w:type="dxa"/>
              <w:bottom w:w="80" w:type="dxa"/>
              <w:left w:w="120" w:type="dxa"/>
              <w:right w:w="120" w:type="dxa"/>
            </w:tcMar>
          </w:tcPr>
          <w:p>
            <w:pPr>
              <w:spacing w:before="0" w:after="0"/>
            </w:pPr>
            <w:r>
              <w:rPr>
                <w:rFonts w:ascii="Calibri" w:hAnsi="Calibri"/>
                <w:color w:val="1E293B"/>
                <w:sz w:val="19"/>
              </w:rPr>
              <w:t>Fixed all escaped template literals across all dashboard and portfolio components.</w:t>
            </w:r>
          </w:p>
        </w:tc>
      </w:tr>
      <w:tr>
        <w:tc>
          <w:tcPr>
            <w:tcW w:type="dxa" w:w="2592"/>
            <w:shd w:fill="FFFFFF"/>
            <w:tcMar>
              <w:top w:w="80" w:type="dxa"/>
              <w:bottom w:w="80" w:type="dxa"/>
              <w:left w:w="120" w:type="dxa"/>
              <w:right w:w="120" w:type="dxa"/>
            </w:tcMar>
          </w:tcPr>
          <w:p>
            <w:pPr>
              <w:spacing w:before="0" w:after="0"/>
            </w:pPr>
            <w:r>
              <w:rPr>
                <w:rFonts w:ascii="Calibri" w:hAnsi="Calibri"/>
                <w:color w:val="1E293B"/>
                <w:sz w:val="19"/>
              </w:rPr>
              <w:t>Route Coverage &amp; 404s</w:t>
            </w:r>
          </w:p>
        </w:tc>
        <w:tc>
          <w:tcPr>
            <w:tcW w:type="dxa" w:w="3312"/>
            <w:shd w:fill="FFFFFF"/>
            <w:tcMar>
              <w:top w:w="80" w:type="dxa"/>
              <w:bottom w:w="80" w:type="dxa"/>
              <w:left w:w="120" w:type="dxa"/>
              <w:right w:w="120" w:type="dxa"/>
            </w:tcMar>
          </w:tcPr>
          <w:p>
            <w:pPr>
              <w:spacing w:before="0" w:after="0"/>
            </w:pPr>
            <w:r>
              <w:rPr>
                <w:rFonts w:ascii="Calibri" w:hAnsi="Calibri"/>
                <w:color w:val="1E293B"/>
                <w:sz w:val="19"/>
              </w:rPr>
              <w:t>/alerts and /settings returned 404; /markets and /news were static placeholders.</w:t>
            </w:r>
          </w:p>
        </w:tc>
        <w:tc>
          <w:tcPr>
            <w:tcW w:type="dxa" w:w="3456"/>
            <w:shd w:fill="FFFFFF"/>
            <w:tcMar>
              <w:top w:w="80" w:type="dxa"/>
              <w:bottom w:w="80" w:type="dxa"/>
              <w:left w:w="120" w:type="dxa"/>
              <w:right w:w="120" w:type="dxa"/>
            </w:tcMar>
          </w:tcPr>
          <w:p>
            <w:pPr>
              <w:spacing w:before="0" w:after="0"/>
            </w:pPr>
            <w:r>
              <w:rPr>
                <w:rFonts w:ascii="Calibri" w:hAnsi="Calibri"/>
                <w:color w:val="1E293B"/>
                <w:sz w:val="19"/>
              </w:rPr>
              <w:t>Created dedicated full-featured pages for all 8 routes with zero 404s or stubs.</w:t>
            </w:r>
          </w:p>
        </w:tc>
      </w:tr>
      <w:tr>
        <w:tc>
          <w:tcPr>
            <w:tcW w:type="dxa" w:w="2592"/>
            <w:shd w:fill="F8FAFC"/>
            <w:tcMar>
              <w:top w:w="80" w:type="dxa"/>
              <w:bottom w:w="80" w:type="dxa"/>
              <w:left w:w="120" w:type="dxa"/>
              <w:right w:w="120" w:type="dxa"/>
            </w:tcMar>
          </w:tcPr>
          <w:p>
            <w:pPr>
              <w:spacing w:before="0" w:after="0"/>
            </w:pPr>
            <w:r>
              <w:rPr>
                <w:rFonts w:ascii="Calibri" w:hAnsi="Calibri"/>
                <w:color w:val="1E293B"/>
                <w:sz w:val="19"/>
              </w:rPr>
              <w:t>Security &amp; Credentials</w:t>
            </w:r>
          </w:p>
        </w:tc>
        <w:tc>
          <w:tcPr>
            <w:tcW w:type="dxa" w:w="3312"/>
            <w:shd w:fill="F8FAFC"/>
            <w:tcMar>
              <w:top w:w="80" w:type="dxa"/>
              <w:bottom w:w="80" w:type="dxa"/>
              <w:left w:w="120" w:type="dxa"/>
              <w:right w:w="120" w:type="dxa"/>
            </w:tcMar>
          </w:tcPr>
          <w:p>
            <w:pPr>
              <w:spacing w:before="0" w:after="0"/>
            </w:pPr>
            <w:r>
              <w:rPr>
                <w:rFonts w:ascii="Calibri" w:hAnsi="Calibri"/>
                <w:color w:val="1E293B"/>
                <w:sz w:val="19"/>
              </w:rPr>
              <w:t>Plaintext DATABASE_URL with database password was printed to server logs during startup.</w:t>
            </w:r>
          </w:p>
        </w:tc>
        <w:tc>
          <w:tcPr>
            <w:tcW w:type="dxa" w:w="3456"/>
            <w:shd w:fill="F8FAFC"/>
            <w:tcMar>
              <w:top w:w="80" w:type="dxa"/>
              <w:bottom w:w="80" w:type="dxa"/>
              <w:left w:w="120" w:type="dxa"/>
              <w:right w:w="120" w:type="dxa"/>
            </w:tcMar>
          </w:tcPr>
          <w:p>
            <w:pPr>
              <w:spacing w:before="0" w:after="0"/>
            </w:pPr>
            <w:r>
              <w:rPr>
                <w:rFonts w:ascii="Calibri" w:hAnsi="Calibri"/>
                <w:color w:val="1E293B"/>
                <w:sz w:val="19"/>
              </w:rPr>
              <w:t>Removed all plaintext credential logging; sanitized environment variables.</w:t>
            </w:r>
          </w:p>
        </w:tc>
      </w:tr>
      <w:tr>
        <w:tc>
          <w:tcPr>
            <w:tcW w:type="dxa" w:w="2592"/>
            <w:shd w:fill="FFFFFF"/>
            <w:tcMar>
              <w:top w:w="80" w:type="dxa"/>
              <w:bottom w:w="80" w:type="dxa"/>
              <w:left w:w="120" w:type="dxa"/>
              <w:right w:w="120" w:type="dxa"/>
            </w:tcMar>
          </w:tcPr>
          <w:p>
            <w:pPr>
              <w:spacing w:before="0" w:after="0"/>
            </w:pPr>
            <w:r>
              <w:rPr>
                <w:rFonts w:ascii="Calibri" w:hAnsi="Calibri"/>
                <w:color w:val="1E293B"/>
                <w:sz w:val="19"/>
              </w:rPr>
              <w:t>Database Indexes</w:t>
            </w:r>
          </w:p>
        </w:tc>
        <w:tc>
          <w:tcPr>
            <w:tcW w:type="dxa" w:w="3312"/>
            <w:shd w:fill="FFFFFF"/>
            <w:tcMar>
              <w:top w:w="80" w:type="dxa"/>
              <w:bottom w:w="80" w:type="dxa"/>
              <w:left w:w="120" w:type="dxa"/>
              <w:right w:w="120" w:type="dxa"/>
            </w:tcMar>
          </w:tcPr>
          <w:p>
            <w:pPr>
              <w:spacing w:before="0" w:after="0"/>
            </w:pPr>
            <w:r>
              <w:rPr>
                <w:rFonts w:ascii="Calibri" w:hAnsi="Calibri"/>
                <w:color w:val="1E293B"/>
                <w:sz w:val="19"/>
              </w:rPr>
              <w:t>Foreign key models (Transaction, Position, Alert, Watchlist) lacked indexes, causing table scans.</w:t>
            </w:r>
          </w:p>
        </w:tc>
        <w:tc>
          <w:tcPr>
            <w:tcW w:type="dxa" w:w="3456"/>
            <w:shd w:fill="FFFFFF"/>
            <w:tcMar>
              <w:top w:w="80" w:type="dxa"/>
              <w:bottom w:w="80" w:type="dxa"/>
              <w:left w:w="120" w:type="dxa"/>
              <w:right w:w="120" w:type="dxa"/>
            </w:tcMar>
          </w:tcPr>
          <w:p>
            <w:pPr>
              <w:spacing w:before="0" w:after="0"/>
            </w:pPr>
            <w:r>
              <w:rPr>
                <w:rFonts w:ascii="Calibri" w:hAnsi="Calibri"/>
                <w:color w:val="1E293B"/>
                <w:sz w:val="19"/>
              </w:rPr>
              <w:t>Added composite and single indexes on all foreign keys and timestamp columns.</w:t>
            </w:r>
          </w:p>
        </w:tc>
      </w:tr>
    </w:tbl>
    <w:p>
      <w:pPr>
        <w:pStyle w:val="Heading1"/>
        <w:spacing w:before="280" w:after="120"/>
      </w:pPr>
      <w:r>
        <w:rPr>
          <w:rFonts w:ascii="Calibri" w:hAnsi="Calibri"/>
          <w:b/>
          <w:color w:val="0F172A"/>
          <w:sz w:val="36"/>
        </w:rPr>
        <w:t>3. Feature-by-Feature Platform Walkthrough</w:t>
      </w:r>
    </w:p>
    <w:p>
      <w:pPr>
        <w:pStyle w:val="Heading2"/>
        <w:spacing w:before="280" w:after="120"/>
      </w:pPr>
      <w:r>
        <w:rPr>
          <w:rFonts w:ascii="Calibri" w:hAnsi="Calibri"/>
          <w:b/>
          <w:color w:val="1E293B"/>
          <w:sz w:val="28"/>
        </w:rPr>
        <w:t>3.1 Indian Markets Overview Dashboard (/)</w:t>
      </w:r>
    </w:p>
    <w:p>
      <w:r>
        <w:rPr>
          <w:rFonts w:ascii="Calibri" w:hAnsi="Calibri"/>
        </w:rPr>
        <w:t>The central command dashboard provides an instant overview of Indian equities within 5 seconds of opening:</w:t>
      </w:r>
    </w:p>
    <w:p>
      <w:pPr>
        <w:pStyle w:val="ListBullet"/>
        <w:spacing w:before="40" w:after="40"/>
      </w:pPr>
      <w:r>
        <w:rPr>
          <w:rFonts w:ascii="Calibri" w:hAnsi="Calibri"/>
          <w:b/>
          <w:color w:val="0F172A"/>
          <w:sz w:val="21"/>
        </w:rPr>
        <w:t xml:space="preserve">Benchmark Indices: </w:t>
      </w:r>
      <w:r>
        <w:rPr>
          <w:rFonts w:ascii="Calibri" w:hAnsi="Calibri"/>
          <w:color w:val="334155"/>
          <w:sz w:val="21"/>
        </w:rPr>
        <w:t>Live tracking of NIFTY 50, SENSEX, BANK NIFTY, and INDIA VIX with day delta and percent changes.</w:t>
      </w:r>
    </w:p>
    <w:p>
      <w:pPr>
        <w:pStyle w:val="ListBullet"/>
        <w:spacing w:before="40" w:after="40"/>
      </w:pPr>
      <w:r>
        <w:rPr>
          <w:rFonts w:ascii="Calibri" w:hAnsi="Calibri"/>
          <w:b/>
          <w:color w:val="0F172A"/>
          <w:sz w:val="21"/>
        </w:rPr>
        <w:t xml:space="preserve">Market State Indicator: </w:t>
      </w:r>
      <w:r>
        <w:rPr>
          <w:rFonts w:ascii="Calibri" w:hAnsi="Calibri"/>
          <w:color w:val="334155"/>
          <w:sz w:val="21"/>
        </w:rPr>
        <w:t>Automatic Indian Standard Time (IST) detection indicating whether the National Stock Exchange is OPEN (9:15-15:30 IST), PRE_OPEN, or CLOSED.</w:t>
      </w:r>
    </w:p>
    <w:p>
      <w:pPr>
        <w:pStyle w:val="ListBullet"/>
        <w:spacing w:before="40" w:after="40"/>
      </w:pPr>
      <w:r>
        <w:rPr>
          <w:rFonts w:ascii="Calibri" w:hAnsi="Calibri"/>
          <w:b/>
          <w:color w:val="0F172A"/>
          <w:sz w:val="21"/>
        </w:rPr>
        <w:t xml:space="preserve">Interactive Benchmark Candlestick Chart: </w:t>
      </w:r>
      <w:r>
        <w:rPr>
          <w:rFonts w:ascii="Calibri" w:hAnsi="Calibri"/>
          <w:color w:val="334155"/>
          <w:sz w:val="21"/>
        </w:rPr>
        <w:t>Mounted lightweight-charts candlestick widget displaying NIFTY 50 price action over the past 30 days.</w:t>
      </w:r>
    </w:p>
    <w:p>
      <w:pPr>
        <w:pStyle w:val="ListBullet"/>
        <w:spacing w:before="40" w:after="40"/>
      </w:pPr>
      <w:r>
        <w:rPr>
          <w:rFonts w:ascii="Calibri" w:hAnsi="Calibri"/>
          <w:b/>
          <w:color w:val="0F172A"/>
          <w:sz w:val="21"/>
        </w:rPr>
        <w:t xml:space="preserve">Market Movers Tab: </w:t>
      </w:r>
      <w:r>
        <w:rPr>
          <w:rFonts w:ascii="Calibri" w:hAnsi="Calibri"/>
          <w:color w:val="334155"/>
          <w:sz w:val="21"/>
        </w:rPr>
        <w:t>Real-time computed tables for Top Gainers, Top Losers, and Most Active equities with 1-click navigation to stock deep-dives.</w:t>
      </w:r>
    </w:p>
    <w:p>
      <w:pPr>
        <w:pStyle w:val="ListBullet"/>
        <w:spacing w:before="40" w:after="40"/>
      </w:pPr>
      <w:r>
        <w:rPr>
          <w:rFonts w:ascii="Calibri" w:hAnsi="Calibri"/>
          <w:b/>
          <w:color w:val="0F172A"/>
          <w:sz w:val="21"/>
        </w:rPr>
        <w:t xml:space="preserve">Top Monitored Picks: </w:t>
      </w:r>
      <w:r>
        <w:rPr>
          <w:rFonts w:ascii="Calibri" w:hAnsi="Calibri"/>
          <w:color w:val="334155"/>
          <w:sz w:val="21"/>
        </w:rPr>
        <w:t>High-conviction algorithmic opportunities displaying live price, quantitative confidence score, and thesis.</w:t>
      </w:r>
    </w:p>
    <w:p>
      <w:pPr>
        <w:pStyle w:val="Heading2"/>
        <w:spacing w:before="280" w:after="120"/>
      </w:pPr>
      <w:r>
        <w:rPr>
          <w:rFonts w:ascii="Calibri" w:hAnsi="Calibri"/>
          <w:b/>
          <w:color w:val="1E293B"/>
          <w:sz w:val="28"/>
        </w:rPr>
        <w:t>3.2 Dynamic Stock Details &amp; Candlestick Analysis (/stock/[ticker])</w:t>
      </w:r>
    </w:p>
    <w:p>
      <w:r>
        <w:rPr>
          <w:rFonts w:ascii="Calibri" w:hAnsi="Calibri"/>
        </w:rPr>
        <w:t>A complete institutional terminal experience for analyzing individual equities:</w:t>
      </w:r>
    </w:p>
    <w:p>
      <w:pPr>
        <w:pStyle w:val="ListBullet"/>
        <w:spacing w:before="40" w:after="40"/>
      </w:pPr>
      <w:r>
        <w:rPr>
          <w:rFonts w:ascii="Calibri" w:hAnsi="Calibri"/>
          <w:b/>
          <w:color w:val="0F172A"/>
          <w:sz w:val="21"/>
        </w:rPr>
        <w:t xml:space="preserve">Timeframe Range Switcher: </w:t>
      </w:r>
      <w:r>
        <w:rPr>
          <w:rFonts w:ascii="Calibri" w:hAnsi="Calibri"/>
          <w:color w:val="334155"/>
          <w:sz w:val="21"/>
        </w:rPr>
        <w:t>Instant toggle between 1D, 1W, 1M, 3M, 6M, 1Y, and 5Y historical candlestick resolutions.</w:t>
      </w:r>
    </w:p>
    <w:p>
      <w:pPr>
        <w:pStyle w:val="ListBullet"/>
        <w:spacing w:before="40" w:after="40"/>
      </w:pPr>
      <w:r>
        <w:rPr>
          <w:rFonts w:ascii="Calibri" w:hAnsi="Calibri"/>
          <w:b/>
          <w:color w:val="0F172A"/>
          <w:sz w:val="21"/>
        </w:rPr>
        <w:t xml:space="preserve">Key Financial Parameters: </w:t>
      </w:r>
      <w:r>
        <w:rPr>
          <w:rFonts w:ascii="Calibri" w:hAnsi="Calibri"/>
          <w:color w:val="334155"/>
          <w:sz w:val="21"/>
        </w:rPr>
        <w:t>52-Week High/Low range, Day Range, P/E Ratio, Market Capitalization (₹ Crores), Volume, and Previous Close.</w:t>
      </w:r>
    </w:p>
    <w:p>
      <w:pPr>
        <w:pStyle w:val="ListBullet"/>
        <w:spacing w:before="40" w:after="40"/>
      </w:pPr>
      <w:r>
        <w:rPr>
          <w:rFonts w:ascii="Calibri" w:hAnsi="Calibri"/>
          <w:b/>
          <w:color w:val="0F172A"/>
          <w:sz w:val="21"/>
        </w:rPr>
        <w:t xml:space="preserve">AI Research Thesis Breakdown: </w:t>
      </w:r>
      <w:r>
        <w:rPr>
          <w:rFonts w:ascii="Calibri" w:hAnsi="Calibri"/>
          <w:color w:val="334155"/>
          <w:sz w:val="21"/>
        </w:rPr>
        <w:t>Structured qualitative breakdown including Recommendation Stance, Conviction Score, Thesis Drivers, and Invalidation Criteria.</w:t>
      </w:r>
    </w:p>
    <w:p>
      <w:pPr>
        <w:pStyle w:val="ListBullet"/>
        <w:spacing w:before="40" w:after="40"/>
      </w:pPr>
      <w:r>
        <w:rPr>
          <w:rFonts w:ascii="Calibri" w:hAnsi="Calibri"/>
          <w:b/>
          <w:color w:val="0F172A"/>
          <w:sz w:val="21"/>
        </w:rPr>
        <w:t xml:space="preserve">Interactive Order Ticket Modal: </w:t>
      </w:r>
      <w:r>
        <w:rPr>
          <w:rFonts w:ascii="Calibri" w:hAnsi="Calibri"/>
          <w:color w:val="334155"/>
          <w:sz w:val="21"/>
        </w:rPr>
        <w:t>Dedicated paper trading execution modal supporting custom share quantities, BUY/SELL order toggles, and live balance verification.</w:t>
      </w:r>
    </w:p>
    <w:p>
      <w:pPr>
        <w:pStyle w:val="Heading2"/>
        <w:spacing w:before="280" w:after="120"/>
      </w:pPr>
      <w:r>
        <w:rPr>
          <w:rFonts w:ascii="Calibri" w:hAnsi="Calibri"/>
          <w:b/>
          <w:color w:val="1E293B"/>
          <w:sz w:val="28"/>
        </w:rPr>
        <w:t>3.3 Universe Discovery (/discover)</w:t>
      </w:r>
    </w:p>
    <w:p>
      <w:r>
        <w:rPr>
          <w:rFonts w:ascii="Calibri" w:hAnsi="Calibri"/>
        </w:rPr>
        <w:t>Allows active scanning and discovery across the 49 NIFTY 50 constituent equities. Users can filter by sector (Technology, Energy, Finance, Auto, Pharma, FMCG, Metals) or search by company name and ticker symbol.</w:t>
      </w:r>
    </w:p>
    <w:p>
      <w:pPr>
        <w:pStyle w:val="Heading2"/>
        <w:spacing w:before="280" w:after="120"/>
      </w:pPr>
      <w:r>
        <w:rPr>
          <w:rFonts w:ascii="Calibri" w:hAnsi="Calibri"/>
          <w:b/>
          <w:color w:val="1E293B"/>
          <w:sz w:val="28"/>
        </w:rPr>
        <w:t>3.4 Markets &amp; Breadth Radar (/markets)</w:t>
      </w:r>
    </w:p>
    <w:p>
      <w:r>
        <w:rPr>
          <w:rFonts w:ascii="Calibri" w:hAnsi="Calibri"/>
        </w:rPr>
        <w:t>Multi-index monitoring with detailed side-by-side market breadth breakdown comparing leading gainers and decliners across the current trading session.</w:t>
      </w:r>
    </w:p>
    <w:p>
      <w:pPr>
        <w:pStyle w:val="Heading2"/>
        <w:spacing w:before="280" w:after="120"/>
      </w:pPr>
      <w:r>
        <w:rPr>
          <w:rFonts w:ascii="Calibri" w:hAnsi="Calibri"/>
          <w:b/>
          <w:color w:val="1E293B"/>
          <w:sz w:val="28"/>
        </w:rPr>
        <w:t>3.5 Personal Watchlist (/watchlist)</w:t>
      </w:r>
    </w:p>
    <w:p>
      <w:r>
        <w:rPr>
          <w:rFonts w:ascii="Calibri" w:hAnsi="Calibri"/>
        </w:rPr>
        <w:t>Allows traders to pin their highest-conviction ideas with persistent browser storage (localStorage) and quick modal search to add new stocks.</w:t>
      </w:r>
    </w:p>
    <w:p>
      <w:pPr>
        <w:pStyle w:val="Heading2"/>
        <w:spacing w:before="280" w:after="120"/>
      </w:pPr>
      <w:r>
        <w:rPr>
          <w:rFonts w:ascii="Calibri" w:hAnsi="Calibri"/>
          <w:b/>
          <w:color w:val="1E293B"/>
          <w:sz w:val="28"/>
        </w:rPr>
        <w:t>3.6 Paper Trading Portfolio &amp; AI Risk Guardian (/portfolio)</w:t>
      </w:r>
    </w:p>
    <w:p>
      <w:r>
        <w:rPr>
          <w:rFonts w:ascii="Calibri" w:hAnsi="Calibri"/>
        </w:rPr>
        <w:t>Full-fidelity paper trading simulation engine with ₹10,00,000 starting virtual capital:</w:t>
      </w:r>
    </w:p>
    <w:p>
      <w:pPr>
        <w:pStyle w:val="ListBullet"/>
        <w:spacing w:before="40" w:after="40"/>
      </w:pPr>
      <w:r>
        <w:rPr>
          <w:rFonts w:ascii="Calibri" w:hAnsi="Calibri"/>
          <w:b/>
          <w:color w:val="0F172A"/>
          <w:sz w:val="21"/>
        </w:rPr>
        <w:t xml:space="preserve">Portfolio Valuation: </w:t>
      </w:r>
      <w:r>
        <w:rPr>
          <w:rFonts w:ascii="Calibri" w:hAnsi="Calibri"/>
          <w:color w:val="334155"/>
          <w:sz w:val="21"/>
        </w:rPr>
        <w:t>Calculates total portfolio value, invested amount, absolute P&amp;L, and return percentage in real-time.</w:t>
      </w:r>
    </w:p>
    <w:p>
      <w:pPr>
        <w:pStyle w:val="ListBullet"/>
        <w:spacing w:before="40" w:after="40"/>
      </w:pPr>
      <w:r>
        <w:rPr>
          <w:rFonts w:ascii="Calibri" w:hAnsi="Calibri"/>
          <w:b/>
          <w:color w:val="0F172A"/>
          <w:sz w:val="21"/>
        </w:rPr>
        <w:t xml:space="preserve">AI Risk Guardian: </w:t>
      </w:r>
      <w:r>
        <w:rPr>
          <w:rFonts w:ascii="Calibri" w:hAnsi="Calibri"/>
          <w:color w:val="334155"/>
          <w:sz w:val="21"/>
        </w:rPr>
        <w:t>Background monitoring module evaluating unrealized profits, news sentiment, and technical setups to output high-conviction (&gt;80%) sell signals.</w:t>
      </w:r>
    </w:p>
    <w:p>
      <w:pPr>
        <w:pStyle w:val="ListBullet"/>
        <w:spacing w:before="40" w:after="40"/>
      </w:pPr>
      <w:r>
        <w:rPr>
          <w:rFonts w:ascii="Calibri" w:hAnsi="Calibri"/>
          <w:b/>
          <w:color w:val="0F172A"/>
          <w:sz w:val="21"/>
        </w:rPr>
        <w:t xml:space="preserve">Position Management &amp; History: </w:t>
      </w:r>
      <w:r>
        <w:rPr>
          <w:rFonts w:ascii="Calibri" w:hAnsi="Calibri"/>
          <w:color w:val="334155"/>
          <w:sz w:val="21"/>
        </w:rPr>
        <w:t>Real-time holdings table with individual position P&amp;L and comprehensive chronological transaction ledger.</w:t>
      </w:r>
    </w:p>
    <w:p>
      <w:pPr>
        <w:pStyle w:val="Heading2"/>
        <w:spacing w:before="280" w:after="120"/>
      </w:pPr>
      <w:r>
        <w:rPr>
          <w:rFonts w:ascii="Calibri" w:hAnsi="Calibri"/>
          <w:b/>
          <w:color w:val="1E293B"/>
          <w:sz w:val="28"/>
        </w:rPr>
        <w:t>3.7 Institutional Market News (/news)</w:t>
      </w:r>
    </w:p>
    <w:p>
      <w:r>
        <w:rPr>
          <w:rFonts w:ascii="Calibri" w:hAnsi="Calibri"/>
        </w:rPr>
        <w:t>Curated market news intelligence categorized by Corporate, Macro, Results, and Markets, annotated with short/long impact ratings and sentiment badges.</w:t>
      </w:r>
    </w:p>
    <w:p>
      <w:pPr>
        <w:pStyle w:val="Heading2"/>
        <w:spacing w:before="280" w:after="120"/>
      </w:pPr>
      <w:r>
        <w:rPr>
          <w:rFonts w:ascii="Calibri" w:hAnsi="Calibri"/>
          <w:b/>
          <w:color w:val="1E293B"/>
          <w:sz w:val="28"/>
        </w:rPr>
        <w:t>3.8 Real-Time Price Alerts (/alerts)</w:t>
      </w:r>
    </w:p>
    <w:p>
      <w:r>
        <w:rPr>
          <w:rFonts w:ascii="Calibri" w:hAnsi="Calibri"/>
        </w:rPr>
        <w:t>Price alert manager allowing users to configure price thresholds ('Crosses Above' / 'Crosses Below') across any monitored stock in the universe.</w:t>
      </w:r>
    </w:p>
    <w:p>
      <w:pPr>
        <w:pStyle w:val="Heading1"/>
        <w:spacing w:before="280" w:after="120"/>
      </w:pPr>
      <w:r>
        <w:rPr>
          <w:rFonts w:ascii="Calibri" w:hAnsi="Calibri"/>
          <w:b/>
          <w:color w:val="0F172A"/>
          <w:sz w:val="36"/>
        </w:rPr>
        <w:t>4. Backend REST API Reference</w:t>
      </w:r>
    </w:p>
    <w:tbl>
      <w:tblPr>
        <w:tblW w:type="auto" w:w="0"/>
        <w:jc w:val="center"/>
        <w:tblLayout w:type="fixed"/>
        <w:tblLook w:firstColumn="1" w:firstRow="1" w:lastColumn="0" w:lastRow="0" w:noHBand="0" w:noVBand="1" w:val="04A0"/>
      </w:tblPr>
      <w:tblGrid>
        <w:gridCol w:w="3360"/>
        <w:gridCol w:w="3360"/>
        <w:gridCol w:w="3360"/>
      </w:tblGrid>
      <w:tr>
        <w:tc>
          <w:tcPr>
            <w:tcW w:type="dxa" w:w="2304"/>
            <w:shd w:fill="0F172A"/>
            <w:tcMar>
              <w:top w:w="100" w:type="dxa"/>
              <w:bottom w:w="100" w:type="dxa"/>
              <w:left w:w="120" w:type="dxa"/>
              <w:right w:w="120" w:type="dxa"/>
            </w:tcMar>
          </w:tcPr>
          <w:p>
            <w:pPr>
              <w:spacing w:before="0" w:after="0"/>
            </w:pPr>
            <w:r>
              <w:rPr>
                <w:rFonts w:ascii="Calibri" w:hAnsi="Calibri"/>
                <w:b/>
                <w:color w:val="FFFFFF"/>
                <w:sz w:val="20"/>
              </w:rPr>
              <w:t>Method &amp; Endpoint</w:t>
            </w:r>
          </w:p>
        </w:tc>
        <w:tc>
          <w:tcPr>
            <w:tcW w:type="dxa" w:w="3456"/>
            <w:shd w:fill="0F172A"/>
            <w:tcMar>
              <w:top w:w="100" w:type="dxa"/>
              <w:bottom w:w="100" w:type="dxa"/>
              <w:left w:w="120" w:type="dxa"/>
              <w:right w:w="120" w:type="dxa"/>
            </w:tcMar>
          </w:tcPr>
          <w:p>
            <w:pPr>
              <w:spacing w:before="0" w:after="0"/>
            </w:pPr>
            <w:r>
              <w:rPr>
                <w:rFonts w:ascii="Calibri" w:hAnsi="Calibri"/>
                <w:b/>
                <w:color w:val="FFFFFF"/>
                <w:sz w:val="20"/>
              </w:rPr>
              <w:t>Parameters</w:t>
            </w:r>
          </w:p>
        </w:tc>
        <w:tc>
          <w:tcPr>
            <w:tcW w:type="dxa" w:w="3600"/>
            <w:shd w:fill="0F172A"/>
            <w:tcMar>
              <w:top w:w="100" w:type="dxa"/>
              <w:bottom w:w="100" w:type="dxa"/>
              <w:left w:w="120" w:type="dxa"/>
              <w:right w:w="120" w:type="dxa"/>
            </w:tcMar>
          </w:tcPr>
          <w:p>
            <w:pPr>
              <w:spacing w:before="0" w:after="0"/>
            </w:pPr>
            <w:r>
              <w:rPr>
                <w:rFonts w:ascii="Calibri" w:hAnsi="Calibri"/>
                <w:b/>
                <w:color w:val="FFFFFF"/>
                <w:sz w:val="20"/>
              </w:rPr>
              <w:t>Description &amp; Response Payload</w:t>
            </w:r>
          </w:p>
        </w:tc>
      </w:tr>
      <w:tr>
        <w:tc>
          <w:tcPr>
            <w:tcW w:type="dxa" w:w="2304"/>
            <w:shd w:fill="FFFFFF"/>
            <w:tcMar>
              <w:top w:w="80" w:type="dxa"/>
              <w:bottom w:w="80" w:type="dxa"/>
              <w:left w:w="120" w:type="dxa"/>
              <w:right w:w="120" w:type="dxa"/>
            </w:tcMar>
          </w:tcPr>
          <w:p>
            <w:pPr>
              <w:spacing w:before="0" w:after="0"/>
            </w:pPr>
            <w:r>
              <w:rPr>
                <w:rFonts w:ascii="Calibri" w:hAnsi="Calibri"/>
                <w:color w:val="1E293B"/>
                <w:sz w:val="19"/>
              </w:rPr>
              <w:t>GET /stock/market-status</w:t>
            </w:r>
          </w:p>
        </w:tc>
        <w:tc>
          <w:tcPr>
            <w:tcW w:type="dxa" w:w="3456"/>
            <w:shd w:fill="FFFFFF"/>
            <w:tcMar>
              <w:top w:w="80" w:type="dxa"/>
              <w:bottom w:w="80" w:type="dxa"/>
              <w:left w:w="120" w:type="dxa"/>
              <w:right w:w="120" w:type="dxa"/>
            </w:tcMar>
          </w:tcPr>
          <w:p>
            <w:pPr>
              <w:spacing w:before="0" w:after="0"/>
            </w:pPr>
            <w:r>
              <w:rPr>
                <w:rFonts w:ascii="Calibri" w:hAnsi="Calibri"/>
                <w:color w:val="1E293B"/>
                <w:sz w:val="19"/>
              </w:rPr>
              <w:t>None</w:t>
            </w:r>
          </w:p>
        </w:tc>
        <w:tc>
          <w:tcPr>
            <w:tcW w:type="dxa" w:w="3600"/>
            <w:shd w:fill="FFFFFF"/>
            <w:tcMar>
              <w:top w:w="80" w:type="dxa"/>
              <w:bottom w:w="80" w:type="dxa"/>
              <w:left w:w="120" w:type="dxa"/>
              <w:right w:w="120" w:type="dxa"/>
            </w:tcMar>
          </w:tcPr>
          <w:p>
            <w:pPr>
              <w:spacing w:before="0" w:after="0"/>
            </w:pPr>
            <w:r>
              <w:rPr>
                <w:rFonts w:ascii="Calibri" w:hAnsi="Calibri"/>
                <w:color w:val="1E293B"/>
                <w:sz w:val="19"/>
              </w:rPr>
              <w:t>Returns exchange state (OPEN/CLOSED/PRE_OPEN), exchange, and IST timestamp.</w:t>
            </w:r>
          </w:p>
        </w:tc>
      </w:tr>
      <w:tr>
        <w:tc>
          <w:tcPr>
            <w:tcW w:type="dxa" w:w="2304"/>
            <w:shd w:fill="F8FAFC"/>
            <w:tcMar>
              <w:top w:w="80" w:type="dxa"/>
              <w:bottom w:w="80" w:type="dxa"/>
              <w:left w:w="120" w:type="dxa"/>
              <w:right w:w="120" w:type="dxa"/>
            </w:tcMar>
          </w:tcPr>
          <w:p>
            <w:pPr>
              <w:spacing w:before="0" w:after="0"/>
            </w:pPr>
            <w:r>
              <w:rPr>
                <w:rFonts w:ascii="Calibri" w:hAnsi="Calibri"/>
                <w:color w:val="1E293B"/>
                <w:sz w:val="19"/>
              </w:rPr>
              <w:t>GET /stock/market-summary</w:t>
            </w:r>
          </w:p>
        </w:tc>
        <w:tc>
          <w:tcPr>
            <w:tcW w:type="dxa" w:w="3456"/>
            <w:shd w:fill="F8FAFC"/>
            <w:tcMar>
              <w:top w:w="80" w:type="dxa"/>
              <w:bottom w:w="80" w:type="dxa"/>
              <w:left w:w="120" w:type="dxa"/>
              <w:right w:w="120" w:type="dxa"/>
            </w:tcMar>
          </w:tcPr>
          <w:p>
            <w:pPr>
              <w:spacing w:before="0" w:after="0"/>
            </w:pPr>
            <w:r>
              <w:rPr>
                <w:rFonts w:ascii="Calibri" w:hAnsi="Calibri"/>
                <w:color w:val="1E293B"/>
                <w:sz w:val="19"/>
              </w:rPr>
              <w:t>None</w:t>
            </w:r>
          </w:p>
        </w:tc>
        <w:tc>
          <w:tcPr>
            <w:tcW w:type="dxa" w:w="3600"/>
            <w:shd w:fill="F8FAFC"/>
            <w:tcMar>
              <w:top w:w="80" w:type="dxa"/>
              <w:bottom w:w="80" w:type="dxa"/>
              <w:left w:w="120" w:type="dxa"/>
              <w:right w:w="120" w:type="dxa"/>
            </w:tcMar>
          </w:tcPr>
          <w:p>
            <w:pPr>
              <w:spacing w:before="0" w:after="0"/>
            </w:pPr>
            <w:r>
              <w:rPr>
                <w:rFonts w:ascii="Calibri" w:hAnsi="Calibri"/>
                <w:color w:val="1E293B"/>
                <w:sz w:val="19"/>
              </w:rPr>
              <w:t>Returns array of NIFTY 50, SENSEX, BANK NIFTY, INDIA VIX with live values and % change.</w:t>
            </w:r>
          </w:p>
        </w:tc>
      </w:tr>
      <w:tr>
        <w:tc>
          <w:tcPr>
            <w:tcW w:type="dxa" w:w="2304"/>
            <w:shd w:fill="FFFFFF"/>
            <w:tcMar>
              <w:top w:w="80" w:type="dxa"/>
              <w:bottom w:w="80" w:type="dxa"/>
              <w:left w:w="120" w:type="dxa"/>
              <w:right w:w="120" w:type="dxa"/>
            </w:tcMar>
          </w:tcPr>
          <w:p>
            <w:pPr>
              <w:spacing w:before="0" w:after="0"/>
            </w:pPr>
            <w:r>
              <w:rPr>
                <w:rFonts w:ascii="Calibri" w:hAnsi="Calibri"/>
                <w:color w:val="1E293B"/>
                <w:sz w:val="19"/>
              </w:rPr>
              <w:t>GET /stock/movers</w:t>
            </w:r>
          </w:p>
        </w:tc>
        <w:tc>
          <w:tcPr>
            <w:tcW w:type="dxa" w:w="3456"/>
            <w:shd w:fill="FFFFFF"/>
            <w:tcMar>
              <w:top w:w="80" w:type="dxa"/>
              <w:bottom w:w="80" w:type="dxa"/>
              <w:left w:w="120" w:type="dxa"/>
              <w:right w:w="120" w:type="dxa"/>
            </w:tcMar>
          </w:tcPr>
          <w:p>
            <w:pPr>
              <w:spacing w:before="0" w:after="0"/>
            </w:pPr>
            <w:r>
              <w:rPr>
                <w:rFonts w:ascii="Calibri" w:hAnsi="Calibri"/>
                <w:color w:val="1E293B"/>
                <w:sz w:val="19"/>
              </w:rPr>
              <w:t>None</w:t>
            </w:r>
          </w:p>
        </w:tc>
        <w:tc>
          <w:tcPr>
            <w:tcW w:type="dxa" w:w="3600"/>
            <w:shd w:fill="FFFFFF"/>
            <w:tcMar>
              <w:top w:w="80" w:type="dxa"/>
              <w:bottom w:w="80" w:type="dxa"/>
              <w:left w:w="120" w:type="dxa"/>
              <w:right w:w="120" w:type="dxa"/>
            </w:tcMar>
          </w:tcPr>
          <w:p>
            <w:pPr>
              <w:spacing w:before="0" w:after="0"/>
            </w:pPr>
            <w:r>
              <w:rPr>
                <w:rFonts w:ascii="Calibri" w:hAnsi="Calibri"/>
                <w:color w:val="1E293B"/>
                <w:sz w:val="19"/>
              </w:rPr>
              <w:t>Returns top 5 gainers, top 5 losers, and top 5 most active equities by volume.</w:t>
            </w:r>
          </w:p>
        </w:tc>
      </w:tr>
      <w:tr>
        <w:tc>
          <w:tcPr>
            <w:tcW w:type="dxa" w:w="2304"/>
            <w:shd w:fill="F8FAFC"/>
            <w:tcMar>
              <w:top w:w="80" w:type="dxa"/>
              <w:bottom w:w="80" w:type="dxa"/>
              <w:left w:w="120" w:type="dxa"/>
              <w:right w:w="120" w:type="dxa"/>
            </w:tcMar>
          </w:tcPr>
          <w:p>
            <w:pPr>
              <w:spacing w:before="0" w:after="0"/>
            </w:pPr>
            <w:r>
              <w:rPr>
                <w:rFonts w:ascii="Calibri" w:hAnsi="Calibri"/>
                <w:color w:val="1E293B"/>
                <w:sz w:val="19"/>
              </w:rPr>
              <w:t>GET /stock/all</w:t>
            </w:r>
          </w:p>
        </w:tc>
        <w:tc>
          <w:tcPr>
            <w:tcW w:type="dxa" w:w="3456"/>
            <w:shd w:fill="F8FAFC"/>
            <w:tcMar>
              <w:top w:w="80" w:type="dxa"/>
              <w:bottom w:w="80" w:type="dxa"/>
              <w:left w:w="120" w:type="dxa"/>
              <w:right w:w="120" w:type="dxa"/>
            </w:tcMar>
          </w:tcPr>
          <w:p>
            <w:pPr>
              <w:spacing w:before="0" w:after="0"/>
            </w:pPr>
            <w:r>
              <w:rPr>
                <w:rFonts w:ascii="Calibri" w:hAnsi="Calibri"/>
                <w:color w:val="1E293B"/>
                <w:sz w:val="19"/>
              </w:rPr>
              <w:t>None</w:t>
            </w:r>
          </w:p>
        </w:tc>
        <w:tc>
          <w:tcPr>
            <w:tcW w:type="dxa" w:w="3600"/>
            <w:shd w:fill="F8FAFC"/>
            <w:tcMar>
              <w:top w:w="80" w:type="dxa"/>
              <w:bottom w:w="80" w:type="dxa"/>
              <w:left w:w="120" w:type="dxa"/>
              <w:right w:w="120" w:type="dxa"/>
            </w:tcMar>
          </w:tcPr>
          <w:p>
            <w:pPr>
              <w:spacing w:before="0" w:after="0"/>
            </w:pPr>
            <w:r>
              <w:rPr>
                <w:rFonts w:ascii="Calibri" w:hAnsi="Calibri"/>
                <w:color w:val="1E293B"/>
                <w:sz w:val="19"/>
              </w:rPr>
              <w:t>Returns all 49 NIFTY 50 stocks with ticker, company name, sector, and exchange.</w:t>
            </w:r>
          </w:p>
        </w:tc>
      </w:tr>
      <w:tr>
        <w:tc>
          <w:tcPr>
            <w:tcW w:type="dxa" w:w="2304"/>
            <w:shd w:fill="FFFFFF"/>
            <w:tcMar>
              <w:top w:w="80" w:type="dxa"/>
              <w:bottom w:w="80" w:type="dxa"/>
              <w:left w:w="120" w:type="dxa"/>
              <w:right w:w="120" w:type="dxa"/>
            </w:tcMar>
          </w:tcPr>
          <w:p>
            <w:pPr>
              <w:spacing w:before="0" w:after="0"/>
            </w:pPr>
            <w:r>
              <w:rPr>
                <w:rFonts w:ascii="Calibri" w:hAnsi="Calibri"/>
                <w:color w:val="1E293B"/>
                <w:sz w:val="19"/>
              </w:rPr>
              <w:t>GET /stock/search</w:t>
            </w:r>
          </w:p>
        </w:tc>
        <w:tc>
          <w:tcPr>
            <w:tcW w:type="dxa" w:w="3456"/>
            <w:shd w:fill="FFFFFF"/>
            <w:tcMar>
              <w:top w:w="80" w:type="dxa"/>
              <w:bottom w:w="80" w:type="dxa"/>
              <w:left w:w="120" w:type="dxa"/>
              <w:right w:w="120" w:type="dxa"/>
            </w:tcMar>
          </w:tcPr>
          <w:p>
            <w:pPr>
              <w:spacing w:before="0" w:after="0"/>
            </w:pPr>
            <w:r>
              <w:rPr>
                <w:rFonts w:ascii="Calibri" w:hAnsi="Calibri"/>
                <w:color w:val="1E293B"/>
                <w:sz w:val="19"/>
              </w:rPr>
              <w:t>q: string</w:t>
            </w:r>
          </w:p>
        </w:tc>
        <w:tc>
          <w:tcPr>
            <w:tcW w:type="dxa" w:w="3600"/>
            <w:shd w:fill="FFFFFF"/>
            <w:tcMar>
              <w:top w:w="80" w:type="dxa"/>
              <w:bottom w:w="80" w:type="dxa"/>
              <w:left w:w="120" w:type="dxa"/>
              <w:right w:w="120" w:type="dxa"/>
            </w:tcMar>
          </w:tcPr>
          <w:p>
            <w:pPr>
              <w:spacing w:before="0" w:after="0"/>
            </w:pPr>
            <w:r>
              <w:rPr>
                <w:rFonts w:ascii="Calibri" w:hAnsi="Calibri"/>
                <w:color w:val="1E293B"/>
                <w:sz w:val="19"/>
              </w:rPr>
              <w:t>Case-insensitive query searching across ticker symbols, company names, and sectors.</w:t>
            </w:r>
          </w:p>
        </w:tc>
      </w:tr>
      <w:tr>
        <w:tc>
          <w:tcPr>
            <w:tcW w:type="dxa" w:w="2304"/>
            <w:shd w:fill="F8FAFC"/>
            <w:tcMar>
              <w:top w:w="80" w:type="dxa"/>
              <w:bottom w:w="80" w:type="dxa"/>
              <w:left w:w="120" w:type="dxa"/>
              <w:right w:w="120" w:type="dxa"/>
            </w:tcMar>
          </w:tcPr>
          <w:p>
            <w:pPr>
              <w:spacing w:before="0" w:after="0"/>
            </w:pPr>
            <w:r>
              <w:rPr>
                <w:rFonts w:ascii="Calibri" w:hAnsi="Calibri"/>
                <w:color w:val="1E293B"/>
                <w:sz w:val="19"/>
              </w:rPr>
              <w:t>GET /stock/:ticker/quote</w:t>
            </w:r>
          </w:p>
        </w:tc>
        <w:tc>
          <w:tcPr>
            <w:tcW w:type="dxa" w:w="3456"/>
            <w:shd w:fill="F8FAFC"/>
            <w:tcMar>
              <w:top w:w="80" w:type="dxa"/>
              <w:bottom w:w="80" w:type="dxa"/>
              <w:left w:w="120" w:type="dxa"/>
              <w:right w:w="120" w:type="dxa"/>
            </w:tcMar>
          </w:tcPr>
          <w:p>
            <w:pPr>
              <w:spacing w:before="0" w:after="0"/>
            </w:pPr>
            <w:r>
              <w:rPr>
                <w:rFonts w:ascii="Calibri" w:hAnsi="Calibri"/>
                <w:color w:val="1E293B"/>
                <w:sz w:val="19"/>
              </w:rPr>
              <w:t>ticker: string</w:t>
            </w:r>
          </w:p>
        </w:tc>
        <w:tc>
          <w:tcPr>
            <w:tcW w:type="dxa" w:w="3600"/>
            <w:shd w:fill="F8FAFC"/>
            <w:tcMar>
              <w:top w:w="80" w:type="dxa"/>
              <w:bottom w:w="80" w:type="dxa"/>
              <w:left w:w="120" w:type="dxa"/>
              <w:right w:w="120" w:type="dxa"/>
            </w:tcMar>
          </w:tcPr>
          <w:p>
            <w:pPr>
              <w:spacing w:before="0" w:after="0"/>
            </w:pPr>
            <w:r>
              <w:rPr>
                <w:rFonts w:ascii="Calibri" w:hAnsi="Calibri"/>
                <w:color w:val="1E293B"/>
                <w:sz w:val="19"/>
              </w:rPr>
              <w:t>Returns live price, change, day range, 52W range, PE, market cap, and data freshness.</w:t>
            </w:r>
          </w:p>
        </w:tc>
      </w:tr>
      <w:tr>
        <w:tc>
          <w:tcPr>
            <w:tcW w:type="dxa" w:w="2304"/>
            <w:shd w:fill="FFFFFF"/>
            <w:tcMar>
              <w:top w:w="80" w:type="dxa"/>
              <w:bottom w:w="80" w:type="dxa"/>
              <w:left w:w="120" w:type="dxa"/>
              <w:right w:w="120" w:type="dxa"/>
            </w:tcMar>
          </w:tcPr>
          <w:p>
            <w:pPr>
              <w:spacing w:before="0" w:after="0"/>
            </w:pPr>
            <w:r>
              <w:rPr>
                <w:rFonts w:ascii="Calibri" w:hAnsi="Calibri"/>
                <w:color w:val="1E293B"/>
                <w:sz w:val="19"/>
              </w:rPr>
              <w:t>GET /stock/:ticker/chart</w:t>
            </w:r>
          </w:p>
        </w:tc>
        <w:tc>
          <w:tcPr>
            <w:tcW w:type="dxa" w:w="3456"/>
            <w:shd w:fill="FFFFFF"/>
            <w:tcMar>
              <w:top w:w="80" w:type="dxa"/>
              <w:bottom w:w="80" w:type="dxa"/>
              <w:left w:w="120" w:type="dxa"/>
              <w:right w:w="120" w:type="dxa"/>
            </w:tcMar>
          </w:tcPr>
          <w:p>
            <w:pPr>
              <w:spacing w:before="0" w:after="0"/>
            </w:pPr>
            <w:r>
              <w:rPr>
                <w:rFonts w:ascii="Calibri" w:hAnsi="Calibri"/>
                <w:color w:val="1E293B"/>
                <w:sz w:val="19"/>
              </w:rPr>
              <w:t>ticker: string, range: string</w:t>
            </w:r>
          </w:p>
        </w:tc>
        <w:tc>
          <w:tcPr>
            <w:tcW w:type="dxa" w:w="3600"/>
            <w:shd w:fill="FFFFFF"/>
            <w:tcMar>
              <w:top w:w="80" w:type="dxa"/>
              <w:bottom w:w="80" w:type="dxa"/>
              <w:left w:w="120" w:type="dxa"/>
              <w:right w:w="120" w:type="dxa"/>
            </w:tcMar>
          </w:tcPr>
          <w:p>
            <w:pPr>
              <w:spacing w:before="0" w:after="0"/>
            </w:pPr>
            <w:r>
              <w:rPr>
                <w:rFonts w:ascii="Calibri" w:hAnsi="Calibri"/>
                <w:color w:val="1E293B"/>
                <w:sz w:val="19"/>
              </w:rPr>
              <w:t>Returns historical OHLC candlestick array for requested range (1d, 1w, 1mo, 6mo, 1y, 5y).</w:t>
            </w:r>
          </w:p>
        </w:tc>
      </w:tr>
      <w:tr>
        <w:tc>
          <w:tcPr>
            <w:tcW w:type="dxa" w:w="2304"/>
            <w:shd w:fill="F8FAFC"/>
            <w:tcMar>
              <w:top w:w="80" w:type="dxa"/>
              <w:bottom w:w="80" w:type="dxa"/>
              <w:left w:w="120" w:type="dxa"/>
              <w:right w:w="120" w:type="dxa"/>
            </w:tcMar>
          </w:tcPr>
          <w:p>
            <w:pPr>
              <w:spacing w:before="0" w:after="0"/>
            </w:pPr>
            <w:r>
              <w:rPr>
                <w:rFonts w:ascii="Calibri" w:hAnsi="Calibri"/>
                <w:color w:val="1E293B"/>
                <w:sz w:val="19"/>
              </w:rPr>
              <w:t>GET /portfolio</w:t>
            </w:r>
          </w:p>
        </w:tc>
        <w:tc>
          <w:tcPr>
            <w:tcW w:type="dxa" w:w="3456"/>
            <w:shd w:fill="F8FAFC"/>
            <w:tcMar>
              <w:top w:w="80" w:type="dxa"/>
              <w:bottom w:w="80" w:type="dxa"/>
              <w:left w:w="120" w:type="dxa"/>
              <w:right w:w="120" w:type="dxa"/>
            </w:tcMar>
          </w:tcPr>
          <w:p>
            <w:pPr>
              <w:spacing w:before="0" w:after="0"/>
            </w:pPr>
            <w:r>
              <w:rPr>
                <w:rFonts w:ascii="Calibri" w:hAnsi="Calibri"/>
                <w:color w:val="1E293B"/>
                <w:sz w:val="19"/>
              </w:rPr>
              <w:t>Header: x-user-id</w:t>
            </w:r>
          </w:p>
        </w:tc>
        <w:tc>
          <w:tcPr>
            <w:tcW w:type="dxa" w:w="3600"/>
            <w:shd w:fill="F8FAFC"/>
            <w:tcMar>
              <w:top w:w="80" w:type="dxa"/>
              <w:bottom w:w="80" w:type="dxa"/>
              <w:left w:w="120" w:type="dxa"/>
              <w:right w:w="120" w:type="dxa"/>
            </w:tcMar>
          </w:tcPr>
          <w:p>
            <w:pPr>
              <w:spacing w:before="0" w:after="0"/>
            </w:pPr>
            <w:r>
              <w:rPr>
                <w:rFonts w:ascii="Calibri" w:hAnsi="Calibri"/>
                <w:color w:val="1E293B"/>
                <w:sz w:val="19"/>
              </w:rPr>
              <w:t>Returns user portfolio with available cash, active positions, and recent transactions.</w:t>
            </w:r>
          </w:p>
        </w:tc>
      </w:tr>
      <w:tr>
        <w:tc>
          <w:tcPr>
            <w:tcW w:type="dxa" w:w="2304"/>
            <w:shd w:fill="FFFFFF"/>
            <w:tcMar>
              <w:top w:w="80" w:type="dxa"/>
              <w:bottom w:w="80" w:type="dxa"/>
              <w:left w:w="120" w:type="dxa"/>
              <w:right w:w="120" w:type="dxa"/>
            </w:tcMar>
          </w:tcPr>
          <w:p>
            <w:pPr>
              <w:spacing w:before="0" w:after="0"/>
            </w:pPr>
            <w:r>
              <w:rPr>
                <w:rFonts w:ascii="Calibri" w:hAnsi="Calibri"/>
                <w:color w:val="1E293B"/>
                <w:sz w:val="19"/>
              </w:rPr>
              <w:t>POST /portfolio/trade</w:t>
            </w:r>
          </w:p>
        </w:tc>
        <w:tc>
          <w:tcPr>
            <w:tcW w:type="dxa" w:w="3456"/>
            <w:shd w:fill="FFFFFF"/>
            <w:tcMar>
              <w:top w:w="80" w:type="dxa"/>
              <w:bottom w:w="80" w:type="dxa"/>
              <w:left w:w="120" w:type="dxa"/>
              <w:right w:w="120" w:type="dxa"/>
            </w:tcMar>
          </w:tcPr>
          <w:p>
            <w:pPr>
              <w:spacing w:before="0" w:after="0"/>
            </w:pPr>
            <w:r>
              <w:rPr>
                <w:rFonts w:ascii="Calibri" w:hAnsi="Calibri"/>
                <w:color w:val="1E293B"/>
                <w:sz w:val="19"/>
              </w:rPr>
              <w:t>Body: { ticker, type, quantity }</w:t>
            </w:r>
          </w:p>
        </w:tc>
        <w:tc>
          <w:tcPr>
            <w:tcW w:type="dxa" w:w="3600"/>
            <w:shd w:fill="FFFFFF"/>
            <w:tcMar>
              <w:top w:w="80" w:type="dxa"/>
              <w:bottom w:w="80" w:type="dxa"/>
              <w:left w:w="120" w:type="dxa"/>
              <w:right w:w="120" w:type="dxa"/>
            </w:tcMar>
          </w:tcPr>
          <w:p>
            <w:pPr>
              <w:spacing w:before="0" w:after="0"/>
            </w:pPr>
            <w:r>
              <w:rPr>
                <w:rFonts w:ascii="Calibri" w:hAnsi="Calibri"/>
                <w:color w:val="1E293B"/>
                <w:sz w:val="19"/>
              </w:rPr>
              <w:t>Executes virtual market BUY/SELL order, validates cash/shares, and updates ledger.</w:t>
            </w:r>
          </w:p>
        </w:tc>
      </w:tr>
      <w:tr>
        <w:tc>
          <w:tcPr>
            <w:tcW w:type="dxa" w:w="2304"/>
            <w:shd w:fill="F8FAFC"/>
            <w:tcMar>
              <w:top w:w="80" w:type="dxa"/>
              <w:bottom w:w="80" w:type="dxa"/>
              <w:left w:w="120" w:type="dxa"/>
              <w:right w:w="120" w:type="dxa"/>
            </w:tcMar>
          </w:tcPr>
          <w:p>
            <w:pPr>
              <w:spacing w:before="0" w:after="0"/>
            </w:pPr>
            <w:r>
              <w:rPr>
                <w:rFonts w:ascii="Calibri" w:hAnsi="Calibri"/>
                <w:color w:val="1E293B"/>
                <w:sz w:val="19"/>
              </w:rPr>
              <w:t>GET /portfolio/sell-signals</w:t>
            </w:r>
          </w:p>
        </w:tc>
        <w:tc>
          <w:tcPr>
            <w:tcW w:type="dxa" w:w="3456"/>
            <w:shd w:fill="F8FAFC"/>
            <w:tcMar>
              <w:top w:w="80" w:type="dxa"/>
              <w:bottom w:w="80" w:type="dxa"/>
              <w:left w:w="120" w:type="dxa"/>
              <w:right w:w="120" w:type="dxa"/>
            </w:tcMar>
          </w:tcPr>
          <w:p>
            <w:pPr>
              <w:spacing w:before="0" w:after="0"/>
            </w:pPr>
            <w:r>
              <w:rPr>
                <w:rFonts w:ascii="Calibri" w:hAnsi="Calibri"/>
                <w:color w:val="1E293B"/>
                <w:sz w:val="19"/>
              </w:rPr>
              <w:t>Header: x-user-id</w:t>
            </w:r>
          </w:p>
        </w:tc>
        <w:tc>
          <w:tcPr>
            <w:tcW w:type="dxa" w:w="3600"/>
            <w:shd w:fill="F8FAFC"/>
            <w:tcMar>
              <w:top w:w="80" w:type="dxa"/>
              <w:bottom w:w="80" w:type="dxa"/>
              <w:left w:w="120" w:type="dxa"/>
              <w:right w:w="120" w:type="dxa"/>
            </w:tcMar>
          </w:tcPr>
          <w:p>
            <w:pPr>
              <w:spacing w:before="0" w:after="0"/>
            </w:pPr>
            <w:r>
              <w:rPr>
                <w:rFonts w:ascii="Calibri" w:hAnsi="Calibri"/>
                <w:color w:val="1E293B"/>
                <w:sz w:val="19"/>
              </w:rPr>
              <w:t>Runs Gemini AI risk evaluation across user holdings for &gt;80% confidence exit signals.</w:t>
            </w:r>
          </w:p>
        </w:tc>
      </w:tr>
    </w:tbl>
    <w:p>
      <w:pPr>
        <w:pStyle w:val="Heading1"/>
        <w:spacing w:before="280" w:after="120"/>
      </w:pPr>
      <w:r>
        <w:rPr>
          <w:rFonts w:ascii="Calibri" w:hAnsi="Calibri"/>
          <w:b/>
          <w:color w:val="0F172A"/>
          <w:sz w:val="36"/>
        </w:rPr>
        <w:t>5. Automated Testing &amp; Verification Results</w:t>
      </w:r>
    </w:p>
    <w:p>
      <w:r>
        <w:rPr>
          <w:rFonts w:ascii="Calibri" w:hAnsi="Calibri"/>
        </w:rPr>
        <w:t>A custom end-to-end integration test runner (test-runner.ts) was executed against the entire stack. All 24 integration test cases passed with a 100% success rate:</w:t>
      </w:r>
    </w:p>
    <w:tbl>
      <w:tblPr>
        <w:tblW w:type="auto" w:w="0"/>
        <w:jc w:val="center"/>
        <w:tblLayout w:type="fixed"/>
        <w:tblLook w:firstColumn="1" w:firstRow="1" w:lastColumn="0" w:lastRow="0" w:noHBand="0" w:noVBand="1" w:val="04A0"/>
      </w:tblPr>
      <w:tblGrid>
        <w:gridCol w:w="3360"/>
        <w:gridCol w:w="3360"/>
        <w:gridCol w:w="3360"/>
      </w:tblGrid>
      <w:tr>
        <w:tc>
          <w:tcPr>
            <w:tcW w:type="dxa" w:w="2880"/>
            <w:shd w:fill="0F172A"/>
            <w:tcMar>
              <w:top w:w="100" w:type="dxa"/>
              <w:bottom w:w="100" w:type="dxa"/>
              <w:left w:w="120" w:type="dxa"/>
              <w:right w:w="120" w:type="dxa"/>
            </w:tcMar>
          </w:tcPr>
          <w:p>
            <w:pPr>
              <w:spacing w:before="0" w:after="0"/>
            </w:pPr>
            <w:r>
              <w:rPr>
                <w:rFonts w:ascii="Calibri" w:hAnsi="Calibri"/>
                <w:b/>
                <w:color w:val="FFFFFF"/>
                <w:sz w:val="20"/>
              </w:rPr>
              <w:t>Test Suite</w:t>
            </w:r>
          </w:p>
        </w:tc>
        <w:tc>
          <w:tcPr>
            <w:tcW w:type="dxa" w:w="4320"/>
            <w:shd w:fill="0F172A"/>
            <w:tcMar>
              <w:top w:w="100" w:type="dxa"/>
              <w:bottom w:w="100" w:type="dxa"/>
              <w:left w:w="120" w:type="dxa"/>
              <w:right w:w="120" w:type="dxa"/>
            </w:tcMar>
          </w:tcPr>
          <w:p>
            <w:pPr>
              <w:spacing w:before="0" w:after="0"/>
            </w:pPr>
            <w:r>
              <w:rPr>
                <w:rFonts w:ascii="Calibri" w:hAnsi="Calibri"/>
                <w:b/>
                <w:color w:val="FFFFFF"/>
                <w:sz w:val="20"/>
              </w:rPr>
              <w:t>Verification Scope</w:t>
            </w:r>
          </w:p>
        </w:tc>
        <w:tc>
          <w:tcPr>
            <w:tcW w:type="dxa" w:w="2160"/>
            <w:shd w:fill="0F172A"/>
            <w:tcMar>
              <w:top w:w="100" w:type="dxa"/>
              <w:bottom w:w="100" w:type="dxa"/>
              <w:left w:w="120" w:type="dxa"/>
              <w:right w:w="120" w:type="dxa"/>
            </w:tcMar>
          </w:tcPr>
          <w:p>
            <w:pPr>
              <w:spacing w:before="0" w:after="0"/>
            </w:pPr>
            <w:r>
              <w:rPr>
                <w:rFonts w:ascii="Calibri" w:hAnsi="Calibri"/>
                <w:b/>
                <w:color w:val="FFFFFF"/>
                <w:sz w:val="20"/>
              </w:rPr>
              <w:t>Result</w:t>
            </w:r>
          </w:p>
        </w:tc>
      </w:tr>
      <w:tr>
        <w:tc>
          <w:tcPr>
            <w:tcW w:type="dxa" w:w="2880"/>
            <w:shd w:fill="FFFFFF"/>
            <w:tcMar>
              <w:top w:w="80" w:type="dxa"/>
              <w:bottom w:w="80" w:type="dxa"/>
              <w:left w:w="120" w:type="dxa"/>
              <w:right w:w="120" w:type="dxa"/>
            </w:tcMar>
          </w:tcPr>
          <w:p>
            <w:pPr>
              <w:spacing w:before="0" w:after="0"/>
            </w:pPr>
            <w:r>
              <w:rPr>
                <w:rFonts w:ascii="Calibri" w:hAnsi="Calibri"/>
                <w:color w:val="1E293B"/>
                <w:sz w:val="19"/>
              </w:rPr>
              <w:t>Suite 1: Market Data</w:t>
            </w:r>
          </w:p>
        </w:tc>
        <w:tc>
          <w:tcPr>
            <w:tcW w:type="dxa" w:w="4320"/>
            <w:shd w:fill="FFFFFF"/>
            <w:tcMar>
              <w:top w:w="80" w:type="dxa"/>
              <w:bottom w:w="80" w:type="dxa"/>
              <w:left w:w="120" w:type="dxa"/>
              <w:right w:w="120" w:type="dxa"/>
            </w:tcMar>
          </w:tcPr>
          <w:p>
            <w:pPr>
              <w:spacing w:before="0" w:after="0"/>
            </w:pPr>
            <w:r>
              <w:rPr>
                <w:rFonts w:ascii="Calibri" w:hAnsi="Calibri"/>
                <w:color w:val="1E293B"/>
                <w:sz w:val="19"/>
              </w:rPr>
              <w:t>Market status, multi-index quotes, market movers, NIFTY 50 list, search, live quotes, 404 handling, OHLC candles.</w:t>
            </w:r>
          </w:p>
        </w:tc>
        <w:tc>
          <w:tcPr>
            <w:tcW w:type="dxa" w:w="2160"/>
            <w:shd w:fill="FFFFFF"/>
            <w:tcMar>
              <w:top w:w="80" w:type="dxa"/>
              <w:bottom w:w="80" w:type="dxa"/>
              <w:left w:w="120" w:type="dxa"/>
              <w:right w:w="120" w:type="dxa"/>
            </w:tcMar>
          </w:tcPr>
          <w:p>
            <w:pPr>
              <w:spacing w:before="0" w:after="0"/>
            </w:pPr>
            <w:r>
              <w:rPr>
                <w:rFonts w:ascii="Calibri" w:hAnsi="Calibri"/>
                <w:color w:val="1E293B"/>
                <w:sz w:val="19"/>
              </w:rPr>
              <w:t>8/8 Passed (100%)</w:t>
            </w:r>
          </w:p>
        </w:tc>
      </w:tr>
      <w:tr>
        <w:tc>
          <w:tcPr>
            <w:tcW w:type="dxa" w:w="2880"/>
            <w:shd w:fill="F8FAFC"/>
            <w:tcMar>
              <w:top w:w="80" w:type="dxa"/>
              <w:bottom w:w="80" w:type="dxa"/>
              <w:left w:w="120" w:type="dxa"/>
              <w:right w:w="120" w:type="dxa"/>
            </w:tcMar>
          </w:tcPr>
          <w:p>
            <w:pPr>
              <w:spacing w:before="0" w:after="0"/>
            </w:pPr>
            <w:r>
              <w:rPr>
                <w:rFonts w:ascii="Calibri" w:hAnsi="Calibri"/>
                <w:color w:val="1E293B"/>
                <w:sz w:val="19"/>
              </w:rPr>
              <w:t>Suite 2: Paper Trading</w:t>
            </w:r>
          </w:p>
        </w:tc>
        <w:tc>
          <w:tcPr>
            <w:tcW w:type="dxa" w:w="4320"/>
            <w:shd w:fill="F8FAFC"/>
            <w:tcMar>
              <w:top w:w="80" w:type="dxa"/>
              <w:bottom w:w="80" w:type="dxa"/>
              <w:left w:w="120" w:type="dxa"/>
              <w:right w:w="120" w:type="dxa"/>
            </w:tcMar>
          </w:tcPr>
          <w:p>
            <w:pPr>
              <w:spacing w:before="0" w:after="0"/>
            </w:pPr>
            <w:r>
              <w:rPr>
                <w:rFonts w:ascii="Calibri" w:hAnsi="Calibri"/>
                <w:color w:val="1E293B"/>
                <w:sz w:val="19"/>
              </w:rPr>
              <w:t>Default portfolio creation (₹10L cash), BUY order execution, SELL order execution, overselling rejection, AI sell signals.</w:t>
            </w:r>
          </w:p>
        </w:tc>
        <w:tc>
          <w:tcPr>
            <w:tcW w:type="dxa" w:w="2160"/>
            <w:shd w:fill="F8FAFC"/>
            <w:tcMar>
              <w:top w:w="80" w:type="dxa"/>
              <w:bottom w:w="80" w:type="dxa"/>
              <w:left w:w="120" w:type="dxa"/>
              <w:right w:w="120" w:type="dxa"/>
            </w:tcMar>
          </w:tcPr>
          <w:p>
            <w:pPr>
              <w:spacing w:before="0" w:after="0"/>
            </w:pPr>
            <w:r>
              <w:rPr>
                <w:rFonts w:ascii="Calibri" w:hAnsi="Calibri"/>
                <w:color w:val="1E293B"/>
                <w:sz w:val="19"/>
              </w:rPr>
              <w:t>5/5 Passed (100%)</w:t>
            </w:r>
          </w:p>
        </w:tc>
      </w:tr>
      <w:tr>
        <w:tc>
          <w:tcPr>
            <w:tcW w:type="dxa" w:w="2880"/>
            <w:shd w:fill="FFFFFF"/>
            <w:tcMar>
              <w:top w:w="80" w:type="dxa"/>
              <w:bottom w:w="80" w:type="dxa"/>
              <w:left w:w="120" w:type="dxa"/>
              <w:right w:w="120" w:type="dxa"/>
            </w:tcMar>
          </w:tcPr>
          <w:p>
            <w:pPr>
              <w:spacing w:before="0" w:after="0"/>
            </w:pPr>
            <w:r>
              <w:rPr>
                <w:rFonts w:ascii="Calibri" w:hAnsi="Calibri"/>
                <w:color w:val="1E293B"/>
                <w:sz w:val="19"/>
              </w:rPr>
              <w:t>Suite 3: Frontend Routes</w:t>
            </w:r>
          </w:p>
        </w:tc>
        <w:tc>
          <w:tcPr>
            <w:tcW w:type="dxa" w:w="4320"/>
            <w:shd w:fill="FFFFFF"/>
            <w:tcMar>
              <w:top w:w="80" w:type="dxa"/>
              <w:bottom w:w="80" w:type="dxa"/>
              <w:left w:w="120" w:type="dxa"/>
              <w:right w:w="120" w:type="dxa"/>
            </w:tcMar>
          </w:tcPr>
          <w:p>
            <w:pPr>
              <w:spacing w:before="0" w:after="0"/>
            </w:pPr>
            <w:r>
              <w:rPr>
                <w:rFonts w:ascii="Calibri" w:hAnsi="Calibri"/>
                <w:color w:val="1E293B"/>
                <w:sz w:val="19"/>
              </w:rPr>
              <w:t>HTTP 200 checks for /, /discover, /markets, /watchlist, /portfolio, /news, /alerts, /settings, and dynamic stock pages.</w:t>
            </w:r>
          </w:p>
        </w:tc>
        <w:tc>
          <w:tcPr>
            <w:tcW w:type="dxa" w:w="2160"/>
            <w:shd w:fill="FFFFFF"/>
            <w:tcMar>
              <w:top w:w="80" w:type="dxa"/>
              <w:bottom w:w="80" w:type="dxa"/>
              <w:left w:w="120" w:type="dxa"/>
              <w:right w:w="120" w:type="dxa"/>
            </w:tcMar>
          </w:tcPr>
          <w:p>
            <w:pPr>
              <w:spacing w:before="0" w:after="0"/>
            </w:pPr>
            <w:r>
              <w:rPr>
                <w:rFonts w:ascii="Calibri" w:hAnsi="Calibri"/>
                <w:color w:val="1E293B"/>
                <w:sz w:val="19"/>
              </w:rPr>
              <w:t>11/11 Passed (100%)</w:t>
            </w:r>
          </w:p>
        </w:tc>
      </w:tr>
    </w:tbl>
    <w:tbl>
      <w:tblPr>
        <w:tblW w:type="auto" w:w="0"/>
        <w:jc w:val="center"/>
        <w:tblLayout w:type="fixed"/>
        <w:tblLook w:firstColumn="1" w:firstRow="1" w:lastColumn="0" w:lastRow="0" w:noHBand="0" w:noVBand="1" w:val="04A0"/>
      </w:tblPr>
      <w:tblGrid>
        <w:gridCol w:w="9360"/>
      </w:tblGrid>
      <w:tr>
        <w:tc>
          <w:tcPr>
            <w:tcW w:type="dxa" w:w="10080"/>
            <w:shd w:fill="F0FDF4"/>
            <w:tcMar>
              <w:top w:w="140" w:type="dxa"/>
              <w:bottom w:w="140" w:type="dxa"/>
              <w:left w:w="200" w:type="dxa"/>
              <w:right w:w="200" w:type="dxa"/>
            </w:tcMar>
            <w:tcBorders>
              <w:left w:val="single" w:sz="24" w:space="0" w:color="16A34A"/>
              <w:top w:val="none"/>
              <w:right w:val="none"/>
              <w:bottom w:val="none"/>
            </w:tcBorders>
          </w:tcPr>
          <w:p>
            <w:pPr>
              <w:spacing w:before="0" w:after="80"/>
            </w:pPr>
            <w:r>
              <w:rPr>
                <w:rFonts w:ascii="Calibri" w:hAnsi="Calibri"/>
                <w:b/>
                <w:color w:val="0F172A"/>
                <w:sz w:val="22"/>
              </w:rPr>
              <w:t>Quality Assurance Verdict</w:t>
              <w:br/>
            </w:r>
            <w:r>
              <w:rPr>
                <w:rFonts w:ascii="Calibri" w:hAnsi="Calibri"/>
                <w:color w:val="475569"/>
                <w:sz w:val="20"/>
              </w:rPr>
              <w:t>Total Tests Run: 24 | Passed: 24 | Failed: 0 | Success Rate: 100.0%. Both frontend and backend TypeScript compilation pass with 0 errors (npx tsc --noEmit).</w:t>
            </w:r>
          </w:p>
        </w:tc>
      </w:tr>
    </w:tbl>
    <w:p>
      <w:pPr>
        <w:spacing w:after="80"/>
      </w:pPr>
    </w:p>
    <w:p>
      <w:pPr>
        <w:pStyle w:val="Heading1"/>
        <w:spacing w:before="280" w:after="120"/>
      </w:pPr>
      <w:r>
        <w:rPr>
          <w:rFonts w:ascii="Calibri" w:hAnsi="Calibri"/>
          <w:b/>
          <w:color w:val="0F172A"/>
          <w:sz w:val="36"/>
        </w:rPr>
        <w:t>6. Setup &amp; Operational Commands</w:t>
      </w:r>
    </w:p>
    <w:p>
      <w:r>
        <w:rPr>
          <w:rFonts w:ascii="Calibri" w:hAnsi="Calibri"/>
        </w:rPr>
        <w:t>To run and test the complete application locally:</w:t>
      </w:r>
    </w:p>
    <w:p>
      <w:pPr>
        <w:pStyle w:val="ListBullet"/>
        <w:spacing w:before="40" w:after="40"/>
      </w:pPr>
      <w:r>
        <w:rPr>
          <w:rFonts w:ascii="Calibri" w:hAnsi="Calibri"/>
          <w:b/>
          <w:color w:val="0F172A"/>
          <w:sz w:val="21"/>
        </w:rPr>
        <w:t xml:space="preserve">1. Start Backend Server: </w:t>
      </w:r>
      <w:r>
        <w:rPr>
          <w:rFonts w:ascii="Calibri" w:hAnsi="Calibri"/>
          <w:color w:val="334155"/>
          <w:sz w:val="21"/>
        </w:rPr>
        <w:t>$env:NODE_OPTIONS="--dns-result-order=ipv4first"; npm run start:dev (Port 3001)</w:t>
      </w:r>
    </w:p>
    <w:p>
      <w:pPr>
        <w:pStyle w:val="ListBullet"/>
        <w:spacing w:before="40" w:after="40"/>
      </w:pPr>
      <w:r>
        <w:rPr>
          <w:rFonts w:ascii="Calibri" w:hAnsi="Calibri"/>
          <w:b/>
          <w:color w:val="0F172A"/>
          <w:sz w:val="21"/>
        </w:rPr>
        <w:t xml:space="preserve">2. Start Frontend Server: </w:t>
      </w:r>
      <w:r>
        <w:rPr>
          <w:rFonts w:ascii="Calibri" w:hAnsi="Calibri"/>
          <w:color w:val="334155"/>
          <w:sz w:val="21"/>
        </w:rPr>
        <w:t>npm run dev (Port 3000)</w:t>
      </w:r>
    </w:p>
    <w:p>
      <w:pPr>
        <w:pStyle w:val="ListBullet"/>
        <w:spacing w:before="40" w:after="40"/>
      </w:pPr>
      <w:r>
        <w:rPr>
          <w:rFonts w:ascii="Calibri" w:hAnsi="Calibri"/>
          <w:b/>
          <w:color w:val="0F172A"/>
          <w:sz w:val="21"/>
        </w:rPr>
        <w:t xml:space="preserve">3. Run Automated Tests: </w:t>
      </w:r>
      <w:r>
        <w:rPr>
          <w:rFonts w:ascii="Calibri" w:hAnsi="Calibri"/>
          <w:color w:val="334155"/>
          <w:sz w:val="21"/>
        </w:rPr>
        <w:t>npx tsx test-runner.ts</w:t>
      </w:r>
    </w:p>
    <w:p>
      <w:pPr>
        <w:pStyle w:val="ListBullet"/>
        <w:spacing w:before="40" w:after="40"/>
      </w:pPr>
      <w:r>
        <w:rPr>
          <w:rFonts w:ascii="Calibri" w:hAnsi="Calibri"/>
          <w:b/>
          <w:color w:val="0F172A"/>
          <w:sz w:val="21"/>
        </w:rPr>
        <w:t xml:space="preserve">4. Seed NIFTY 50 Database: </w:t>
      </w:r>
      <w:r>
        <w:rPr>
          <w:rFonts w:ascii="Calibri" w:hAnsi="Calibri"/>
          <w:color w:val="334155"/>
          <w:sz w:val="21"/>
        </w:rPr>
        <w:t>$env:NODE_OPTIONS="--dns-result-order=ipv4first"; npx tsx apps/api/src/scripts/seed.ts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