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04E5" w14:textId="77777777" w:rsidR="003E0C00" w:rsidRDefault="003E0C00">
      <w:pPr>
        <w:spacing w:before="80" w:after="80" w:line="276" w:lineRule="auto"/>
        <w:jc w:val="both"/>
      </w:pPr>
    </w:p>
    <w:p w14:paraId="517C98A9" w14:textId="6E45C8F7" w:rsidR="003E0C00" w:rsidRDefault="00000000">
      <w:pPr>
        <w:spacing w:before="40" w:after="40"/>
        <w:jc w:val="center"/>
      </w:pPr>
      <w:r>
        <w:rPr>
          <w:b/>
          <w:bCs/>
          <w:sz w:val="28"/>
          <w:szCs w:val="28"/>
        </w:rPr>
        <w:t>From Rejection to Recruitment: A Case Study on</w:t>
      </w:r>
      <w:r w:rsidR="00013FDE">
        <w:rPr>
          <w:b/>
          <w:bCs/>
          <w:sz w:val="28"/>
          <w:szCs w:val="28"/>
        </w:rPr>
        <w:t xml:space="preserve"> </w:t>
      </w:r>
      <w:r w:rsidR="00013FDE">
        <w:rPr>
          <w:b/>
          <w:bCs/>
          <w:sz w:val="28"/>
          <w:szCs w:val="28"/>
        </w:rPr>
        <w:t>Career Persistence</w:t>
      </w:r>
    </w:p>
    <w:p w14:paraId="33F97292" w14:textId="7BF64AED" w:rsidR="003E0C00" w:rsidRDefault="00013FDE">
      <w:pPr>
        <w:spacing w:before="40" w:after="40"/>
        <w:jc w:val="center"/>
      </w:pPr>
      <w:r>
        <w:rPr>
          <w:b/>
          <w:bCs/>
          <w:sz w:val="28"/>
          <w:szCs w:val="28"/>
        </w:rPr>
        <w:t xml:space="preserve">and </w:t>
      </w:r>
      <w:r w:rsidR="00000000">
        <w:rPr>
          <w:b/>
          <w:bCs/>
          <w:sz w:val="28"/>
          <w:szCs w:val="28"/>
        </w:rPr>
        <w:t>Psychological Resilience Among</w:t>
      </w:r>
    </w:p>
    <w:p w14:paraId="03AD2974" w14:textId="77777777" w:rsidR="003E0C00" w:rsidRDefault="00000000">
      <w:pPr>
        <w:spacing w:before="40" w:after="40"/>
        <w:jc w:val="center"/>
      </w:pPr>
      <w:r>
        <w:rPr>
          <w:b/>
          <w:bCs/>
          <w:sz w:val="28"/>
          <w:szCs w:val="28"/>
        </w:rPr>
        <w:t>Software Engineering Graduates in Sri Lanka</w:t>
      </w:r>
    </w:p>
    <w:p w14:paraId="251BF586" w14:textId="77777777" w:rsidR="003E0C00" w:rsidRDefault="003E0C00">
      <w:pPr>
        <w:spacing w:before="80" w:after="80" w:line="276" w:lineRule="auto"/>
        <w:jc w:val="both"/>
      </w:pPr>
    </w:p>
    <w:p w14:paraId="3CA6D9DD" w14:textId="77777777" w:rsidR="003E0C00" w:rsidRDefault="00000000">
      <w:pPr>
        <w:spacing w:before="30" w:after="30"/>
        <w:jc w:val="center"/>
      </w:pPr>
      <w:r>
        <w:t>Arshak Ahamed</w:t>
      </w:r>
    </w:p>
    <w:p w14:paraId="037942E7" w14:textId="0C71B9AF" w:rsidR="003E0C00" w:rsidRDefault="00000000" w:rsidP="00013FDE">
      <w:pPr>
        <w:spacing w:before="30" w:after="30"/>
        <w:jc w:val="center"/>
      </w:pPr>
      <w:r>
        <w:t xml:space="preserve">B.Sc. (Hons) Software </w:t>
      </w:r>
      <w:proofErr w:type="gramStart"/>
      <w:r>
        <w:t>Engineering  |</w:t>
      </w:r>
      <w:proofErr w:type="gramEnd"/>
      <w:r>
        <w:t xml:space="preserve">  Cardiff Metropolitan University </w:t>
      </w:r>
    </w:p>
    <w:p w14:paraId="5E084699" w14:textId="2EAB046F" w:rsidR="003E0C00" w:rsidRDefault="00000000">
      <w:pPr>
        <w:spacing w:before="30" w:after="30"/>
        <w:jc w:val="center"/>
      </w:pPr>
      <w:r>
        <w:t xml:space="preserve">arshakahamad55@gmail.com  </w:t>
      </w:r>
    </w:p>
    <w:p w14:paraId="7E893BA3" w14:textId="77777777" w:rsidR="003E0C00" w:rsidRDefault="003E0C00">
      <w:pPr>
        <w:spacing w:before="80" w:after="80" w:line="276" w:lineRule="auto"/>
        <w:jc w:val="both"/>
      </w:pPr>
    </w:p>
    <w:p w14:paraId="71C1D72B" w14:textId="77777777" w:rsidR="003E0C00" w:rsidRDefault="003E0C00">
      <w:pPr>
        <w:pBdr>
          <w:bottom w:val="single" w:sz="1" w:space="0" w:color="AAAAAA"/>
        </w:pBdr>
        <w:spacing w:before="100" w:after="100"/>
      </w:pPr>
    </w:p>
    <w:p w14:paraId="34688FAC" w14:textId="77777777" w:rsidR="003E0C00" w:rsidRDefault="00000000">
      <w:pPr>
        <w:spacing w:before="200" w:after="100"/>
        <w:jc w:val="center"/>
      </w:pPr>
      <w:r>
        <w:rPr>
          <w:b/>
          <w:bCs/>
          <w:sz w:val="22"/>
          <w:szCs w:val="22"/>
        </w:rPr>
        <w:t>ABSTRACT</w:t>
      </w:r>
    </w:p>
    <w:p w14:paraId="2A5C877D" w14:textId="77777777" w:rsidR="003E0C00" w:rsidRDefault="00000000">
      <w:pPr>
        <w:spacing w:before="70" w:after="70" w:line="276" w:lineRule="auto"/>
        <w:ind w:firstLine="720"/>
        <w:jc w:val="both"/>
      </w:pPr>
      <w:r>
        <w:t xml:space="preserve">This paper presents a first-person autoethnographic case study examining the psychological, socioeconomic, and professional challenges encountered by a software engineering undergraduate during a four-month internship search in Sri Lanka. The study chronicles the sequential phases of repeated application rejection, acute mental health strain under family financial responsibility, temporary engagement in non-field employment as a coping mechanism, and the eventual successful placement as Intern Software Engineer at </w:t>
      </w:r>
      <w:proofErr w:type="spellStart"/>
      <w:r>
        <w:t>CeylonX</w:t>
      </w:r>
      <w:proofErr w:type="spellEnd"/>
      <w:r>
        <w:t xml:space="preserve"> Corporation. Grounded in career development psychology—including Conservation of Resources theory, sociometer theory, and grit research—the paper translates lived experience into actionable guidance for fresh graduates and institutional stakeholders. The central argument is that structured, adaptive persistence constitutes a statistically viable and personally sustainable pathway through even the most discouraging recruitment landscape. Three pillars are identified as critical to bridging the qualification-to-employment gap: family motivation, interim purposeful activity, and iterative self-refinement between applications.</w:t>
      </w:r>
    </w:p>
    <w:p w14:paraId="3AC67D42" w14:textId="77777777" w:rsidR="003E0C00" w:rsidRDefault="003E0C00">
      <w:pPr>
        <w:spacing w:before="80" w:after="80" w:line="276" w:lineRule="auto"/>
        <w:jc w:val="both"/>
      </w:pPr>
    </w:p>
    <w:p w14:paraId="6BC02551" w14:textId="77777777" w:rsidR="003E0C00" w:rsidRDefault="00000000">
      <w:pPr>
        <w:spacing w:before="60" w:after="80"/>
        <w:ind w:firstLine="720"/>
        <w:jc w:val="both"/>
      </w:pPr>
      <w:r>
        <w:rPr>
          <w:b/>
          <w:bCs/>
        </w:rPr>
        <w:t xml:space="preserve">Keywords — </w:t>
      </w:r>
      <w:r>
        <w:t>graduate employment; software engineering internship; career resilience; job rejection psychology; mental health; Sri Lanka ICT sector; first employment; persistence model; fresh graduate transition.</w:t>
      </w:r>
    </w:p>
    <w:p w14:paraId="4564742F" w14:textId="77777777" w:rsidR="003E0C00" w:rsidRDefault="003E0C00">
      <w:pPr>
        <w:pBdr>
          <w:bottom w:val="single" w:sz="1" w:space="0" w:color="AAAAAA"/>
        </w:pBdr>
        <w:spacing w:before="100" w:after="100"/>
      </w:pPr>
    </w:p>
    <w:p w14:paraId="39CA0E4F" w14:textId="77777777" w:rsidR="003E0C00" w:rsidRDefault="00000000">
      <w:pPr>
        <w:spacing w:before="200" w:after="80"/>
        <w:jc w:val="center"/>
      </w:pPr>
      <w:r>
        <w:rPr>
          <w:b/>
          <w:bCs/>
          <w:sz w:val="22"/>
          <w:szCs w:val="22"/>
        </w:rPr>
        <w:t>I. INTRODUCTION</w:t>
      </w:r>
    </w:p>
    <w:p w14:paraId="1793C15F" w14:textId="77777777" w:rsidR="003E0C00" w:rsidRDefault="00000000">
      <w:pPr>
        <w:spacing w:before="70" w:after="70" w:line="276" w:lineRule="auto"/>
        <w:ind w:firstLine="720"/>
        <w:jc w:val="both"/>
      </w:pPr>
      <w:r>
        <w:t>The passage from academic study to sustained professional employment is among the most psychologically consequential transitions a graduate will navigate. For students of technical disciplines, this transition is frequently idealized: the prevailing assumption holds that proficiency in modern programming frameworks and demonstrable project portfolios should translate directly and efficiently into employment offers. The reality encountered by the majority of fresh graduates diverges markedly from this expectation—particularly within developing economies where industry demand is growing yet entry-level experience thresholds remain paradoxically high.</w:t>
      </w:r>
    </w:p>
    <w:p w14:paraId="1A6E16BB" w14:textId="77777777" w:rsidR="003E0C00" w:rsidRDefault="00000000">
      <w:pPr>
        <w:spacing w:before="70" w:after="70" w:line="276" w:lineRule="auto"/>
        <w:ind w:firstLine="720"/>
        <w:jc w:val="both"/>
      </w:pPr>
      <w:r>
        <w:t>Sri Lanka's information and communication technology sector has expanded significantly across the past decade, supported by targeted government investment and export-oriented policy frameworks. The country currently produces approximately 15,000–18,000 IT-related graduates annually. Yet studies indicate that a substantial proportion of these graduates remain unemployed or underemployed for three to six months following degree completion, with candidates from non-metropolitan backgrounds facing structurally greater barriers than those situated within Colombo's technology corridor.</w:t>
      </w:r>
    </w:p>
    <w:p w14:paraId="0C6AC6C6" w14:textId="77777777" w:rsidR="003E0C00" w:rsidRDefault="00000000">
      <w:pPr>
        <w:spacing w:before="70" w:after="70" w:line="276" w:lineRule="auto"/>
        <w:ind w:firstLine="720"/>
        <w:jc w:val="both"/>
      </w:pPr>
      <w:r>
        <w:t xml:space="preserve">This paper is anchored in direct personal experience. During the final year of a B.Sc. (Hons) Software Engineering program at Cardiff Metropolitan University, the author underwent a four-month period of active internship searching that produced sustained rejection, financial pressure compounded by the responsibility of supporting a family, significant psychological disturbance, and ultimately a successful placement at </w:t>
      </w:r>
      <w:proofErr w:type="spellStart"/>
      <w:r>
        <w:t>CeylonX</w:t>
      </w:r>
      <w:proofErr w:type="spellEnd"/>
      <w:r>
        <w:t xml:space="preserve"> Corporation. The account presented here is structured against established theoretical frameworks to ensure analytical credibility and transferable insight, rather than remaining purely anecdotal.</w:t>
      </w:r>
    </w:p>
    <w:p w14:paraId="77584E4D" w14:textId="77777777" w:rsidR="003E0C00" w:rsidRDefault="00000000">
      <w:pPr>
        <w:spacing w:before="70" w:after="70" w:line="276" w:lineRule="auto"/>
        <w:ind w:firstLine="720"/>
        <w:jc w:val="both"/>
      </w:pPr>
      <w:r>
        <w:t xml:space="preserve">The objectives of this paper are fourfold: (1) to document the psychological trajectory of a fresh graduate through a protracted rejection-to-hire pipeline; (2) to identify the structural and personal factors that sustained motivation during </w:t>
      </w:r>
      <w:r>
        <w:lastRenderedPageBreak/>
        <w:t>prolonged unemployment; (3) to propose a replicable persistence model for software engineering graduates in comparable circumstances; and (4) to issue targeted recommendations to graduates, academic institutions, and the broader ICT industry.</w:t>
      </w:r>
    </w:p>
    <w:p w14:paraId="11C0DEE8" w14:textId="77777777" w:rsidR="003E0C00" w:rsidRDefault="00000000">
      <w:pPr>
        <w:spacing w:before="200" w:after="80"/>
        <w:jc w:val="center"/>
      </w:pPr>
      <w:r>
        <w:rPr>
          <w:b/>
          <w:bCs/>
          <w:sz w:val="22"/>
          <w:szCs w:val="22"/>
        </w:rPr>
        <w:t>II. BACKGROUND AND LITERATURE CONTEXT</w:t>
      </w:r>
    </w:p>
    <w:p w14:paraId="2F34125F" w14:textId="77777777" w:rsidR="003E0C00" w:rsidRDefault="00000000">
      <w:pPr>
        <w:spacing w:before="120" w:after="50"/>
      </w:pPr>
      <w:r>
        <w:rPr>
          <w:b/>
          <w:bCs/>
        </w:rPr>
        <w:t>A.  Graduate Unemployment in the Sri Lankan ICT Sector</w:t>
      </w:r>
    </w:p>
    <w:p w14:paraId="7BB180CD" w14:textId="77777777" w:rsidR="003E0C00" w:rsidRDefault="00000000">
      <w:pPr>
        <w:spacing w:before="70" w:after="70" w:line="276" w:lineRule="auto"/>
        <w:ind w:firstLine="720"/>
        <w:jc w:val="both"/>
      </w:pPr>
      <w:r>
        <w:t>Despite government prioritization of the ICT sector as a key contributor to GDP and foreign exchange earnings, structural mismatches between graduate competencies and industry expectations persist. Reports from the Information and Communication Technology Agency of Sri Lanka (ICTA) highlight a recurring disconnect between the theoretical depth of university curricula and the applied, commercially-contextualized skills demanded by employers at entry level. This mismatch generates an experience paradox: internship positions require professional experience that can only be acquired through internship positions.</w:t>
      </w:r>
    </w:p>
    <w:p w14:paraId="63A744D0" w14:textId="77777777" w:rsidR="003E0C00" w:rsidRDefault="00000000">
      <w:pPr>
        <w:spacing w:before="120" w:after="50"/>
      </w:pPr>
      <w:r>
        <w:rPr>
          <w:b/>
          <w:bCs/>
        </w:rPr>
        <w:t>B.  Psychological Impact of Sustained Rejection</w:t>
      </w:r>
    </w:p>
    <w:p w14:paraId="2307C1A5" w14:textId="77777777" w:rsidR="003E0C00" w:rsidRDefault="00000000">
      <w:pPr>
        <w:spacing w:before="70" w:after="70" w:line="276" w:lineRule="auto"/>
        <w:ind w:firstLine="720"/>
        <w:jc w:val="both"/>
      </w:pPr>
      <w:r>
        <w:t>Research in occupational psychology consistently demonstrates that repeated job rejection activates neurological pathways associated with social exclusion. Under sociometer theory (Leary et al., 1995), self-esteem functions as an internal barometer of perceived social acceptance; rejection communications—or more damagingly, the complete absence of responses—register as potent signals of devaluation. Prolonged exposure to this pattern produces a well-documented deterioration in application quality, self-presentation confidence, and psychological availability for emerging opportunities, creating a negative feedback loop that is difficult to escape without external structural support.</w:t>
      </w:r>
    </w:p>
    <w:p w14:paraId="7B9CA7DC" w14:textId="77777777" w:rsidR="003E0C00" w:rsidRDefault="00000000">
      <w:pPr>
        <w:spacing w:before="120" w:after="50"/>
      </w:pPr>
      <w:r>
        <w:rPr>
          <w:b/>
          <w:bCs/>
        </w:rPr>
        <w:t>C.  The Protective Function of Family Support</w:t>
      </w:r>
    </w:p>
    <w:p w14:paraId="43E0A9B8" w14:textId="77777777" w:rsidR="003E0C00" w:rsidRDefault="00000000">
      <w:pPr>
        <w:spacing w:before="70" w:after="70" w:line="276" w:lineRule="auto"/>
        <w:ind w:firstLine="720"/>
        <w:jc w:val="both"/>
      </w:pPr>
      <w:proofErr w:type="spellStart"/>
      <w:r>
        <w:t>Hobfoll's</w:t>
      </w:r>
      <w:proofErr w:type="spellEnd"/>
      <w:r>
        <w:t xml:space="preserve"> Conservation of Resources (COR) theory (1989) proposes that individuals experiencing resource depletion respond most constructively when they retain access to non-depleted resource reservoirs. Within South and Southeast Asian cultural contexts—where familial bonds are embedded simultaneously in emotional, economic, and social frameworks—family encouragement constitutes one of the most potent protective factors against the psychological deterioration associated with unemployment. Active, sustained motivational support from family members has been shown to mediate the otherwise compounding effects of repeated rejection on candidate self-efficacy.</w:t>
      </w:r>
    </w:p>
    <w:p w14:paraId="1CDBC8FE" w14:textId="77777777" w:rsidR="003E0C00" w:rsidRDefault="00000000">
      <w:pPr>
        <w:spacing w:before="120" w:after="50"/>
      </w:pPr>
      <w:r>
        <w:rPr>
          <w:b/>
          <w:bCs/>
        </w:rPr>
        <w:t>D.  Grit and Adaptive Persistence</w:t>
      </w:r>
    </w:p>
    <w:p w14:paraId="36BA8740" w14:textId="77777777" w:rsidR="003E0C00" w:rsidRDefault="00000000">
      <w:pPr>
        <w:spacing w:before="70" w:after="70" w:line="276" w:lineRule="auto"/>
        <w:ind w:firstLine="720"/>
        <w:jc w:val="both"/>
      </w:pPr>
      <w:r>
        <w:t>Duckworth et al. (2007) defined grit as the conjunction of passion and perseverance directed toward long-term goals. In the career context, grit does not function as a guarantee of employment but as the mechanism that maintains application quality, learning orientation, and adaptive strategy revision across rejection cycles. The critical distinction is between passive repetition—submitting identical applications with diminishing hope—and active iteration, in which each rejection cycle informs a concrete refinement of materials, targeting strategy, or skill development.</w:t>
      </w:r>
    </w:p>
    <w:p w14:paraId="2CE366F6" w14:textId="77777777" w:rsidR="003E0C00" w:rsidRDefault="00000000">
      <w:pPr>
        <w:spacing w:before="200" w:after="80"/>
        <w:jc w:val="center"/>
      </w:pPr>
      <w:r>
        <w:rPr>
          <w:b/>
          <w:bCs/>
          <w:sz w:val="22"/>
          <w:szCs w:val="22"/>
        </w:rPr>
        <w:t>III. METHODOLOGY</w:t>
      </w:r>
    </w:p>
    <w:p w14:paraId="2AF1B480" w14:textId="77777777" w:rsidR="003E0C00" w:rsidRDefault="00000000">
      <w:pPr>
        <w:spacing w:before="70" w:after="70" w:line="276" w:lineRule="auto"/>
        <w:ind w:firstLine="720"/>
        <w:jc w:val="both"/>
      </w:pPr>
      <w:r>
        <w:t>This paper employs a qualitative autoethnographic research design. As defined by Ellis, Adams, and Bochner (2011), autoethnography uses the researcher's own experience as primary data through which broader cultural, social, or systemic phenomena are examined and theorized. The personal internship search experience serves here as the primary data source, analyzed thematically and mapped against established career development frameworks to generate transferable insight rather than personal narrative alone.</w:t>
      </w:r>
    </w:p>
    <w:p w14:paraId="15A650C5" w14:textId="77777777" w:rsidR="003E0C00" w:rsidRDefault="00000000">
      <w:pPr>
        <w:spacing w:before="70" w:after="70" w:line="276" w:lineRule="auto"/>
        <w:ind w:firstLine="720"/>
        <w:jc w:val="both"/>
      </w:pPr>
      <w:r>
        <w:t xml:space="preserve">The study period spans approximately four months during the final year of undergraduate study, covering the entire arc from initial application submission to the receipt of the </w:t>
      </w:r>
      <w:proofErr w:type="spellStart"/>
      <w:r>
        <w:t>CeylonX</w:t>
      </w:r>
      <w:proofErr w:type="spellEnd"/>
      <w:r>
        <w:t xml:space="preserve"> Corporation offer letter. Evidence sources include: application tracking records documenting submission dates, organizational targets, and outcomes; personal reflective notes maintained during the search period; correspondence records; and structured retrospective analysis conducted following employment commencement. Thematic analysis was applied following Braun and Clarke's (2006) six-phase framework, identifying recurring patterns across phases of the experience.</w:t>
      </w:r>
    </w:p>
    <w:p w14:paraId="287546DF" w14:textId="77777777" w:rsidR="003E0C00" w:rsidRDefault="00000000">
      <w:pPr>
        <w:spacing w:before="70" w:after="70" w:line="276" w:lineRule="auto"/>
        <w:ind w:firstLine="720"/>
        <w:jc w:val="both"/>
      </w:pPr>
      <w:r>
        <w:t xml:space="preserve">In accordance with professional courtesy, organizations that issued rejections are not identified by name. </w:t>
      </w:r>
      <w:proofErr w:type="spellStart"/>
      <w:r>
        <w:t>CeylonX</w:t>
      </w:r>
      <w:proofErr w:type="spellEnd"/>
      <w:r>
        <w:t xml:space="preserve"> Corporation is named explicitly as the company that extended the successful offer, with the author's informed consent and sincere acknowledgment.</w:t>
      </w:r>
    </w:p>
    <w:p w14:paraId="73872560" w14:textId="77777777" w:rsidR="00013FDE" w:rsidRDefault="00013FDE">
      <w:pPr>
        <w:spacing w:before="200" w:after="80"/>
        <w:jc w:val="center"/>
        <w:rPr>
          <w:b/>
          <w:bCs/>
          <w:sz w:val="22"/>
          <w:szCs w:val="22"/>
        </w:rPr>
      </w:pPr>
    </w:p>
    <w:p w14:paraId="362CA06B" w14:textId="0C92B71A" w:rsidR="003E0C00" w:rsidRDefault="00000000">
      <w:pPr>
        <w:spacing w:before="200" w:after="80"/>
        <w:jc w:val="center"/>
      </w:pPr>
      <w:r>
        <w:rPr>
          <w:b/>
          <w:bCs/>
          <w:sz w:val="22"/>
          <w:szCs w:val="22"/>
        </w:rPr>
        <w:lastRenderedPageBreak/>
        <w:t>IV. DOCUMENTED EXPERIENCE: A FOUR-MONTH JOURNEY</w:t>
      </w:r>
    </w:p>
    <w:p w14:paraId="691306AE" w14:textId="77777777" w:rsidR="003E0C00" w:rsidRDefault="00000000">
      <w:pPr>
        <w:spacing w:before="120" w:after="50"/>
      </w:pPr>
      <w:r>
        <w:rPr>
          <w:b/>
          <w:bCs/>
        </w:rPr>
        <w:t>A.  Phase One — Initial Applications and the Architecture of Silence (Weeks 1–4)</w:t>
      </w:r>
    </w:p>
    <w:p w14:paraId="19F42AF0" w14:textId="77777777" w:rsidR="003E0C00" w:rsidRDefault="00000000">
      <w:pPr>
        <w:spacing w:before="70" w:after="70" w:line="276" w:lineRule="auto"/>
        <w:ind w:firstLine="720"/>
        <w:jc w:val="both"/>
      </w:pPr>
      <w:r>
        <w:t>The search commenced with well-founded optimism. The technical competency portfolio was substantive: full-stack proficiency across React.js, Node.js, Express.js, and MySQL; a machine-learning-integrated agricultural pest detection application (</w:t>
      </w:r>
      <w:proofErr w:type="spellStart"/>
      <w:r>
        <w:t>FindPest</w:t>
      </w:r>
      <w:proofErr w:type="spellEnd"/>
      <w:r>
        <w:t>) built with TensorFlow.js; a fully functional e-waste reselling platform (</w:t>
      </w:r>
      <w:proofErr w:type="spellStart"/>
      <w:r>
        <w:t>EwasteX</w:t>
      </w:r>
      <w:proofErr w:type="spellEnd"/>
      <w:r>
        <w:t>) with secure authentication and product management; multiple point-of-sale systems developed across Java (JavaFX), Spring Boot, and React/Node stacks; and a professional English certification at distinction level from the Sri Lanka Youth Council. Applications were submitted across a broad range of companies spanning startup environments to established mid-tier software houses.</w:t>
      </w:r>
    </w:p>
    <w:p w14:paraId="471FF7FA" w14:textId="77777777" w:rsidR="003E0C00" w:rsidRDefault="00000000">
      <w:pPr>
        <w:spacing w:before="70" w:after="70" w:line="276" w:lineRule="auto"/>
        <w:ind w:firstLine="720"/>
        <w:jc w:val="both"/>
      </w:pPr>
      <w:r>
        <w:t>The dominant response was silence. Automated acknowledgment emails, when they arrived at all, were followed by no further communication. This absence proved psychologically more corrosive than explicit rejection. Silence provides no corrective feedback, no closure, and no basis for self-assessment. When formal rejections did arrive, they were uniformly generic: the company was 'not moving forward at this time,' with no evaluative specificity that could inform subsequent application refinement. The first weeks established a pattern that would persist: significant effort invested, minimal signal returned.</w:t>
      </w:r>
    </w:p>
    <w:p w14:paraId="307913E7" w14:textId="77777777" w:rsidR="003E0C00" w:rsidRDefault="00000000">
      <w:pPr>
        <w:spacing w:before="120" w:after="50"/>
      </w:pPr>
      <w:r>
        <w:rPr>
          <w:b/>
          <w:bCs/>
        </w:rPr>
        <w:t>B.  Phase Two — Psychological Strain and the Weight of Family Responsibility (Weeks 5–10)</w:t>
      </w:r>
    </w:p>
    <w:p w14:paraId="2FFD55D8" w14:textId="77777777" w:rsidR="003E0C00" w:rsidRDefault="00000000">
      <w:pPr>
        <w:spacing w:before="70" w:after="70" w:line="276" w:lineRule="auto"/>
        <w:ind w:firstLine="720"/>
        <w:jc w:val="both"/>
      </w:pPr>
      <w:r>
        <w:t>By the fifth week, the cumulative psychological cost of sustained rejection had become measurable. Sleep quality deteriorated. Motivation to maintain and expand the project portfolio weakened. A pervasive sense of professional inadequacy began to compete with the intellectual understanding that rejection at this scale is a structural feature of the market, not a personal verdict. These symptoms are consistent with the documented psychological profile of prolonged unemployment described in the occupational psychology literature.</w:t>
      </w:r>
    </w:p>
    <w:p w14:paraId="24D2F98A" w14:textId="77777777" w:rsidR="003E0C00" w:rsidRDefault="00000000">
      <w:pPr>
        <w:spacing w:before="70" w:after="70" w:line="276" w:lineRule="auto"/>
        <w:ind w:firstLine="720"/>
        <w:jc w:val="both"/>
      </w:pPr>
      <w:r>
        <w:t>A factor that intensified the pressure beyond that typically described in graduate employment studies was the reality of primary family financial responsibility. This dimension of the experience—bearing obligation to dependents while simultaneously being unable to secure stable income—represents a significant but under-examined variable in the graduate unemployment literature, particularly within the Sri Lankan context where multigenerational household obligations are common.</w:t>
      </w:r>
    </w:p>
    <w:p w14:paraId="4CBBF434" w14:textId="77777777" w:rsidR="003E0C00" w:rsidRDefault="00000000">
      <w:pPr>
        <w:spacing w:before="70" w:after="70" w:line="276" w:lineRule="auto"/>
        <w:ind w:firstLine="720"/>
        <w:jc w:val="both"/>
      </w:pPr>
      <w:r>
        <w:t>Throughout this period, the family's response was consistent and unconditional. Evening conversations reframed temporary failure as statistical inevitability—not as evidence of inadequacy, but as a normal feature of the path. This continuous encouragement, offered without condition and without diminishing confidence in eventual success, constituted the primary psychological resource that prevented full disengagement from the search. It is not an exaggeration to state that the outcome documented in this paper would have been materially different without this support.</w:t>
      </w:r>
    </w:p>
    <w:p w14:paraId="61945D42" w14:textId="77777777" w:rsidR="003E0C00" w:rsidRDefault="00000000">
      <w:pPr>
        <w:spacing w:before="120" w:after="50"/>
      </w:pPr>
      <w:r>
        <w:rPr>
          <w:b/>
          <w:bCs/>
        </w:rPr>
        <w:t>C.  Phase Three — Non-Field Employment as an Adaptive Strategy (Weeks 11–14)</w:t>
      </w:r>
    </w:p>
    <w:p w14:paraId="13CA9C2C" w14:textId="77777777" w:rsidR="003E0C00" w:rsidRDefault="00000000">
      <w:pPr>
        <w:spacing w:before="70" w:after="70" w:line="276" w:lineRule="auto"/>
        <w:ind w:firstLine="720"/>
        <w:jc w:val="both"/>
      </w:pPr>
      <w:r>
        <w:t>Confronted with combined financial pressure and the psychological deterioration associated with structureless days, a decision was made to accept temporary employment in a non-technology role at a commercial establishment in Colombo. The position bore no technical relationship to software engineering, full-stack development, or any discipline within the degree curriculum. The decision was pragmatic, not aspirational—and it was the right decision.</w:t>
      </w:r>
    </w:p>
    <w:p w14:paraId="5ED60CBD" w14:textId="77777777" w:rsidR="003E0C00" w:rsidRDefault="00000000">
      <w:pPr>
        <w:spacing w:before="70" w:after="70" w:line="276" w:lineRule="auto"/>
        <w:ind w:firstLine="720"/>
        <w:jc w:val="both"/>
      </w:pPr>
      <w:r>
        <w:t>Retrospective analysis identifies several functions this period served beyond the immediate financial stabilization. First, structured daily activity restored the psychological equilibrium that passive unemployment had eroded. Second, customer-facing professional interaction developed communication and interpersonal skills that would later prove relevant in interview contexts. Third, and most significantly, the psychological context from which subsequent applications were submitted shifted from desperation to relative stability. This shift—subtle in the moment, consequential in aggregate—likely influenced the quality and confidence of cover communications, portfolio presentations, and the eventual interview performance.</w:t>
      </w:r>
    </w:p>
    <w:p w14:paraId="54B396CF" w14:textId="77777777" w:rsidR="003E0C00" w:rsidRDefault="00000000">
      <w:pPr>
        <w:spacing w:before="70" w:after="70" w:line="276" w:lineRule="auto"/>
        <w:ind w:firstLine="720"/>
        <w:jc w:val="both"/>
      </w:pPr>
      <w:r>
        <w:t>The internship search continued throughout this period, conducted during evenings and weekends. The parallel maintenance of both interim employment and continued application represents a practical demonstration of the adaptive persistence model proposed later in this paper.</w:t>
      </w:r>
    </w:p>
    <w:p w14:paraId="08AD6F79" w14:textId="77777777" w:rsidR="003E0C00" w:rsidRDefault="00000000">
      <w:pPr>
        <w:spacing w:before="120" w:after="50"/>
      </w:pPr>
      <w:r>
        <w:rPr>
          <w:b/>
          <w:bCs/>
        </w:rPr>
        <w:t>D.  Phase Four — The Interview, the Offer, and the Beginning (Week 16)</w:t>
      </w:r>
    </w:p>
    <w:p w14:paraId="009A3A7F" w14:textId="77777777" w:rsidR="003E0C00" w:rsidRDefault="00000000">
      <w:pPr>
        <w:spacing w:before="70" w:after="70" w:line="276" w:lineRule="auto"/>
        <w:ind w:firstLine="720"/>
        <w:jc w:val="both"/>
      </w:pPr>
      <w:r>
        <w:t xml:space="preserve">An interview invitation from </w:t>
      </w:r>
      <w:proofErr w:type="spellStart"/>
      <w:r>
        <w:t>CeylonX</w:t>
      </w:r>
      <w:proofErr w:type="spellEnd"/>
      <w:r>
        <w:t xml:space="preserve"> Corporation arrived following approximately four months from the commencement of the original search. The technical assessment covered React.js component architecture, Node.js/Express.js backend development, RESTful API design principles, MySQL database management, and Agile/Scrum team collaboration—</w:t>
      </w:r>
      <w:r>
        <w:lastRenderedPageBreak/>
        <w:t>domains in which consistent self-directed study had been maintained throughout the rejection period, even during the most psychologically difficult weeks.</w:t>
      </w:r>
    </w:p>
    <w:p w14:paraId="37C2BCD4" w14:textId="77777777" w:rsidR="003E0C00" w:rsidRDefault="00000000">
      <w:pPr>
        <w:spacing w:before="70" w:after="70" w:line="276" w:lineRule="auto"/>
        <w:ind w:firstLine="720"/>
        <w:jc w:val="both"/>
      </w:pPr>
      <w:r>
        <w:t xml:space="preserve">The offer letter that followed the interview represented far more than a professional validation. It marked the end of a specific kind of uncertainty: the kind that questions whether qualification, effort, and persistence are in any meaningful sense sufficient. The Intern Software Engineer role at </w:t>
      </w:r>
      <w:proofErr w:type="spellStart"/>
      <w:r>
        <w:t>CeylonX</w:t>
      </w:r>
      <w:proofErr w:type="spellEnd"/>
      <w:r>
        <w:t xml:space="preserve"> Corporation—spanning September 2024 through July 2025—provided the first commercially structured environment in which the skills developed over three years of study were applied against real client-facing systems. The experience acquired during that internship, encompassing scalable web application development, cross-functional Agile collaboration, API performance optimization, and legacy code refactoring, directly enabled the subsequent Software Engineer placement at AMM Architects &amp; Co in Qatar.</w:t>
      </w:r>
    </w:p>
    <w:p w14:paraId="44D2EEAD" w14:textId="77777777" w:rsidR="003E0C00" w:rsidRDefault="00000000">
      <w:pPr>
        <w:spacing w:before="70" w:after="70" w:line="276" w:lineRule="auto"/>
        <w:ind w:firstLine="720"/>
        <w:jc w:val="both"/>
      </w:pPr>
      <w:proofErr w:type="spellStart"/>
      <w:r>
        <w:t>CeylonX</w:t>
      </w:r>
      <w:proofErr w:type="spellEnd"/>
      <w:r>
        <w:t xml:space="preserve"> Corporation occupies a specific and permanent place in the professional trajectory documented here. As the organization that extended professional trust to an unproven candidate at the beginning of a career, their significance cannot be overstated. The gratitude is not performative; it is structural—the career that followed was built on the foundation they provided.</w:t>
      </w:r>
    </w:p>
    <w:p w14:paraId="6B1B4A19" w14:textId="77777777" w:rsidR="003E0C00" w:rsidRDefault="00000000">
      <w:pPr>
        <w:spacing w:before="200" w:after="80"/>
        <w:jc w:val="center"/>
      </w:pPr>
      <w:r>
        <w:rPr>
          <w:b/>
          <w:bCs/>
          <w:sz w:val="22"/>
          <w:szCs w:val="22"/>
        </w:rPr>
        <w:t>V. THEMATIC ANALYSIS AND FINDINGS</w:t>
      </w:r>
    </w:p>
    <w:p w14:paraId="10F68677" w14:textId="77777777" w:rsidR="003E0C00" w:rsidRDefault="00000000">
      <w:pPr>
        <w:spacing w:before="120" w:after="50"/>
      </w:pPr>
      <w:r>
        <w:rPr>
          <w:b/>
          <w:bCs/>
        </w:rPr>
        <w:t>A.  The Silence Problem in Graduate Recruitment</w:t>
      </w:r>
    </w:p>
    <w:p w14:paraId="5C912D90" w14:textId="77777777" w:rsidR="003E0C00" w:rsidRDefault="00000000">
      <w:pPr>
        <w:spacing w:before="70" w:after="70" w:line="276" w:lineRule="auto"/>
        <w:ind w:firstLine="720"/>
        <w:jc w:val="both"/>
      </w:pPr>
      <w:r>
        <w:t>A consistently underexamined challenge in the early-career recruitment experience is the sector-wide practice of non-response. Unlike explicit rejection, non-response denies candidates the feedback loop necessary for iterative self-improvement. Industry bodies and HR professionals should consider minimum communication standards as both an ethical obligation and a practical contribution to the quality of the talent pool they will eventually hire from. The candidate who receives no feedback from rejection cannot improve in the specific ways the market demands.</w:t>
      </w:r>
    </w:p>
    <w:p w14:paraId="488DDF34" w14:textId="77777777" w:rsidR="003E0C00" w:rsidRDefault="00000000">
      <w:pPr>
        <w:spacing w:before="120" w:after="50"/>
      </w:pPr>
      <w:r>
        <w:rPr>
          <w:b/>
          <w:bCs/>
        </w:rPr>
        <w:t>B.  The Experience Paradox and Portfolio as Proxy</w:t>
      </w:r>
    </w:p>
    <w:p w14:paraId="05B8AB55" w14:textId="77777777" w:rsidR="003E0C00" w:rsidRDefault="00000000">
      <w:pPr>
        <w:spacing w:before="70" w:after="70" w:line="276" w:lineRule="auto"/>
        <w:ind w:firstLine="720"/>
        <w:jc w:val="both"/>
      </w:pPr>
      <w:r>
        <w:t>The requirement for prior professional experience in internship-level job postings represents a structural contradiction that affects every cohort of fresh graduates identically. The practical solution, in the absence of systemic change, lies in the construction and communication of academic projects as proxies for commercial experience. The project portfolio in this case—covering machine learning integration, full e-commerce platform development, institutional POS systems, and multiple full-stack applications—represented a credible signal of applied competency when framed in commercially relevant language. Graduates who invest in building and communicating their project work professionally materially improve their candidacy even without formal experience.</w:t>
      </w:r>
    </w:p>
    <w:p w14:paraId="18917C67" w14:textId="77777777" w:rsidR="003E0C00" w:rsidRDefault="00000000">
      <w:pPr>
        <w:spacing w:before="120" w:after="50"/>
      </w:pPr>
      <w:r>
        <w:rPr>
          <w:b/>
          <w:bCs/>
        </w:rPr>
        <w:t>C.  Non-Field Employment as a Recognized Resilience Strategy</w:t>
      </w:r>
    </w:p>
    <w:p w14:paraId="205E2874" w14:textId="77777777" w:rsidR="003E0C00" w:rsidRDefault="00000000">
      <w:pPr>
        <w:spacing w:before="70" w:after="70" w:line="276" w:lineRule="auto"/>
        <w:ind w:firstLine="720"/>
        <w:jc w:val="both"/>
      </w:pPr>
      <w:r>
        <w:t>The decision to accept employment outside one's field of study during a prolonged search should be recognized in graduate career guidance as a legitimate adaptive strategy, not a detour or failure. The financial stabilization, structural routine, and soft skill development it provides contribute meaningfully to the overall probability of a successful eventual placement. Career advisors should proactively include interim employment as a component of diversified job search planning, particularly for candidates with family financial obligations.</w:t>
      </w:r>
    </w:p>
    <w:p w14:paraId="5742A3FC" w14:textId="77777777" w:rsidR="003E0C00" w:rsidRDefault="00000000">
      <w:pPr>
        <w:spacing w:before="120" w:after="50"/>
      </w:pPr>
      <w:r>
        <w:rPr>
          <w:b/>
          <w:bCs/>
        </w:rPr>
        <w:t>D.  The Primacy of Social Support in the Absence of Institutional Infrastructure</w:t>
      </w:r>
    </w:p>
    <w:p w14:paraId="3299DD14" w14:textId="77777777" w:rsidR="003E0C00" w:rsidRDefault="00000000">
      <w:pPr>
        <w:spacing w:before="70" w:after="70" w:line="276" w:lineRule="auto"/>
        <w:ind w:firstLine="720"/>
        <w:jc w:val="both"/>
      </w:pPr>
      <w:r>
        <w:t>In the Sri Lankan context, formal career support infrastructure—university placement offices, psychological counseling services, alumni mentorship networks—remains inconsistently available and underutilized. In this vacuum, the family unit operated as the primary resilience infrastructure. This finding carries a direct policy implication: while family support cannot be manufactured, the conditions under which it operates most effectively—awareness of career pathways, reduced social stigma around extended job searching, access to accurate market information—can be actively supported through institutional investment.</w:t>
      </w:r>
    </w:p>
    <w:p w14:paraId="53C31CA2" w14:textId="77777777" w:rsidR="003E0C00" w:rsidRDefault="00000000">
      <w:pPr>
        <w:spacing w:before="200" w:after="80"/>
        <w:jc w:val="center"/>
      </w:pPr>
      <w:r>
        <w:rPr>
          <w:b/>
          <w:bCs/>
          <w:sz w:val="22"/>
          <w:szCs w:val="22"/>
        </w:rPr>
        <w:t>VI. A PROPOSED PERSISTENCE MODEL FOR FRESH GRADUATES</w:t>
      </w:r>
    </w:p>
    <w:p w14:paraId="7F2E60EB" w14:textId="77777777" w:rsidR="003E0C00" w:rsidRDefault="00000000">
      <w:pPr>
        <w:spacing w:before="70" w:after="70" w:line="276" w:lineRule="auto"/>
        <w:ind w:firstLine="720"/>
        <w:jc w:val="both"/>
      </w:pPr>
      <w:r>
        <w:t>Based on the documented experience and supporting theoretical literature, the following iterative model is proposed for fresh graduates navigating prolonged early-career job searches:</w:t>
      </w:r>
    </w:p>
    <w:p w14:paraId="3149110E" w14:textId="77777777" w:rsidR="003E0C00" w:rsidRDefault="00000000">
      <w:pPr>
        <w:spacing w:before="140" w:after="100"/>
        <w:jc w:val="center"/>
      </w:pPr>
      <w:proofErr w:type="gramStart"/>
      <w:r>
        <w:rPr>
          <w:rFonts w:ascii="Courier New" w:eastAsia="Courier New" w:hAnsi="Courier New" w:cs="Courier New"/>
          <w:b/>
          <w:bCs/>
          <w:sz w:val="22"/>
          <w:szCs w:val="22"/>
        </w:rPr>
        <w:t>TRY  →</w:t>
      </w:r>
      <w:proofErr w:type="gramEnd"/>
      <w:r>
        <w:rPr>
          <w:rFonts w:ascii="Courier New" w:eastAsia="Courier New" w:hAnsi="Courier New" w:cs="Courier New"/>
          <w:b/>
          <w:bCs/>
          <w:sz w:val="22"/>
          <w:szCs w:val="22"/>
        </w:rPr>
        <w:t xml:space="preserve">  FAIL  →  REFLECT  →  ADAPT  →  TRY  →  HIRED</w:t>
      </w:r>
    </w:p>
    <w:p w14:paraId="5B201F53" w14:textId="77777777" w:rsidR="003E0C00" w:rsidRDefault="00000000">
      <w:pPr>
        <w:spacing w:before="70" w:after="70" w:line="276" w:lineRule="auto"/>
        <w:ind w:firstLine="720"/>
        <w:jc w:val="both"/>
      </w:pPr>
      <w:r>
        <w:lastRenderedPageBreak/>
        <w:t>Each cycle through this model incorporates five specific activities: (1) honest self-assessment of application materials, technical depth, and presentation quality against actual feedback where available; (2) targeted skill reinforcement in areas identified as gaps through interview feedback or industry job description analysis; (3) portfolio expansion through independent or open-source projects that demonstrate commercially relevant competency; (4) active maintenance of psychological resources through social support, structured daily activity, and interim employment if financially necessary; and (5) progressive broadening of the target company spectrum to include smaller organizations and growth-stage startups that may offer richer early-career learning environments with lower formal experience thresholds.</w:t>
      </w:r>
    </w:p>
    <w:p w14:paraId="7A5E99CD" w14:textId="77777777" w:rsidR="003E0C00" w:rsidRDefault="00000000">
      <w:pPr>
        <w:spacing w:before="70" w:after="70" w:line="276" w:lineRule="auto"/>
        <w:ind w:firstLine="720"/>
        <w:jc w:val="both"/>
      </w:pPr>
      <w:r>
        <w:t>The distinction that separates this model from passive repetition is specificity of adaptation. Each cycle should produce a measurably different set of applications—in targeting, framing, or technical content—informed by the data collected in the previous cycle. The goal is not simply to try more; it is to try better, each time, informed by evidence.</w:t>
      </w:r>
    </w:p>
    <w:p w14:paraId="1A3F47D5" w14:textId="77777777" w:rsidR="003E0C00" w:rsidRDefault="00000000">
      <w:pPr>
        <w:spacing w:before="200" w:after="80"/>
        <w:jc w:val="center"/>
      </w:pPr>
      <w:r>
        <w:rPr>
          <w:b/>
          <w:bCs/>
          <w:sz w:val="22"/>
          <w:szCs w:val="22"/>
        </w:rPr>
        <w:t>VII. RECOMMENDATIONS</w:t>
      </w:r>
    </w:p>
    <w:p w14:paraId="08B381AF" w14:textId="77777777" w:rsidR="003E0C00" w:rsidRDefault="00000000">
      <w:pPr>
        <w:spacing w:before="120" w:after="50"/>
      </w:pPr>
      <w:r>
        <w:rPr>
          <w:b/>
          <w:bCs/>
        </w:rPr>
        <w:t>For Fresh Graduates and Active Job Seekers</w:t>
      </w:r>
    </w:p>
    <w:p w14:paraId="6982DF1A" w14:textId="77777777" w:rsidR="003E0C00" w:rsidRDefault="00000000">
      <w:pPr>
        <w:spacing w:before="70" w:after="70" w:line="276" w:lineRule="auto"/>
        <w:ind w:firstLine="720"/>
        <w:jc w:val="both"/>
      </w:pPr>
      <w:r>
        <w:t>Document every academic project with production-level quality: deployed demonstrations, structured README files, and explicit descriptions of the technical decisions and problem-solving approaches involved. Apply broadly across company sizes and sectors, and customize each application specifically to the organization's technology stack and stated needs. Maintain physical and psychological health consistently throughout the search—sleep, social connection, and structured physical activity are not peripheral to job searching; they are prerequisites for performing under evaluation conditions. Accept interim employment when financial circumstances require it; this is adaptive intelligence, not defeat.</w:t>
      </w:r>
    </w:p>
    <w:p w14:paraId="5CB5E20D" w14:textId="77777777" w:rsidR="003E0C00" w:rsidRDefault="00000000">
      <w:pPr>
        <w:spacing w:before="120" w:after="50"/>
      </w:pPr>
      <w:r>
        <w:rPr>
          <w:b/>
          <w:bCs/>
        </w:rPr>
        <w:t>For Academic Institutions</w:t>
      </w:r>
    </w:p>
    <w:p w14:paraId="48AE055B" w14:textId="77777777" w:rsidR="003E0C00" w:rsidRDefault="00000000">
      <w:pPr>
        <w:spacing w:before="70" w:after="70" w:line="276" w:lineRule="auto"/>
        <w:ind w:firstLine="720"/>
        <w:jc w:val="both"/>
      </w:pPr>
      <w:r>
        <w:t>Universities should establish structured industry placement partnerships that provide students with documented, commercially-contextualized project experience before the degree conclusion. Career services should be expanded to encompass psychological support for students navigating the post-graduation transition. Alumni networks should be formalized as mentorship channels through which recent graduates can access honest, market-grounded guidance from professionals who have recently completed the same passage.</w:t>
      </w:r>
    </w:p>
    <w:p w14:paraId="57105ED5" w14:textId="77777777" w:rsidR="003E0C00" w:rsidRDefault="00000000">
      <w:pPr>
        <w:spacing w:before="120" w:after="50"/>
      </w:pPr>
      <w:r>
        <w:rPr>
          <w:b/>
          <w:bCs/>
        </w:rPr>
        <w:t>For the ICT Industry</w:t>
      </w:r>
    </w:p>
    <w:p w14:paraId="2A12E500" w14:textId="77777777" w:rsidR="003E0C00" w:rsidRDefault="00000000">
      <w:pPr>
        <w:spacing w:before="70" w:after="70" w:line="276" w:lineRule="auto"/>
        <w:ind w:firstLine="720"/>
        <w:jc w:val="both"/>
      </w:pPr>
      <w:r>
        <w:t>Organizations that maintain genuine internship programs—those that invest time in structured onboarding and knowledge transfer rather than expecting immediate commercial contribution from unplaced candidates—perform a function that extends well beyond their own talent pipeline. They represent the entry point of an entire profession for the candidates they accept. A critical review of minimum experience requirements for internship and junior roles, combined with investment in early-career mentorship structures, would address the bottleneck that currently characterizes graduate absorption into the Sri Lankan ICT sector. The candidate who is given a first opportunity today is the senior developer who interviews and mentors the next generation within five years.</w:t>
      </w:r>
    </w:p>
    <w:p w14:paraId="31E7FFC0" w14:textId="77777777" w:rsidR="003E0C00" w:rsidRDefault="00000000">
      <w:pPr>
        <w:spacing w:before="200" w:after="80"/>
        <w:jc w:val="center"/>
      </w:pPr>
      <w:r>
        <w:rPr>
          <w:b/>
          <w:bCs/>
          <w:sz w:val="22"/>
          <w:szCs w:val="22"/>
        </w:rPr>
        <w:t>VIII. CONCLUSION</w:t>
      </w:r>
    </w:p>
    <w:p w14:paraId="2C4B3EEB" w14:textId="77777777" w:rsidR="003E0C00" w:rsidRDefault="00000000">
      <w:pPr>
        <w:spacing w:before="70" w:after="70" w:line="276" w:lineRule="auto"/>
        <w:ind w:firstLine="720"/>
        <w:jc w:val="both"/>
      </w:pPr>
      <w:r>
        <w:t>The journey from qualified undergraduate to employed software engineer is not always linear, swift, or psychologically unchallenging. For a substantial proportion of graduates entering Sri Lanka's ICT labor market, it involves a period of sustained rejection, compounding financial pressure, genuine mental health strain, and the requirement to adapt—sometimes through means entirely outside the intended career path—while maintaining the discipline and motivation to keep applying. This paper has documented one such journey in sufficient structural detail to serve as both a personal record and an instructive contribution to the broader conversation about graduate employment.</w:t>
      </w:r>
    </w:p>
    <w:p w14:paraId="5DB992DD" w14:textId="77777777" w:rsidR="003E0C00" w:rsidRDefault="00000000">
      <w:pPr>
        <w:spacing w:before="70" w:after="70" w:line="276" w:lineRule="auto"/>
        <w:ind w:firstLine="720"/>
        <w:jc w:val="both"/>
      </w:pPr>
      <w:r>
        <w:t>The central finding is simultaneously simple and evidence-grounded: structured, adaptive persistence—supported by family encouragement, purposeful activity during the search period, and iterative refinement of application strategy—constitutes a reliable pathway through even the most discouraging recruitment landscape. No individual factor among these is sufficient in isolation. Together, they form the infrastructure through which a qualified candidate who has not yet been hired transforms, over time, into a qualified candidate who has.</w:t>
      </w:r>
    </w:p>
    <w:p w14:paraId="33440BCB" w14:textId="77777777" w:rsidR="003E0C00" w:rsidRDefault="00000000">
      <w:pPr>
        <w:spacing w:before="70" w:after="70" w:line="276" w:lineRule="auto"/>
        <w:ind w:firstLine="720"/>
        <w:jc w:val="both"/>
      </w:pPr>
      <w:r>
        <w:t xml:space="preserve">The offer letter that arrives after months of rejection is not a reward for waiting. It is the outcome of deliberate, sustained, evidence-informed effort maintained under conditions that provided every rational justification for stopping. To </w:t>
      </w:r>
      <w:r>
        <w:lastRenderedPageBreak/>
        <w:t>every graduate currently at any point in that process: the difficulty is real, the emotional cost is real, and the outcome is also real. The pipeline is narrow—but it is open.</w:t>
      </w:r>
    </w:p>
    <w:p w14:paraId="5485269D" w14:textId="77777777" w:rsidR="003E0C00" w:rsidRDefault="003E0C00">
      <w:pPr>
        <w:spacing w:before="80" w:after="80" w:line="276" w:lineRule="auto"/>
        <w:jc w:val="both"/>
      </w:pPr>
    </w:p>
    <w:p w14:paraId="132733E6" w14:textId="77777777" w:rsidR="003E0C00" w:rsidRDefault="00000000">
      <w:pPr>
        <w:spacing w:before="60" w:after="60" w:line="276" w:lineRule="auto"/>
        <w:ind w:firstLine="720"/>
        <w:jc w:val="both"/>
      </w:pPr>
      <w:r>
        <w:t>"The most reliable measure of a candidate is not the number of acceptances they have received, but the number of times they chose to submit again after a rejection." — Adapted from Duckworth (2016)</w:t>
      </w:r>
    </w:p>
    <w:p w14:paraId="61FEB061" w14:textId="77777777" w:rsidR="003E0C00" w:rsidRDefault="003E0C00">
      <w:pPr>
        <w:pBdr>
          <w:bottom w:val="single" w:sz="1" w:space="0" w:color="AAAAAA"/>
        </w:pBdr>
        <w:spacing w:before="100" w:after="100"/>
      </w:pPr>
    </w:p>
    <w:p w14:paraId="02C1716D" w14:textId="77777777" w:rsidR="003E0C00" w:rsidRDefault="00000000">
      <w:pPr>
        <w:spacing w:before="200" w:after="100"/>
        <w:jc w:val="center"/>
      </w:pPr>
      <w:r>
        <w:rPr>
          <w:b/>
          <w:bCs/>
          <w:sz w:val="22"/>
          <w:szCs w:val="22"/>
        </w:rPr>
        <w:t>ACKNOWLEDGMENTS</w:t>
      </w:r>
    </w:p>
    <w:p w14:paraId="5229238F" w14:textId="77777777" w:rsidR="003E0C00" w:rsidRDefault="00000000">
      <w:pPr>
        <w:spacing w:before="70" w:after="70" w:line="276" w:lineRule="auto"/>
        <w:ind w:firstLine="720"/>
        <w:jc w:val="both"/>
      </w:pPr>
      <w:r>
        <w:t xml:space="preserve">Sincere and lasting gratitude is extended to </w:t>
      </w:r>
      <w:proofErr w:type="spellStart"/>
      <w:r>
        <w:t>CeylonX</w:t>
      </w:r>
      <w:proofErr w:type="spellEnd"/>
      <w:r>
        <w:t xml:space="preserve"> Corporation—and specifically to Mr. </w:t>
      </w:r>
      <w:proofErr w:type="spellStart"/>
      <w:r>
        <w:t>Thisal</w:t>
      </w:r>
      <w:proofErr w:type="spellEnd"/>
      <w:r>
        <w:t xml:space="preserve"> Wijesinghe, Chief Operating Officer—for the professional trust extended through the Intern Software Engineer offer that initiated this career. The encouragement of family, offered without condition throughout every phase of the period documented in this paper, was the single most consequential resource in the outcome described. This work is dedicated to every software engineering graduate who is, at this precise moment, still waiting for a response. The wait has a purpose. Keep going.</w:t>
      </w:r>
    </w:p>
    <w:p w14:paraId="0F46114D" w14:textId="77777777" w:rsidR="003E0C00" w:rsidRDefault="003E0C00">
      <w:pPr>
        <w:pBdr>
          <w:bottom w:val="single" w:sz="1" w:space="0" w:color="AAAAAA"/>
        </w:pBdr>
        <w:spacing w:before="100" w:after="100"/>
      </w:pPr>
    </w:p>
    <w:p w14:paraId="0E12741E" w14:textId="77777777" w:rsidR="003E0C00" w:rsidRDefault="00000000">
      <w:pPr>
        <w:spacing w:before="200" w:after="100"/>
        <w:jc w:val="center"/>
      </w:pPr>
      <w:r>
        <w:rPr>
          <w:b/>
          <w:bCs/>
          <w:sz w:val="22"/>
          <w:szCs w:val="22"/>
        </w:rPr>
        <w:t>REFERENCES</w:t>
      </w:r>
    </w:p>
    <w:p w14:paraId="74FD5EC3" w14:textId="77777777" w:rsidR="003E0C00" w:rsidRDefault="00000000">
      <w:pPr>
        <w:spacing w:before="55" w:after="40"/>
        <w:ind w:left="360" w:hanging="360"/>
      </w:pPr>
      <w:r>
        <w:rPr>
          <w:b/>
          <w:bCs/>
          <w:sz w:val="18"/>
          <w:szCs w:val="18"/>
        </w:rPr>
        <w:t>[1</w:t>
      </w:r>
      <w:proofErr w:type="gramStart"/>
      <w:r>
        <w:rPr>
          <w:b/>
          <w:bCs/>
          <w:sz w:val="18"/>
          <w:szCs w:val="18"/>
        </w:rPr>
        <w:t xml:space="preserve">]  </w:t>
      </w:r>
      <w:r>
        <w:rPr>
          <w:sz w:val="18"/>
          <w:szCs w:val="18"/>
        </w:rPr>
        <w:t>A.</w:t>
      </w:r>
      <w:proofErr w:type="gramEnd"/>
      <w:r>
        <w:rPr>
          <w:sz w:val="18"/>
          <w:szCs w:val="18"/>
        </w:rPr>
        <w:t xml:space="preserve"> L. Duckworth, C. Peterson, M. D. Matthews, and D. R. Kelly, "Grit: Perseverance and passion for long-term goals," J. Personality Social Psychol., vol. 92, no. 6, pp. 1087–1101, 2007.</w:t>
      </w:r>
    </w:p>
    <w:p w14:paraId="37296410" w14:textId="77777777" w:rsidR="003E0C00" w:rsidRDefault="00000000">
      <w:pPr>
        <w:spacing w:before="55" w:after="40"/>
        <w:ind w:left="360" w:hanging="360"/>
      </w:pPr>
      <w:r>
        <w:rPr>
          <w:b/>
          <w:bCs/>
          <w:sz w:val="18"/>
          <w:szCs w:val="18"/>
        </w:rPr>
        <w:t>[2</w:t>
      </w:r>
      <w:proofErr w:type="gramStart"/>
      <w:r>
        <w:rPr>
          <w:b/>
          <w:bCs/>
          <w:sz w:val="18"/>
          <w:szCs w:val="18"/>
        </w:rPr>
        <w:t xml:space="preserve">]  </w:t>
      </w:r>
      <w:r>
        <w:rPr>
          <w:sz w:val="18"/>
          <w:szCs w:val="18"/>
        </w:rPr>
        <w:t>S.</w:t>
      </w:r>
      <w:proofErr w:type="gramEnd"/>
      <w:r>
        <w:rPr>
          <w:sz w:val="18"/>
          <w:szCs w:val="18"/>
        </w:rPr>
        <w:t xml:space="preserve"> E. </w:t>
      </w:r>
      <w:proofErr w:type="spellStart"/>
      <w:r>
        <w:rPr>
          <w:sz w:val="18"/>
          <w:szCs w:val="18"/>
        </w:rPr>
        <w:t>Hobfoll</w:t>
      </w:r>
      <w:proofErr w:type="spellEnd"/>
      <w:r>
        <w:rPr>
          <w:sz w:val="18"/>
          <w:szCs w:val="18"/>
        </w:rPr>
        <w:t>, "Conservation of resources: A new attempt at conceptualizing stress," Amer. Psychologist, vol. 44, no. 3, pp. 513–524, 1989.</w:t>
      </w:r>
    </w:p>
    <w:p w14:paraId="49F09227" w14:textId="77777777" w:rsidR="003E0C00" w:rsidRDefault="00000000">
      <w:pPr>
        <w:spacing w:before="55" w:after="40"/>
        <w:ind w:left="360" w:hanging="360"/>
      </w:pPr>
      <w:r>
        <w:rPr>
          <w:b/>
          <w:bCs/>
          <w:sz w:val="18"/>
          <w:szCs w:val="18"/>
        </w:rPr>
        <w:t>[3</w:t>
      </w:r>
      <w:proofErr w:type="gramStart"/>
      <w:r>
        <w:rPr>
          <w:b/>
          <w:bCs/>
          <w:sz w:val="18"/>
          <w:szCs w:val="18"/>
        </w:rPr>
        <w:t xml:space="preserve">]  </w:t>
      </w:r>
      <w:r>
        <w:rPr>
          <w:sz w:val="18"/>
          <w:szCs w:val="18"/>
        </w:rPr>
        <w:t>M.</w:t>
      </w:r>
      <w:proofErr w:type="gramEnd"/>
      <w:r>
        <w:rPr>
          <w:sz w:val="18"/>
          <w:szCs w:val="18"/>
        </w:rPr>
        <w:t xml:space="preserve"> R. Leary, E. S. Tambor, S. K. Terdal, and D. L. Downs, "Self-esteem as an interpersonal monitor: The sociometer hypothesis," J. Personality Social Psychol., vol. 68, no. 3, pp. 518–530, 1995.</w:t>
      </w:r>
    </w:p>
    <w:p w14:paraId="2D23C1EE" w14:textId="77777777" w:rsidR="003E0C00" w:rsidRDefault="00000000">
      <w:pPr>
        <w:spacing w:before="55" w:after="40"/>
        <w:ind w:left="360" w:hanging="360"/>
      </w:pPr>
      <w:r>
        <w:rPr>
          <w:b/>
          <w:bCs/>
          <w:sz w:val="18"/>
          <w:szCs w:val="18"/>
        </w:rPr>
        <w:t>[4</w:t>
      </w:r>
      <w:proofErr w:type="gramStart"/>
      <w:r>
        <w:rPr>
          <w:b/>
          <w:bCs/>
          <w:sz w:val="18"/>
          <w:szCs w:val="18"/>
        </w:rPr>
        <w:t xml:space="preserve">]  </w:t>
      </w:r>
      <w:r>
        <w:rPr>
          <w:sz w:val="18"/>
          <w:szCs w:val="18"/>
        </w:rPr>
        <w:t>C.</w:t>
      </w:r>
      <w:proofErr w:type="gramEnd"/>
      <w:r>
        <w:rPr>
          <w:sz w:val="18"/>
          <w:szCs w:val="18"/>
        </w:rPr>
        <w:t xml:space="preserve"> Ellis, T. E. Adams, and A. P. Bochner, "Autoethnography: An overview," Forum: Qualitative Social Research, vol. 12, no. 1, Art. 10, Jan. 2011.</w:t>
      </w:r>
    </w:p>
    <w:p w14:paraId="4FD3802E" w14:textId="77777777" w:rsidR="003E0C00" w:rsidRDefault="00000000">
      <w:pPr>
        <w:spacing w:before="55" w:after="40"/>
        <w:ind w:left="360" w:hanging="360"/>
      </w:pPr>
      <w:r>
        <w:rPr>
          <w:b/>
          <w:bCs/>
          <w:sz w:val="18"/>
          <w:szCs w:val="18"/>
        </w:rPr>
        <w:t>[5</w:t>
      </w:r>
      <w:proofErr w:type="gramStart"/>
      <w:r>
        <w:rPr>
          <w:b/>
          <w:bCs/>
          <w:sz w:val="18"/>
          <w:szCs w:val="18"/>
        </w:rPr>
        <w:t xml:space="preserve">]  </w:t>
      </w:r>
      <w:r>
        <w:rPr>
          <w:sz w:val="18"/>
          <w:szCs w:val="18"/>
        </w:rPr>
        <w:t>V.</w:t>
      </w:r>
      <w:proofErr w:type="gramEnd"/>
      <w:r>
        <w:rPr>
          <w:sz w:val="18"/>
          <w:szCs w:val="18"/>
        </w:rPr>
        <w:t xml:space="preserve"> Braun and V. Clarke, "Using thematic analysis in psychology," Qualitative Res. Psychol., vol. 3, no. 2, pp. 77–101, 2006.</w:t>
      </w:r>
    </w:p>
    <w:p w14:paraId="7FE951CE" w14:textId="77777777" w:rsidR="003E0C00" w:rsidRDefault="00000000">
      <w:pPr>
        <w:spacing w:before="55" w:after="40"/>
        <w:ind w:left="360" w:hanging="360"/>
      </w:pPr>
      <w:r>
        <w:rPr>
          <w:b/>
          <w:bCs/>
          <w:sz w:val="18"/>
          <w:szCs w:val="18"/>
        </w:rPr>
        <w:t>[6</w:t>
      </w:r>
      <w:proofErr w:type="gramStart"/>
      <w:r>
        <w:rPr>
          <w:b/>
          <w:bCs/>
          <w:sz w:val="18"/>
          <w:szCs w:val="18"/>
        </w:rPr>
        <w:t xml:space="preserve">]  </w:t>
      </w:r>
      <w:r>
        <w:rPr>
          <w:sz w:val="18"/>
          <w:szCs w:val="18"/>
        </w:rPr>
        <w:t>A.</w:t>
      </w:r>
      <w:proofErr w:type="gramEnd"/>
      <w:r>
        <w:rPr>
          <w:sz w:val="18"/>
          <w:szCs w:val="18"/>
        </w:rPr>
        <w:t xml:space="preserve"> L. Duckworth, Grit: The Power of Passion and Perseverance. New York, NY, USA: Scribner, 2016.</w:t>
      </w:r>
    </w:p>
    <w:p w14:paraId="34F437A9" w14:textId="77777777" w:rsidR="003E0C00" w:rsidRDefault="00000000">
      <w:pPr>
        <w:spacing w:before="55" w:after="40"/>
        <w:ind w:left="360" w:hanging="360"/>
      </w:pPr>
      <w:r>
        <w:rPr>
          <w:b/>
          <w:bCs/>
          <w:sz w:val="18"/>
          <w:szCs w:val="18"/>
        </w:rPr>
        <w:t>[7</w:t>
      </w:r>
      <w:proofErr w:type="gramStart"/>
      <w:r>
        <w:rPr>
          <w:b/>
          <w:bCs/>
          <w:sz w:val="18"/>
          <w:szCs w:val="18"/>
        </w:rPr>
        <w:t xml:space="preserve">]  </w:t>
      </w:r>
      <w:r>
        <w:rPr>
          <w:sz w:val="18"/>
          <w:szCs w:val="18"/>
        </w:rPr>
        <w:t>M.</w:t>
      </w:r>
      <w:proofErr w:type="gramEnd"/>
      <w:r>
        <w:rPr>
          <w:sz w:val="18"/>
          <w:szCs w:val="18"/>
        </w:rPr>
        <w:t xml:space="preserve"> Perera and K. Gunawardana, "Graduate unemployment in the Sri Lankan ICT sector: A skills-mismatch analysis," Sri Lanka J. Social Sci., vol. 44, no. 1, pp. 23–35, 2021.</w:t>
      </w:r>
    </w:p>
    <w:p w14:paraId="1808108F" w14:textId="77777777" w:rsidR="003E0C00" w:rsidRDefault="00000000">
      <w:pPr>
        <w:spacing w:before="55" w:after="40"/>
        <w:ind w:left="360" w:hanging="360"/>
      </w:pPr>
      <w:r>
        <w:rPr>
          <w:b/>
          <w:bCs/>
          <w:sz w:val="18"/>
          <w:szCs w:val="18"/>
        </w:rPr>
        <w:t>[8</w:t>
      </w:r>
      <w:proofErr w:type="gramStart"/>
      <w:r>
        <w:rPr>
          <w:b/>
          <w:bCs/>
          <w:sz w:val="18"/>
          <w:szCs w:val="18"/>
        </w:rPr>
        <w:t xml:space="preserve">]  </w:t>
      </w:r>
      <w:r>
        <w:rPr>
          <w:sz w:val="18"/>
          <w:szCs w:val="18"/>
        </w:rPr>
        <w:t>Information</w:t>
      </w:r>
      <w:proofErr w:type="gramEnd"/>
      <w:r>
        <w:rPr>
          <w:sz w:val="18"/>
          <w:szCs w:val="18"/>
        </w:rPr>
        <w:t xml:space="preserve"> and Communication Technology Agency of Sri Lanka (ICTA), "Sri Lanka ICT/BPM Industry Survey Report," Colombo, Sri Lanka: ICTA, 2023.</w:t>
      </w:r>
    </w:p>
    <w:p w14:paraId="08700057" w14:textId="77777777" w:rsidR="003E0C00" w:rsidRDefault="00000000">
      <w:pPr>
        <w:spacing w:before="55" w:after="40"/>
        <w:ind w:left="360" w:hanging="360"/>
      </w:pPr>
      <w:r>
        <w:rPr>
          <w:b/>
          <w:bCs/>
          <w:sz w:val="18"/>
          <w:szCs w:val="18"/>
        </w:rPr>
        <w:t>[9</w:t>
      </w:r>
      <w:proofErr w:type="gramStart"/>
      <w:r>
        <w:rPr>
          <w:b/>
          <w:bCs/>
          <w:sz w:val="18"/>
          <w:szCs w:val="18"/>
        </w:rPr>
        <w:t xml:space="preserve">]  </w:t>
      </w:r>
      <w:r>
        <w:rPr>
          <w:sz w:val="18"/>
          <w:szCs w:val="18"/>
        </w:rPr>
        <w:t>R.</w:t>
      </w:r>
      <w:proofErr w:type="gramEnd"/>
      <w:r>
        <w:rPr>
          <w:sz w:val="18"/>
          <w:szCs w:val="18"/>
        </w:rPr>
        <w:t xml:space="preserve"> S. Lazarus and S. Folkman, Stress, Appraisal, and Coping. New York, NY, USA: Springer, 1984.</w:t>
      </w:r>
    </w:p>
    <w:p w14:paraId="4BC9BA89" w14:textId="77777777" w:rsidR="003E0C00" w:rsidRDefault="00000000">
      <w:pPr>
        <w:spacing w:before="55" w:after="40"/>
        <w:ind w:left="360" w:hanging="360"/>
      </w:pPr>
      <w:r>
        <w:rPr>
          <w:b/>
          <w:bCs/>
          <w:sz w:val="18"/>
          <w:szCs w:val="18"/>
        </w:rPr>
        <w:t>[10</w:t>
      </w:r>
      <w:proofErr w:type="gramStart"/>
      <w:r>
        <w:rPr>
          <w:b/>
          <w:bCs/>
          <w:sz w:val="18"/>
          <w:szCs w:val="18"/>
        </w:rPr>
        <w:t xml:space="preserve">]  </w:t>
      </w:r>
      <w:r>
        <w:rPr>
          <w:sz w:val="18"/>
          <w:szCs w:val="18"/>
        </w:rPr>
        <w:t>A.</w:t>
      </w:r>
      <w:proofErr w:type="gramEnd"/>
      <w:r>
        <w:rPr>
          <w:sz w:val="18"/>
          <w:szCs w:val="18"/>
        </w:rPr>
        <w:t xml:space="preserve"> Ahamed, "Personal career documentation and project portfolio," [Online]. Available: https://arshakahamad.io. Accessed: Feb. 11, 2026.</w:t>
      </w:r>
    </w:p>
    <w:p w14:paraId="1505E4B3" w14:textId="77777777" w:rsidR="003E0C00" w:rsidRDefault="003E0C00">
      <w:pPr>
        <w:spacing w:before="80" w:after="80" w:line="276" w:lineRule="auto"/>
        <w:jc w:val="both"/>
      </w:pPr>
    </w:p>
    <w:p w14:paraId="1E237315" w14:textId="77777777" w:rsidR="003E0C00" w:rsidRDefault="00000000">
      <w:pPr>
        <w:spacing w:before="120"/>
        <w:jc w:val="center"/>
      </w:pPr>
      <w:r>
        <w:rPr>
          <w:color w:val="888888"/>
          <w:sz w:val="18"/>
          <w:szCs w:val="18"/>
        </w:rPr>
        <w:t>— End of Article —</w:t>
      </w:r>
    </w:p>
    <w:sectPr w:rsidR="003E0C0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B3CFB" w14:textId="77777777" w:rsidR="00D4377A" w:rsidRDefault="00D4377A">
      <w:r>
        <w:separator/>
      </w:r>
    </w:p>
  </w:endnote>
  <w:endnote w:type="continuationSeparator" w:id="0">
    <w:p w14:paraId="15AC3946" w14:textId="77777777" w:rsidR="00D4377A" w:rsidRDefault="00D43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E6C2" w14:textId="25959973" w:rsidR="003E0C00" w:rsidRDefault="00000000">
    <w:pPr>
      <w:jc w:val="center"/>
    </w:pPr>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013FDE">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7F69B" w14:textId="77777777" w:rsidR="00D4377A" w:rsidRDefault="00D4377A">
      <w:r>
        <w:separator/>
      </w:r>
    </w:p>
  </w:footnote>
  <w:footnote w:type="continuationSeparator" w:id="0">
    <w:p w14:paraId="52D987DC" w14:textId="77777777" w:rsidR="00D4377A" w:rsidRDefault="00D43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2909"/>
    <w:multiLevelType w:val="hybridMultilevel"/>
    <w:tmpl w:val="F438B100"/>
    <w:lvl w:ilvl="0" w:tplc="BF06E86A">
      <w:start w:val="1"/>
      <w:numFmt w:val="bullet"/>
      <w:lvlText w:val="●"/>
      <w:lvlJc w:val="left"/>
      <w:pPr>
        <w:ind w:left="720" w:hanging="360"/>
      </w:pPr>
    </w:lvl>
    <w:lvl w:ilvl="1" w:tplc="C9381F38">
      <w:start w:val="1"/>
      <w:numFmt w:val="bullet"/>
      <w:lvlText w:val="○"/>
      <w:lvlJc w:val="left"/>
      <w:pPr>
        <w:ind w:left="1440" w:hanging="360"/>
      </w:pPr>
    </w:lvl>
    <w:lvl w:ilvl="2" w:tplc="235E5A70">
      <w:start w:val="1"/>
      <w:numFmt w:val="bullet"/>
      <w:lvlText w:val="■"/>
      <w:lvlJc w:val="left"/>
      <w:pPr>
        <w:ind w:left="2160" w:hanging="360"/>
      </w:pPr>
    </w:lvl>
    <w:lvl w:ilvl="3" w:tplc="CD0CE482">
      <w:start w:val="1"/>
      <w:numFmt w:val="bullet"/>
      <w:lvlText w:val="●"/>
      <w:lvlJc w:val="left"/>
      <w:pPr>
        <w:ind w:left="2880" w:hanging="360"/>
      </w:pPr>
    </w:lvl>
    <w:lvl w:ilvl="4" w:tplc="F488B86A">
      <w:start w:val="1"/>
      <w:numFmt w:val="bullet"/>
      <w:lvlText w:val="○"/>
      <w:lvlJc w:val="left"/>
      <w:pPr>
        <w:ind w:left="3600" w:hanging="360"/>
      </w:pPr>
    </w:lvl>
    <w:lvl w:ilvl="5" w:tplc="32A2ED20">
      <w:start w:val="1"/>
      <w:numFmt w:val="bullet"/>
      <w:lvlText w:val="■"/>
      <w:lvlJc w:val="left"/>
      <w:pPr>
        <w:ind w:left="4320" w:hanging="360"/>
      </w:pPr>
    </w:lvl>
    <w:lvl w:ilvl="6" w:tplc="72C8DB44">
      <w:start w:val="1"/>
      <w:numFmt w:val="bullet"/>
      <w:lvlText w:val="●"/>
      <w:lvlJc w:val="left"/>
      <w:pPr>
        <w:ind w:left="5040" w:hanging="360"/>
      </w:pPr>
    </w:lvl>
    <w:lvl w:ilvl="7" w:tplc="76343190">
      <w:start w:val="1"/>
      <w:numFmt w:val="bullet"/>
      <w:lvlText w:val="●"/>
      <w:lvlJc w:val="left"/>
      <w:pPr>
        <w:ind w:left="5760" w:hanging="360"/>
      </w:pPr>
    </w:lvl>
    <w:lvl w:ilvl="8" w:tplc="B5E48C00">
      <w:start w:val="1"/>
      <w:numFmt w:val="bullet"/>
      <w:lvlText w:val="●"/>
      <w:lvlJc w:val="left"/>
      <w:pPr>
        <w:ind w:left="6480" w:hanging="360"/>
      </w:pPr>
    </w:lvl>
  </w:abstractNum>
  <w:num w:numId="1" w16cid:durableId="1031690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C00"/>
    <w:rsid w:val="00013FDE"/>
    <w:rsid w:val="003E0C00"/>
    <w:rsid w:val="006063D7"/>
    <w:rsid w:val="00D4377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8CFCB"/>
  <w15:docId w15:val="{1A2AA268-D1F3-4FE6-AF33-6E59A9F26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13FDE"/>
    <w:pPr>
      <w:tabs>
        <w:tab w:val="center" w:pos="4680"/>
        <w:tab w:val="right" w:pos="9360"/>
      </w:tabs>
    </w:pPr>
  </w:style>
  <w:style w:type="character" w:customStyle="1" w:styleId="HeaderChar">
    <w:name w:val="Header Char"/>
    <w:basedOn w:val="DefaultParagraphFont"/>
    <w:link w:val="Header"/>
    <w:uiPriority w:val="99"/>
    <w:rsid w:val="00013FDE"/>
  </w:style>
  <w:style w:type="paragraph" w:styleId="Footer">
    <w:name w:val="footer"/>
    <w:basedOn w:val="Normal"/>
    <w:link w:val="FooterChar"/>
    <w:uiPriority w:val="99"/>
    <w:unhideWhenUsed/>
    <w:rsid w:val="00013FDE"/>
    <w:pPr>
      <w:tabs>
        <w:tab w:val="center" w:pos="4680"/>
        <w:tab w:val="right" w:pos="9360"/>
      </w:tabs>
    </w:pPr>
  </w:style>
  <w:style w:type="character" w:customStyle="1" w:styleId="FooterChar">
    <w:name w:val="Footer Char"/>
    <w:basedOn w:val="DefaultParagraphFont"/>
    <w:link w:val="Footer"/>
    <w:uiPriority w:val="99"/>
    <w:rsid w:val="00013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3725</Words>
  <Characters>21238</Characters>
  <Application>Microsoft Office Word</Application>
  <DocSecurity>0</DocSecurity>
  <Lines>176</Lines>
  <Paragraphs>49</Paragraphs>
  <ScaleCrop>false</ScaleCrop>
  <Company/>
  <LinksUpToDate>false</LinksUpToDate>
  <CharactersWithSpaces>24914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Arshak Ahamed</cp:lastModifiedBy>
  <cp:revision>2</cp:revision>
  <dcterms:created xsi:type="dcterms:W3CDTF">2026-02-11T10:11:00Z</dcterms:created>
  <dcterms:modified xsi:type="dcterms:W3CDTF">2026-02-11T10:28:00Z</dcterms:modified>
</cp:coreProperties>
</file>