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53DB2" w:rsidRPr="00AB346D" w14:paraId="21D7025C" w14:textId="77777777">
        <w:tblPrEx>
          <w:tblCellMar>
            <w:top w:w="0" w:type="dxa"/>
            <w:bottom w:w="0" w:type="dxa"/>
          </w:tblCellMar>
        </w:tblPrEx>
        <w:tc>
          <w:tcPr>
            <w:tcW w:w="9746" w:type="dxa"/>
            <w:shd w:val="clear" w:color="auto" w:fill="0C2340"/>
            <w:tcMar>
              <w:top w:w="560" w:type="dxa"/>
              <w:left w:w="360" w:type="dxa"/>
              <w:bottom w:w="560" w:type="dxa"/>
              <w:right w:w="360" w:type="dxa"/>
            </w:tcMar>
          </w:tcPr>
          <w:p w14:paraId="6374325E" w14:textId="77777777" w:rsidR="00453DB2" w:rsidRPr="00AB346D" w:rsidRDefault="00000000">
            <w:pPr>
              <w:spacing w:after="120"/>
              <w:rPr>
                <w:rFonts w:ascii="Arial" w:hAnsi="Arial" w:cs="Arial"/>
              </w:rPr>
            </w:pPr>
            <w:r w:rsidRPr="00AB346D">
              <w:rPr>
                <w:rFonts w:ascii="Arial" w:hAnsi="Arial" w:cs="Arial"/>
                <w:b/>
                <w:bCs/>
                <w:color w:val="FFFFFF"/>
                <w:sz w:val="44"/>
                <w:szCs w:val="44"/>
              </w:rPr>
              <w:t>Architecture Decision Record</w:t>
            </w:r>
          </w:p>
          <w:p w14:paraId="7BBD223A" w14:textId="77777777" w:rsidR="00453DB2" w:rsidRPr="00AB346D" w:rsidRDefault="00000000">
            <w:pPr>
              <w:rPr>
                <w:rFonts w:ascii="Arial" w:hAnsi="Arial" w:cs="Arial"/>
              </w:rPr>
            </w:pPr>
            <w:r w:rsidRPr="00AB346D">
              <w:rPr>
                <w:rFonts w:ascii="Arial" w:hAnsi="Arial" w:cs="Arial"/>
                <w:color w:val="E8B86D"/>
                <w:sz w:val="24"/>
                <w:szCs w:val="24"/>
              </w:rPr>
              <w:t>AI Governance Advisory Agent</w:t>
            </w:r>
          </w:p>
        </w:tc>
      </w:tr>
      <w:tr w:rsidR="00453DB2" w:rsidRPr="00AB346D" w14:paraId="2F7DDBD9" w14:textId="77777777" w:rsidTr="005B21D3">
        <w:tblPrEx>
          <w:tblCellMar>
            <w:top w:w="0" w:type="dxa"/>
            <w:bottom w:w="0" w:type="dxa"/>
          </w:tblCellMar>
        </w:tblPrEx>
        <w:trPr>
          <w:trHeight w:val="313"/>
        </w:trPr>
        <w:tc>
          <w:tcPr>
            <w:tcW w:w="9746" w:type="dxa"/>
            <w:shd w:val="clear" w:color="auto" w:fill="C9922E"/>
            <w:tcMar>
              <w:top w:w="0" w:type="dxa"/>
              <w:left w:w="0" w:type="dxa"/>
              <w:bottom w:w="0" w:type="dxa"/>
              <w:right w:w="0" w:type="dxa"/>
            </w:tcMar>
          </w:tcPr>
          <w:p w14:paraId="50823D7E" w14:textId="77777777" w:rsidR="00453DB2" w:rsidRPr="00AB346D" w:rsidRDefault="00000000">
            <w:pPr>
              <w:rPr>
                <w:rFonts w:ascii="Arial" w:hAnsi="Arial" w:cs="Arial"/>
              </w:rPr>
            </w:pPr>
            <w:r w:rsidRPr="00AB346D">
              <w:rPr>
                <w:rFonts w:ascii="Arial" w:hAnsi="Arial" w:cs="Arial"/>
                <w:sz w:val="2"/>
                <w:szCs w:val="2"/>
              </w:rPr>
              <w:t xml:space="preserve"> </w:t>
            </w:r>
          </w:p>
        </w:tc>
      </w:tr>
    </w:tbl>
    <w:p w14:paraId="0A67DBD7" w14:textId="77777777" w:rsidR="00453DB2" w:rsidRPr="00AB346D" w:rsidRDefault="00453DB2">
      <w:pPr>
        <w:spacing w:before="480"/>
        <w:rPr>
          <w:rFonts w:ascii="Arial" w:hAnsi="Arial" w:cs="Arial"/>
        </w:rPr>
      </w:pPr>
    </w:p>
    <w:p w14:paraId="4D698FEF" w14:textId="77777777" w:rsidR="00453DB2" w:rsidRPr="00AB346D" w:rsidRDefault="00000000">
      <w:pPr>
        <w:spacing w:after="80"/>
        <w:rPr>
          <w:rFonts w:ascii="Arial" w:hAnsi="Arial" w:cs="Arial"/>
        </w:rPr>
      </w:pPr>
      <w:r w:rsidRPr="00AB346D">
        <w:rPr>
          <w:rFonts w:ascii="Arial" w:hAnsi="Arial" w:cs="Arial"/>
          <w:b/>
          <w:bCs/>
          <w:color w:val="C9922E"/>
          <w:sz w:val="16"/>
          <w:szCs w:val="16"/>
        </w:rPr>
        <w:t>CLIENT</w:t>
      </w:r>
    </w:p>
    <w:p w14:paraId="65C3B2F1" w14:textId="77777777" w:rsidR="00453DB2" w:rsidRPr="00AB346D" w:rsidRDefault="00000000">
      <w:pPr>
        <w:spacing w:after="240"/>
        <w:rPr>
          <w:rFonts w:ascii="Arial" w:hAnsi="Arial" w:cs="Arial"/>
          <w:b/>
          <w:bCs/>
          <w:color w:val="0C2340"/>
          <w:sz w:val="26"/>
          <w:szCs w:val="26"/>
        </w:rPr>
      </w:pPr>
      <w:r w:rsidRPr="00AB346D">
        <w:rPr>
          <w:rFonts w:ascii="Arial" w:hAnsi="Arial" w:cs="Arial"/>
          <w:b/>
          <w:bCs/>
          <w:color w:val="0C2340"/>
          <w:sz w:val="26"/>
          <w:szCs w:val="26"/>
        </w:rPr>
        <w:t>Meridian Advisory Group (Portfolio Project)</w:t>
      </w:r>
    </w:p>
    <w:p w14:paraId="20C211D0" w14:textId="77777777" w:rsidR="005B21D3" w:rsidRPr="00AB346D" w:rsidRDefault="005B21D3" w:rsidP="005B21D3">
      <w:pPr>
        <w:spacing w:after="60"/>
        <w:rPr>
          <w:rFonts w:ascii="Arial" w:hAnsi="Arial" w:cs="Arial"/>
        </w:rPr>
      </w:pPr>
      <w:r w:rsidRPr="00AB346D">
        <w:rPr>
          <w:rFonts w:ascii="Arial" w:hAnsi="Arial" w:cs="Arial"/>
          <w:color w:val="4B5563"/>
          <w:sz w:val="19"/>
          <w:szCs w:val="19"/>
        </w:rPr>
        <w:t>Version 1.0</w:t>
      </w:r>
    </w:p>
    <w:p w14:paraId="1FB4AFB4" w14:textId="505F3B9D" w:rsidR="00453DB2" w:rsidRPr="00AB346D" w:rsidRDefault="00000000">
      <w:pPr>
        <w:spacing w:after="60"/>
        <w:rPr>
          <w:rFonts w:ascii="Arial" w:hAnsi="Arial" w:cs="Arial"/>
        </w:rPr>
      </w:pPr>
      <w:r w:rsidRPr="00AB346D">
        <w:rPr>
          <w:rFonts w:ascii="Arial" w:hAnsi="Arial" w:cs="Arial"/>
          <w:color w:val="4B5563"/>
          <w:sz w:val="19"/>
          <w:szCs w:val="19"/>
        </w:rPr>
        <w:t xml:space="preserve">Prepared </w:t>
      </w:r>
      <w:r w:rsidR="005B21D3" w:rsidRPr="00AB346D">
        <w:rPr>
          <w:rFonts w:ascii="Arial" w:hAnsi="Arial" w:cs="Arial"/>
          <w:color w:val="4B5563"/>
          <w:sz w:val="19"/>
          <w:szCs w:val="19"/>
        </w:rPr>
        <w:t>by Arsh</w:t>
      </w:r>
      <w:r w:rsidRPr="00AB346D">
        <w:rPr>
          <w:rFonts w:ascii="Arial" w:hAnsi="Arial" w:cs="Arial"/>
          <w:b/>
          <w:bCs/>
          <w:sz w:val="19"/>
          <w:szCs w:val="19"/>
        </w:rPr>
        <w:t xml:space="preserve"> Wafiq Khan Chowdhury, Technology Consultant</w:t>
      </w:r>
    </w:p>
    <w:p w14:paraId="71C5524C" w14:textId="029DCFD7" w:rsidR="00453DB2" w:rsidRPr="00AB346D" w:rsidRDefault="005B21D3">
      <w:pPr>
        <w:spacing w:after="60"/>
        <w:rPr>
          <w:rFonts w:ascii="Arial" w:hAnsi="Arial" w:cs="Arial"/>
        </w:rPr>
      </w:pPr>
      <w:r w:rsidRPr="00AB346D">
        <w:rPr>
          <w:rFonts w:ascii="Arial" w:hAnsi="Arial" w:cs="Arial"/>
          <w:color w:val="4B5563"/>
          <w:sz w:val="19"/>
          <w:szCs w:val="19"/>
        </w:rPr>
        <w:t>Date March</w:t>
      </w:r>
      <w:r w:rsidR="00000000" w:rsidRPr="00AB346D">
        <w:rPr>
          <w:rFonts w:ascii="Arial" w:hAnsi="Arial" w:cs="Arial"/>
          <w:sz w:val="19"/>
          <w:szCs w:val="19"/>
        </w:rPr>
        <w:t xml:space="preserve"> 2026</w:t>
      </w:r>
      <w:r w:rsidR="00000000" w:rsidRPr="00AB346D">
        <w:rPr>
          <w:rFonts w:ascii="Arial" w:hAnsi="Arial" w:cs="Arial"/>
          <w:color w:val="4B5563"/>
          <w:sz w:val="19"/>
          <w:szCs w:val="19"/>
        </w:rPr>
        <w:t xml:space="preserve">     </w:t>
      </w:r>
    </w:p>
    <w:p w14:paraId="39F31982" w14:textId="3B0AA8A2" w:rsidR="00453DB2" w:rsidRPr="00AB346D" w:rsidRDefault="005B21D3">
      <w:pPr>
        <w:spacing w:after="60"/>
        <w:rPr>
          <w:rFonts w:ascii="Arial" w:hAnsi="Arial" w:cs="Arial"/>
        </w:rPr>
      </w:pPr>
      <w:r w:rsidRPr="00AB346D">
        <w:rPr>
          <w:rFonts w:ascii="Arial" w:hAnsi="Arial" w:cs="Arial"/>
          <w:color w:val="4B5563"/>
          <w:sz w:val="19"/>
          <w:szCs w:val="19"/>
        </w:rPr>
        <w:t>Engagement Portfolio</w:t>
      </w:r>
      <w:r w:rsidR="00000000" w:rsidRPr="00AB346D">
        <w:rPr>
          <w:rFonts w:ascii="Arial" w:hAnsi="Arial" w:cs="Arial"/>
          <w:sz w:val="19"/>
          <w:szCs w:val="19"/>
        </w:rPr>
        <w:t xml:space="preserve"> Project </w:t>
      </w:r>
      <w:r w:rsidRPr="00AB346D">
        <w:rPr>
          <w:rFonts w:ascii="Arial" w:hAnsi="Arial" w:cs="Arial"/>
          <w:sz w:val="19"/>
          <w:szCs w:val="19"/>
        </w:rPr>
        <w:t>-</w:t>
      </w:r>
      <w:r w:rsidR="00000000" w:rsidRPr="00AB346D">
        <w:rPr>
          <w:rFonts w:ascii="Arial" w:hAnsi="Arial" w:cs="Arial"/>
          <w:sz w:val="19"/>
          <w:szCs w:val="19"/>
        </w:rPr>
        <w:t xml:space="preserve"> AI Governance Advisory Agent</w:t>
      </w:r>
    </w:p>
    <w:p w14:paraId="3E265948" w14:textId="77777777" w:rsidR="00453DB2" w:rsidRPr="00AB346D" w:rsidRDefault="00453DB2">
      <w:pPr>
        <w:spacing w:before="480"/>
        <w:rPr>
          <w:rFonts w:ascii="Arial" w:hAnsi="Arial" w:cs="Arial"/>
        </w:rPr>
      </w:pPr>
    </w:p>
    <w:p w14:paraId="603BFCD1" w14:textId="77777777" w:rsidR="00453DB2" w:rsidRPr="00AB346D" w:rsidRDefault="00000000">
      <w:pPr>
        <w:pBdr>
          <w:bottom w:val="single" w:sz="4" w:space="1" w:color="D1D5DB"/>
        </w:pBdr>
        <w:rPr>
          <w:rFonts w:ascii="Arial" w:hAnsi="Arial" w:cs="Arial"/>
        </w:rPr>
      </w:pPr>
      <w:r w:rsidRPr="00AB346D">
        <w:rPr>
          <w:rFonts w:ascii="Arial" w:hAnsi="Arial" w:cs="Arial"/>
          <w:sz w:val="4"/>
          <w:szCs w:val="4"/>
        </w:rPr>
        <w:t xml:space="preserve"> </w:t>
      </w:r>
    </w:p>
    <w:p w14:paraId="785EB9B6" w14:textId="77777777" w:rsidR="00453DB2" w:rsidRPr="00AB346D" w:rsidRDefault="00453DB2">
      <w:pPr>
        <w:pageBreakBefore/>
        <w:rPr>
          <w:rFonts w:ascii="Arial" w:hAnsi="Arial" w:cs="Arial"/>
        </w:rPr>
      </w:pPr>
    </w:p>
    <w:p w14:paraId="65076883" w14:textId="77777777" w:rsidR="00453DB2" w:rsidRPr="00AB346D" w:rsidRDefault="00000000">
      <w:pPr>
        <w:spacing w:after="80"/>
        <w:rPr>
          <w:rFonts w:ascii="Arial" w:hAnsi="Arial" w:cs="Arial"/>
        </w:rPr>
      </w:pPr>
      <w:r w:rsidRPr="00AB346D">
        <w:rPr>
          <w:rFonts w:ascii="Arial" w:hAnsi="Arial" w:cs="Arial"/>
        </w:rPr>
        <w:t>This document records four key design decisions made during the architecture phase. Each record captures the context, the options considered, the decision, the rationale, and the trade-offs accepted. This format follows standard Microsoft partner engagement practice.</w:t>
      </w:r>
    </w:p>
    <w:p w14:paraId="68414AEB" w14:textId="77777777" w:rsidR="00453DB2" w:rsidRPr="00AB346D" w:rsidRDefault="00000000">
      <w:pPr>
        <w:pBdr>
          <w:bottom w:val="single" w:sz="2" w:space="1" w:color="D1D5DB"/>
        </w:pBdr>
        <w:spacing w:before="160" w:after="160"/>
        <w:rPr>
          <w:rFonts w:ascii="Arial" w:hAnsi="Arial" w:cs="Arial"/>
        </w:rPr>
      </w:pPr>
      <w:r w:rsidRPr="00AB346D">
        <w:rPr>
          <w:rFonts w:ascii="Arial" w:hAnsi="Arial" w:cs="Arial"/>
          <w:sz w:val="4"/>
          <w:szCs w:val="4"/>
        </w:rPr>
        <w:t xml:space="preserve"> </w:t>
      </w:r>
    </w:p>
    <w:p w14:paraId="2BE417B4" w14:textId="728C4F49" w:rsidR="00453DB2" w:rsidRPr="00AB346D" w:rsidRDefault="00000000">
      <w:pPr>
        <w:pBdr>
          <w:left w:val="thick" w:sz="28" w:space="12" w:color="C9922E"/>
        </w:pBdr>
        <w:spacing w:before="400" w:after="140"/>
        <w:ind w:left="240"/>
        <w:rPr>
          <w:rFonts w:ascii="Arial" w:hAnsi="Arial" w:cs="Arial"/>
        </w:rPr>
      </w:pPr>
      <w:r w:rsidRPr="00AB346D">
        <w:rPr>
          <w:rFonts w:ascii="Arial" w:hAnsi="Arial" w:cs="Arial"/>
          <w:b/>
          <w:bCs/>
          <w:color w:val="0C2340"/>
          <w:sz w:val="30"/>
          <w:szCs w:val="30"/>
        </w:rPr>
        <w:t>ADR-</w:t>
      </w:r>
      <w:r w:rsidR="005B21D3" w:rsidRPr="00AB346D">
        <w:rPr>
          <w:rFonts w:ascii="Arial" w:hAnsi="Arial" w:cs="Arial"/>
          <w:b/>
          <w:bCs/>
          <w:color w:val="0C2340"/>
          <w:sz w:val="30"/>
          <w:szCs w:val="30"/>
        </w:rPr>
        <w:t>001 Retrieval</w:t>
      </w:r>
      <w:r w:rsidRPr="00AB346D">
        <w:rPr>
          <w:rFonts w:ascii="Arial" w:hAnsi="Arial" w:cs="Arial"/>
          <w:b/>
          <w:bCs/>
          <w:color w:val="0C2340"/>
          <w:sz w:val="30"/>
          <w:szCs w:val="30"/>
        </w:rPr>
        <w:t xml:space="preserve"> Strategy</w:t>
      </w:r>
    </w:p>
    <w:p w14:paraId="686E114E" w14:textId="77777777" w:rsidR="00453DB2" w:rsidRPr="00AB346D" w:rsidRDefault="00453DB2">
      <w:pPr>
        <w:spacing w:before="8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453DB2" w:rsidRPr="00AB346D" w14:paraId="5A024C7C"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619AD106" w14:textId="77777777" w:rsidR="00453DB2" w:rsidRPr="00AB346D" w:rsidRDefault="00000000">
            <w:pPr>
              <w:rPr>
                <w:rFonts w:ascii="Arial" w:hAnsi="Arial" w:cs="Arial"/>
              </w:rPr>
            </w:pPr>
            <w:r w:rsidRPr="00AB346D">
              <w:rPr>
                <w:rFonts w:ascii="Arial" w:hAnsi="Arial" w:cs="Arial"/>
                <w:b/>
                <w:bCs/>
                <w:color w:val="4B5563"/>
                <w:sz w:val="19"/>
                <w:szCs w:val="19"/>
              </w:rPr>
              <w:t>Decision ID</w:t>
            </w:r>
          </w:p>
        </w:tc>
        <w:tc>
          <w:tcPr>
            <w:tcW w:w="7746" w:type="dxa"/>
            <w:tcBorders>
              <w:bottom w:val="single" w:sz="1" w:space="0" w:color="D1D5DB"/>
            </w:tcBorders>
            <w:tcMar>
              <w:top w:w="80" w:type="dxa"/>
              <w:left w:w="160" w:type="dxa"/>
              <w:bottom w:w="80" w:type="dxa"/>
              <w:right w:w="160" w:type="dxa"/>
            </w:tcMar>
          </w:tcPr>
          <w:p w14:paraId="0B51BE68" w14:textId="77777777" w:rsidR="00453DB2" w:rsidRPr="00AB346D" w:rsidRDefault="00000000">
            <w:pPr>
              <w:rPr>
                <w:rFonts w:ascii="Arial" w:hAnsi="Arial" w:cs="Arial"/>
              </w:rPr>
            </w:pPr>
            <w:r w:rsidRPr="00AB346D">
              <w:rPr>
                <w:rFonts w:ascii="Arial" w:hAnsi="Arial" w:cs="Arial"/>
                <w:sz w:val="19"/>
                <w:szCs w:val="19"/>
              </w:rPr>
              <w:t>ADR-001</w:t>
            </w:r>
          </w:p>
        </w:tc>
      </w:tr>
      <w:tr w:rsidR="00453DB2" w:rsidRPr="00AB346D" w14:paraId="5782C063"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253D0D6F" w14:textId="77777777" w:rsidR="00453DB2" w:rsidRPr="00AB346D" w:rsidRDefault="00000000">
            <w:pPr>
              <w:rPr>
                <w:rFonts w:ascii="Arial" w:hAnsi="Arial" w:cs="Arial"/>
              </w:rPr>
            </w:pPr>
            <w:r w:rsidRPr="00AB346D">
              <w:rPr>
                <w:rFonts w:ascii="Arial" w:hAnsi="Arial" w:cs="Arial"/>
                <w:b/>
                <w:bCs/>
                <w:color w:val="4B5563"/>
                <w:sz w:val="19"/>
                <w:szCs w:val="19"/>
              </w:rPr>
              <w:t>Status</w:t>
            </w:r>
          </w:p>
        </w:tc>
        <w:tc>
          <w:tcPr>
            <w:tcW w:w="7746" w:type="dxa"/>
            <w:tcBorders>
              <w:bottom w:val="single" w:sz="1" w:space="0" w:color="D1D5DB"/>
            </w:tcBorders>
            <w:tcMar>
              <w:top w:w="80" w:type="dxa"/>
              <w:left w:w="160" w:type="dxa"/>
              <w:bottom w:w="80" w:type="dxa"/>
              <w:right w:w="160" w:type="dxa"/>
            </w:tcMar>
          </w:tcPr>
          <w:p w14:paraId="323933BE" w14:textId="77777777" w:rsidR="00453DB2" w:rsidRPr="00AB346D" w:rsidRDefault="00000000">
            <w:pPr>
              <w:rPr>
                <w:rFonts w:ascii="Arial" w:hAnsi="Arial" w:cs="Arial"/>
              </w:rPr>
            </w:pPr>
            <w:r w:rsidRPr="00AB346D">
              <w:rPr>
                <w:rFonts w:ascii="Arial" w:hAnsi="Arial" w:cs="Arial"/>
                <w:sz w:val="19"/>
                <w:szCs w:val="19"/>
              </w:rPr>
              <w:t>Accepted</w:t>
            </w:r>
          </w:p>
        </w:tc>
      </w:tr>
      <w:tr w:rsidR="00453DB2" w:rsidRPr="00AB346D" w14:paraId="51BC9FFA"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4E1B70ED" w14:textId="77777777" w:rsidR="00453DB2" w:rsidRPr="00AB346D" w:rsidRDefault="00000000">
            <w:pPr>
              <w:rPr>
                <w:rFonts w:ascii="Arial" w:hAnsi="Arial" w:cs="Arial"/>
              </w:rPr>
            </w:pPr>
            <w:r w:rsidRPr="00AB346D">
              <w:rPr>
                <w:rFonts w:ascii="Arial" w:hAnsi="Arial" w:cs="Arial"/>
                <w:b/>
                <w:bCs/>
                <w:color w:val="4B5563"/>
                <w:sz w:val="19"/>
                <w:szCs w:val="19"/>
              </w:rPr>
              <w:t>Date</w:t>
            </w:r>
          </w:p>
        </w:tc>
        <w:tc>
          <w:tcPr>
            <w:tcW w:w="7746" w:type="dxa"/>
            <w:tcBorders>
              <w:bottom w:val="single" w:sz="1" w:space="0" w:color="D1D5DB"/>
            </w:tcBorders>
            <w:tcMar>
              <w:top w:w="80" w:type="dxa"/>
              <w:left w:w="160" w:type="dxa"/>
              <w:bottom w:w="80" w:type="dxa"/>
              <w:right w:w="160" w:type="dxa"/>
            </w:tcMar>
          </w:tcPr>
          <w:p w14:paraId="0DC82192" w14:textId="77777777" w:rsidR="00453DB2" w:rsidRPr="00AB346D" w:rsidRDefault="00000000">
            <w:pPr>
              <w:rPr>
                <w:rFonts w:ascii="Arial" w:hAnsi="Arial" w:cs="Arial"/>
              </w:rPr>
            </w:pPr>
            <w:r w:rsidRPr="00AB346D">
              <w:rPr>
                <w:rFonts w:ascii="Arial" w:hAnsi="Arial" w:cs="Arial"/>
                <w:sz w:val="19"/>
                <w:szCs w:val="19"/>
              </w:rPr>
              <w:t>March 2026</w:t>
            </w:r>
          </w:p>
        </w:tc>
      </w:tr>
      <w:tr w:rsidR="00453DB2" w:rsidRPr="00AB346D" w14:paraId="5CDFAA50" w14:textId="77777777">
        <w:tblPrEx>
          <w:tblCellMar>
            <w:top w:w="0" w:type="dxa"/>
            <w:bottom w:w="0" w:type="dxa"/>
          </w:tblCellMar>
        </w:tblPrEx>
        <w:tc>
          <w:tcPr>
            <w:tcW w:w="2000" w:type="dxa"/>
            <w:tcMar>
              <w:top w:w="80" w:type="dxa"/>
              <w:left w:w="160" w:type="dxa"/>
              <w:bottom w:w="80" w:type="dxa"/>
              <w:right w:w="160" w:type="dxa"/>
            </w:tcMar>
          </w:tcPr>
          <w:p w14:paraId="4C520DAA" w14:textId="77777777" w:rsidR="00453DB2" w:rsidRPr="00AB346D" w:rsidRDefault="00000000">
            <w:pPr>
              <w:rPr>
                <w:rFonts w:ascii="Arial" w:hAnsi="Arial" w:cs="Arial"/>
              </w:rPr>
            </w:pPr>
            <w:r w:rsidRPr="00AB346D">
              <w:rPr>
                <w:rFonts w:ascii="Arial" w:hAnsi="Arial" w:cs="Arial"/>
                <w:b/>
                <w:bCs/>
                <w:color w:val="4B5563"/>
                <w:sz w:val="19"/>
                <w:szCs w:val="19"/>
              </w:rPr>
              <w:t>Decided by</w:t>
            </w:r>
          </w:p>
        </w:tc>
        <w:tc>
          <w:tcPr>
            <w:tcW w:w="7746" w:type="dxa"/>
            <w:tcMar>
              <w:top w:w="80" w:type="dxa"/>
              <w:left w:w="160" w:type="dxa"/>
              <w:bottom w:w="80" w:type="dxa"/>
              <w:right w:w="160" w:type="dxa"/>
            </w:tcMar>
          </w:tcPr>
          <w:p w14:paraId="02E3166B" w14:textId="77777777" w:rsidR="00453DB2" w:rsidRPr="00AB346D" w:rsidRDefault="00000000">
            <w:pPr>
              <w:rPr>
                <w:rFonts w:ascii="Arial" w:hAnsi="Arial" w:cs="Arial"/>
              </w:rPr>
            </w:pPr>
            <w:r w:rsidRPr="00AB346D">
              <w:rPr>
                <w:rFonts w:ascii="Arial" w:hAnsi="Arial" w:cs="Arial"/>
                <w:sz w:val="19"/>
                <w:szCs w:val="19"/>
              </w:rPr>
              <w:t>Arsh Chowdhury, Technology Consultant</w:t>
            </w:r>
          </w:p>
        </w:tc>
      </w:tr>
    </w:tbl>
    <w:p w14:paraId="0B9595AF" w14:textId="77777777" w:rsidR="00453DB2" w:rsidRPr="00AB346D" w:rsidRDefault="00453DB2">
      <w:pPr>
        <w:spacing w:before="60"/>
        <w:rPr>
          <w:rFonts w:ascii="Arial" w:hAnsi="Arial" w:cs="Arial"/>
        </w:rPr>
      </w:pPr>
    </w:p>
    <w:p w14:paraId="049C2428" w14:textId="72F08001" w:rsidR="00453DB2" w:rsidRPr="00AB346D" w:rsidRDefault="00000000" w:rsidP="00AB346D">
      <w:pPr>
        <w:pStyle w:val="DecisionCallout"/>
        <w:rPr>
          <w:rFonts w:ascii="Arial" w:hAnsi="Arial" w:cs="Arial"/>
        </w:rPr>
      </w:pPr>
      <w:r w:rsidRPr="00AB346D">
        <w:rPr>
          <w:rFonts w:ascii="Arial" w:hAnsi="Arial" w:cs="Arial"/>
          <w:color w:val="C9922E"/>
        </w:rPr>
        <w:t>Decision</w:t>
      </w:r>
      <w:r w:rsidR="00AB346D" w:rsidRPr="00AB346D">
        <w:rPr>
          <w:rFonts w:ascii="Arial" w:hAnsi="Arial" w:cs="Arial"/>
        </w:rPr>
        <w:t xml:space="preserve">: </w:t>
      </w:r>
      <w:r w:rsidRPr="00AB346D">
        <w:rPr>
          <w:rFonts w:ascii="Arial" w:hAnsi="Arial" w:cs="Arial"/>
        </w:rPr>
        <w:t xml:space="preserve"> Use hybrid search (keyword and semantic) in Azure AI Search rather than keyword-only or vector-only retriev</w:t>
      </w:r>
      <w:r w:rsidR="005B21D3" w:rsidRPr="00AB346D">
        <w:rPr>
          <w:rFonts w:ascii="Arial" w:hAnsi="Arial" w:cs="Arial"/>
        </w:rPr>
        <w:t>al.</w:t>
      </w:r>
    </w:p>
    <w:p w14:paraId="7523D43E" w14:textId="77777777" w:rsidR="00453DB2" w:rsidRPr="00AB346D" w:rsidRDefault="00453DB2">
      <w:pPr>
        <w:spacing w:before="40"/>
        <w:rPr>
          <w:rFonts w:ascii="Arial" w:hAnsi="Arial" w:cs="Arial"/>
        </w:rPr>
      </w:pPr>
    </w:p>
    <w:p w14:paraId="7A9233D3"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CONTEXT</w:t>
      </w:r>
    </w:p>
    <w:p w14:paraId="55DB15AB" w14:textId="77777777" w:rsidR="00453DB2" w:rsidRPr="00AB346D" w:rsidRDefault="00000000">
      <w:pPr>
        <w:spacing w:before="60" w:after="80"/>
        <w:rPr>
          <w:rFonts w:ascii="Arial" w:hAnsi="Arial" w:cs="Arial"/>
        </w:rPr>
      </w:pPr>
      <w:r w:rsidRPr="00AB346D">
        <w:rPr>
          <w:rFonts w:ascii="Arial" w:hAnsi="Arial" w:cs="Arial"/>
        </w:rPr>
        <w:t>The agent must return accurate, relevant responses to natural language queries about AI governance frameworks. Users phrase queries in varied ways, from precise terminology ('What does the Australian AI Ethics Framework say about transparency?') to conversational ('How do I explain to a client why they need a human oversight process?'). The retrieval strategy determines how well the knowledge index handles this variation.</w:t>
      </w:r>
    </w:p>
    <w:p w14:paraId="50DB303D"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OPTIONS CONSIDERED</w:t>
      </w:r>
    </w:p>
    <w:p w14:paraId="03D67C51"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Keyword-only search: Fast and predictable but fails on conceptual or paraphrased queries where exact terminology is absent.</w:t>
      </w:r>
    </w:p>
    <w:p w14:paraId="566BCEF8"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Vector-only search: Handles semantic similarity well but can surface less precise matches and is harder to explain to stakeholders.</w:t>
      </w:r>
    </w:p>
    <w:p w14:paraId="00EFEBFF"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 xml:space="preserve">Hybrid search with semantic ranker: Combines keyword recall with semantic relevance. The ranker re-scores </w:t>
      </w:r>
      <w:proofErr w:type="gramStart"/>
      <w:r w:rsidRPr="00AB346D">
        <w:rPr>
          <w:rFonts w:ascii="Arial" w:hAnsi="Arial" w:cs="Arial"/>
        </w:rPr>
        <w:t>results</w:t>
      </w:r>
      <w:proofErr w:type="gramEnd"/>
      <w:r w:rsidRPr="00AB346D">
        <w:rPr>
          <w:rFonts w:ascii="Arial" w:hAnsi="Arial" w:cs="Arial"/>
        </w:rPr>
        <w:t xml:space="preserve"> from both methods, improving precision for natural language queries.</w:t>
      </w:r>
    </w:p>
    <w:p w14:paraId="0F3D3855"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DECISION AND RATIONALE</w:t>
      </w:r>
    </w:p>
    <w:p w14:paraId="3AA6CC2E" w14:textId="77777777" w:rsidR="00453DB2" w:rsidRPr="00AB346D" w:rsidRDefault="00000000">
      <w:pPr>
        <w:spacing w:before="60" w:after="80"/>
        <w:rPr>
          <w:rFonts w:ascii="Arial" w:hAnsi="Arial" w:cs="Arial"/>
        </w:rPr>
      </w:pPr>
      <w:r w:rsidRPr="00AB346D">
        <w:rPr>
          <w:rFonts w:ascii="Arial" w:hAnsi="Arial" w:cs="Arial"/>
        </w:rPr>
        <w:t>Hybrid search with the Azure AI Search semantic ranker is selected, retrieving and re-ranking the top 5 results. Governance frameworks use both precise terminology (keyword search advantage) and conceptual language (semantic search advantage). The hybrid approach maximises relevant retrieval across both query types. Performance cost of the semantic ranker is acceptable given the 8-second NFR-01 latency target, confirmed in testing.</w:t>
      </w:r>
    </w:p>
    <w:p w14:paraId="2BF3C1A3"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TRADE-OFFS ACCEPTED</w:t>
      </w:r>
    </w:p>
    <w:p w14:paraId="41585FEF" w14:textId="77777777" w:rsidR="00453DB2" w:rsidRPr="00AB346D" w:rsidRDefault="00000000">
      <w:pPr>
        <w:spacing w:before="60" w:after="80"/>
        <w:rPr>
          <w:rFonts w:ascii="Arial" w:hAnsi="Arial" w:cs="Arial"/>
        </w:rPr>
      </w:pPr>
      <w:r w:rsidRPr="00AB346D">
        <w:rPr>
          <w:rFonts w:ascii="Arial" w:hAnsi="Arial" w:cs="Arial"/>
        </w:rPr>
        <w:t>Slightly higher Azure AI Search cost: the semantic ranker requires the Standard tier, more expensive than Basic. Accepted given the accuracy improvement and the compliance risk of returning irrelevant governance guidance to consultants advising clients on regulated AI deployments.</w:t>
      </w:r>
    </w:p>
    <w:p w14:paraId="766525DE" w14:textId="77777777" w:rsidR="00453DB2" w:rsidRPr="00AB346D" w:rsidRDefault="00000000">
      <w:pPr>
        <w:pBdr>
          <w:bottom w:val="single" w:sz="2" w:space="1" w:color="D1D5DB"/>
        </w:pBdr>
        <w:spacing w:before="160" w:after="160"/>
        <w:rPr>
          <w:rFonts w:ascii="Arial" w:hAnsi="Arial" w:cs="Arial"/>
        </w:rPr>
      </w:pPr>
      <w:r w:rsidRPr="00AB346D">
        <w:rPr>
          <w:rFonts w:ascii="Arial" w:hAnsi="Arial" w:cs="Arial"/>
          <w:sz w:val="4"/>
          <w:szCs w:val="4"/>
        </w:rPr>
        <w:t xml:space="preserve"> </w:t>
      </w:r>
    </w:p>
    <w:p w14:paraId="216AB1E2" w14:textId="1332DDD1" w:rsidR="00453DB2" w:rsidRPr="00AB346D" w:rsidRDefault="00000000">
      <w:pPr>
        <w:pBdr>
          <w:left w:val="thick" w:sz="28" w:space="12" w:color="C9922E"/>
        </w:pBdr>
        <w:spacing w:before="400" w:after="140"/>
        <w:ind w:left="240"/>
        <w:rPr>
          <w:rFonts w:ascii="Arial" w:hAnsi="Arial" w:cs="Arial"/>
        </w:rPr>
      </w:pPr>
      <w:r w:rsidRPr="00AB346D">
        <w:rPr>
          <w:rFonts w:ascii="Arial" w:hAnsi="Arial" w:cs="Arial"/>
          <w:b/>
          <w:bCs/>
          <w:color w:val="0C2340"/>
          <w:sz w:val="30"/>
          <w:szCs w:val="30"/>
        </w:rPr>
        <w:t>ADR-</w:t>
      </w:r>
      <w:r w:rsidR="005B21D3" w:rsidRPr="00AB346D">
        <w:rPr>
          <w:rFonts w:ascii="Arial" w:hAnsi="Arial" w:cs="Arial"/>
          <w:b/>
          <w:bCs/>
          <w:color w:val="0C2340"/>
          <w:sz w:val="30"/>
          <w:szCs w:val="30"/>
        </w:rPr>
        <w:t>002 Confidence</w:t>
      </w:r>
      <w:r w:rsidRPr="00AB346D">
        <w:rPr>
          <w:rFonts w:ascii="Arial" w:hAnsi="Arial" w:cs="Arial"/>
          <w:b/>
          <w:bCs/>
          <w:color w:val="0C2340"/>
          <w:sz w:val="30"/>
          <w:szCs w:val="30"/>
        </w:rPr>
        <w:t xml:space="preserve"> Threshold and Escalation Design</w:t>
      </w:r>
    </w:p>
    <w:p w14:paraId="1536E4B9" w14:textId="77777777" w:rsidR="00453DB2" w:rsidRPr="00AB346D" w:rsidRDefault="00453DB2">
      <w:pPr>
        <w:spacing w:before="8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453DB2" w:rsidRPr="00AB346D" w14:paraId="1090E532"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75F15AD4" w14:textId="77777777" w:rsidR="00453DB2" w:rsidRPr="00AB346D" w:rsidRDefault="00000000">
            <w:pPr>
              <w:rPr>
                <w:rFonts w:ascii="Arial" w:hAnsi="Arial" w:cs="Arial"/>
              </w:rPr>
            </w:pPr>
            <w:r w:rsidRPr="00AB346D">
              <w:rPr>
                <w:rFonts w:ascii="Arial" w:hAnsi="Arial" w:cs="Arial"/>
                <w:b/>
                <w:bCs/>
                <w:color w:val="4B5563"/>
                <w:sz w:val="19"/>
                <w:szCs w:val="19"/>
              </w:rPr>
              <w:t>Decision ID</w:t>
            </w:r>
          </w:p>
        </w:tc>
        <w:tc>
          <w:tcPr>
            <w:tcW w:w="7746" w:type="dxa"/>
            <w:tcBorders>
              <w:bottom w:val="single" w:sz="1" w:space="0" w:color="D1D5DB"/>
            </w:tcBorders>
            <w:tcMar>
              <w:top w:w="80" w:type="dxa"/>
              <w:left w:w="160" w:type="dxa"/>
              <w:bottom w:w="80" w:type="dxa"/>
              <w:right w:w="160" w:type="dxa"/>
            </w:tcMar>
          </w:tcPr>
          <w:p w14:paraId="47367E1C" w14:textId="77777777" w:rsidR="00453DB2" w:rsidRPr="00AB346D" w:rsidRDefault="00000000">
            <w:pPr>
              <w:rPr>
                <w:rFonts w:ascii="Arial" w:hAnsi="Arial" w:cs="Arial"/>
              </w:rPr>
            </w:pPr>
            <w:r w:rsidRPr="00AB346D">
              <w:rPr>
                <w:rFonts w:ascii="Arial" w:hAnsi="Arial" w:cs="Arial"/>
                <w:sz w:val="19"/>
                <w:szCs w:val="19"/>
              </w:rPr>
              <w:t>ADR-002</w:t>
            </w:r>
          </w:p>
        </w:tc>
      </w:tr>
      <w:tr w:rsidR="00453DB2" w:rsidRPr="00AB346D" w14:paraId="55DCE191"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21B56DA8" w14:textId="77777777" w:rsidR="00453DB2" w:rsidRPr="00AB346D" w:rsidRDefault="00000000">
            <w:pPr>
              <w:rPr>
                <w:rFonts w:ascii="Arial" w:hAnsi="Arial" w:cs="Arial"/>
              </w:rPr>
            </w:pPr>
            <w:r w:rsidRPr="00AB346D">
              <w:rPr>
                <w:rFonts w:ascii="Arial" w:hAnsi="Arial" w:cs="Arial"/>
                <w:b/>
                <w:bCs/>
                <w:color w:val="4B5563"/>
                <w:sz w:val="19"/>
                <w:szCs w:val="19"/>
              </w:rPr>
              <w:t>Status</w:t>
            </w:r>
          </w:p>
        </w:tc>
        <w:tc>
          <w:tcPr>
            <w:tcW w:w="7746" w:type="dxa"/>
            <w:tcBorders>
              <w:bottom w:val="single" w:sz="1" w:space="0" w:color="D1D5DB"/>
            </w:tcBorders>
            <w:tcMar>
              <w:top w:w="80" w:type="dxa"/>
              <w:left w:w="160" w:type="dxa"/>
              <w:bottom w:w="80" w:type="dxa"/>
              <w:right w:w="160" w:type="dxa"/>
            </w:tcMar>
          </w:tcPr>
          <w:p w14:paraId="483C8C3D" w14:textId="77777777" w:rsidR="00453DB2" w:rsidRPr="00AB346D" w:rsidRDefault="00000000">
            <w:pPr>
              <w:rPr>
                <w:rFonts w:ascii="Arial" w:hAnsi="Arial" w:cs="Arial"/>
              </w:rPr>
            </w:pPr>
            <w:r w:rsidRPr="00AB346D">
              <w:rPr>
                <w:rFonts w:ascii="Arial" w:hAnsi="Arial" w:cs="Arial"/>
                <w:sz w:val="19"/>
                <w:szCs w:val="19"/>
              </w:rPr>
              <w:t>Accepted</w:t>
            </w:r>
          </w:p>
        </w:tc>
      </w:tr>
      <w:tr w:rsidR="00453DB2" w:rsidRPr="00AB346D" w14:paraId="08E92215"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15C6569D" w14:textId="77777777" w:rsidR="00453DB2" w:rsidRPr="00AB346D" w:rsidRDefault="00000000">
            <w:pPr>
              <w:rPr>
                <w:rFonts w:ascii="Arial" w:hAnsi="Arial" w:cs="Arial"/>
              </w:rPr>
            </w:pPr>
            <w:r w:rsidRPr="00AB346D">
              <w:rPr>
                <w:rFonts w:ascii="Arial" w:hAnsi="Arial" w:cs="Arial"/>
                <w:b/>
                <w:bCs/>
                <w:color w:val="4B5563"/>
                <w:sz w:val="19"/>
                <w:szCs w:val="19"/>
              </w:rPr>
              <w:lastRenderedPageBreak/>
              <w:t>Date</w:t>
            </w:r>
          </w:p>
        </w:tc>
        <w:tc>
          <w:tcPr>
            <w:tcW w:w="7746" w:type="dxa"/>
            <w:tcBorders>
              <w:bottom w:val="single" w:sz="1" w:space="0" w:color="D1D5DB"/>
            </w:tcBorders>
            <w:tcMar>
              <w:top w:w="80" w:type="dxa"/>
              <w:left w:w="160" w:type="dxa"/>
              <w:bottom w:w="80" w:type="dxa"/>
              <w:right w:w="160" w:type="dxa"/>
            </w:tcMar>
          </w:tcPr>
          <w:p w14:paraId="74F57DD4" w14:textId="77777777" w:rsidR="00453DB2" w:rsidRPr="00AB346D" w:rsidRDefault="00000000">
            <w:pPr>
              <w:rPr>
                <w:rFonts w:ascii="Arial" w:hAnsi="Arial" w:cs="Arial"/>
              </w:rPr>
            </w:pPr>
            <w:r w:rsidRPr="00AB346D">
              <w:rPr>
                <w:rFonts w:ascii="Arial" w:hAnsi="Arial" w:cs="Arial"/>
                <w:sz w:val="19"/>
                <w:szCs w:val="19"/>
              </w:rPr>
              <w:t>March 2026</w:t>
            </w:r>
          </w:p>
        </w:tc>
      </w:tr>
      <w:tr w:rsidR="00453DB2" w:rsidRPr="00AB346D" w14:paraId="3EFA8BBD" w14:textId="77777777">
        <w:tblPrEx>
          <w:tblCellMar>
            <w:top w:w="0" w:type="dxa"/>
            <w:bottom w:w="0" w:type="dxa"/>
          </w:tblCellMar>
        </w:tblPrEx>
        <w:tc>
          <w:tcPr>
            <w:tcW w:w="2000" w:type="dxa"/>
            <w:tcMar>
              <w:top w:w="80" w:type="dxa"/>
              <w:left w:w="160" w:type="dxa"/>
              <w:bottom w:w="80" w:type="dxa"/>
              <w:right w:w="160" w:type="dxa"/>
            </w:tcMar>
          </w:tcPr>
          <w:p w14:paraId="72CD410A" w14:textId="77777777" w:rsidR="00453DB2" w:rsidRPr="00AB346D" w:rsidRDefault="00000000">
            <w:pPr>
              <w:rPr>
                <w:rFonts w:ascii="Arial" w:hAnsi="Arial" w:cs="Arial"/>
              </w:rPr>
            </w:pPr>
            <w:r w:rsidRPr="00AB346D">
              <w:rPr>
                <w:rFonts w:ascii="Arial" w:hAnsi="Arial" w:cs="Arial"/>
                <w:b/>
                <w:bCs/>
                <w:color w:val="4B5563"/>
                <w:sz w:val="19"/>
                <w:szCs w:val="19"/>
              </w:rPr>
              <w:t>Decided by</w:t>
            </w:r>
          </w:p>
        </w:tc>
        <w:tc>
          <w:tcPr>
            <w:tcW w:w="7746" w:type="dxa"/>
            <w:tcMar>
              <w:top w:w="80" w:type="dxa"/>
              <w:left w:w="160" w:type="dxa"/>
              <w:bottom w:w="80" w:type="dxa"/>
              <w:right w:w="160" w:type="dxa"/>
            </w:tcMar>
          </w:tcPr>
          <w:p w14:paraId="47450C6D" w14:textId="77777777" w:rsidR="00453DB2" w:rsidRPr="00AB346D" w:rsidRDefault="00000000">
            <w:pPr>
              <w:rPr>
                <w:rFonts w:ascii="Arial" w:hAnsi="Arial" w:cs="Arial"/>
              </w:rPr>
            </w:pPr>
            <w:r w:rsidRPr="00AB346D">
              <w:rPr>
                <w:rFonts w:ascii="Arial" w:hAnsi="Arial" w:cs="Arial"/>
                <w:sz w:val="19"/>
                <w:szCs w:val="19"/>
              </w:rPr>
              <w:t>Arsh Chowdhury with Legal and Compliance Manager</w:t>
            </w:r>
          </w:p>
        </w:tc>
      </w:tr>
    </w:tbl>
    <w:p w14:paraId="2CCF98D8" w14:textId="77777777" w:rsidR="00453DB2" w:rsidRPr="00AB346D" w:rsidRDefault="00453DB2">
      <w:pPr>
        <w:spacing w:before="60"/>
        <w:rPr>
          <w:rFonts w:ascii="Arial" w:hAnsi="Arial" w:cs="Arial"/>
        </w:rPr>
      </w:pPr>
    </w:p>
    <w:p w14:paraId="33275F60" w14:textId="2C911BF3" w:rsidR="00453DB2" w:rsidRPr="00AB346D" w:rsidRDefault="00000000">
      <w:pPr>
        <w:pBdr>
          <w:left w:val="thick" w:sz="24" w:space="8" w:color="C9922E"/>
        </w:pBdr>
        <w:shd w:val="clear" w:color="auto" w:fill="FDF3E3"/>
        <w:spacing w:before="160" w:after="160"/>
        <w:ind w:left="200" w:right="200"/>
        <w:rPr>
          <w:rFonts w:ascii="Arial" w:hAnsi="Arial" w:cs="Arial"/>
        </w:rPr>
      </w:pPr>
      <w:r w:rsidRPr="00AB346D">
        <w:rPr>
          <w:rFonts w:ascii="Arial" w:hAnsi="Arial" w:cs="Arial"/>
          <w:b/>
          <w:bCs/>
          <w:color w:val="C9922E"/>
          <w:sz w:val="19"/>
          <w:szCs w:val="19"/>
        </w:rPr>
        <w:t>Decision</w:t>
      </w:r>
      <w:r w:rsidR="00AB346D" w:rsidRPr="00AB346D">
        <w:rPr>
          <w:rFonts w:ascii="Arial" w:hAnsi="Arial" w:cs="Arial"/>
          <w:b/>
          <w:bCs/>
          <w:color w:val="C9922E"/>
          <w:sz w:val="19"/>
          <w:szCs w:val="19"/>
        </w:rPr>
        <w:t>:</w:t>
      </w:r>
      <w:r w:rsidRPr="00AB346D">
        <w:rPr>
          <w:rFonts w:ascii="Arial" w:hAnsi="Arial" w:cs="Arial"/>
          <w:b/>
          <w:bCs/>
          <w:color w:val="C9922E"/>
          <w:sz w:val="19"/>
          <w:szCs w:val="19"/>
        </w:rPr>
        <w:t xml:space="preserve">  </w:t>
      </w:r>
      <w:r w:rsidRPr="00AB346D">
        <w:rPr>
          <w:rFonts w:ascii="Arial" w:hAnsi="Arial" w:cs="Arial"/>
          <w:sz w:val="19"/>
          <w:szCs w:val="19"/>
        </w:rPr>
        <w:t>Set confidence threshold at 0.7 and route below-threshold queries to a named SME via adaptive card — not to a generic disclaimer.</w:t>
      </w:r>
    </w:p>
    <w:p w14:paraId="0882B59A" w14:textId="77777777" w:rsidR="00453DB2" w:rsidRPr="00AB346D" w:rsidRDefault="00453DB2">
      <w:pPr>
        <w:spacing w:before="40"/>
        <w:rPr>
          <w:rFonts w:ascii="Arial" w:hAnsi="Arial" w:cs="Arial"/>
        </w:rPr>
      </w:pPr>
    </w:p>
    <w:p w14:paraId="197D929D"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CONTEXT</w:t>
      </w:r>
    </w:p>
    <w:p w14:paraId="016E5752" w14:textId="77777777" w:rsidR="00453DB2" w:rsidRPr="00AB346D" w:rsidRDefault="00000000">
      <w:pPr>
        <w:spacing w:before="60" w:after="80"/>
        <w:rPr>
          <w:rFonts w:ascii="Arial" w:hAnsi="Arial" w:cs="Arial"/>
        </w:rPr>
      </w:pPr>
      <w:r w:rsidRPr="00AB346D">
        <w:rPr>
          <w:rFonts w:ascii="Arial" w:hAnsi="Arial" w:cs="Arial"/>
        </w:rPr>
        <w:t>AI governance is a domain where an uncertain or wrong answer has real consequences. A consultant who acts on inaccurate guidance in a client engagement creates compliance and reputational risk for Meridian. The escalation design must balance helpfulness with reliability.</w:t>
      </w:r>
    </w:p>
    <w:p w14:paraId="0118A6CE"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OPTIONS CONSIDERED</w:t>
      </w:r>
    </w:p>
    <w:p w14:paraId="29C3E14A"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No threshold: Return all responses regardless of confidence. Simple, but risks misleading consultants with low-quality answers.</w:t>
      </w:r>
    </w:p>
    <w:p w14:paraId="5AA6988D"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Threshold with generic disclaimer: Return uncertain answers with a caveat. Passes the decision back to the user without actionable guidance.</w:t>
      </w:r>
    </w:p>
    <w:p w14:paraId="44374169"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Threshold with named SME escalation: Below threshold, agent declines to speculate and routes to a named person. Clear, actionable, and consistent with responsible AI principles.</w:t>
      </w:r>
    </w:p>
    <w:p w14:paraId="16D535C2"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DECISION AND RATIONALE</w:t>
      </w:r>
    </w:p>
    <w:p w14:paraId="0C7C1A70" w14:textId="77777777" w:rsidR="00453DB2" w:rsidRPr="00AB346D" w:rsidRDefault="00000000">
      <w:pPr>
        <w:spacing w:before="60" w:after="80"/>
        <w:rPr>
          <w:rFonts w:ascii="Arial" w:hAnsi="Arial" w:cs="Arial"/>
        </w:rPr>
      </w:pPr>
      <w:r w:rsidRPr="00AB346D">
        <w:rPr>
          <w:rFonts w:ascii="Arial" w:hAnsi="Arial" w:cs="Arial"/>
        </w:rPr>
        <w:t>Threshold set at 0.7 (configurable). Below-threshold queries trigger the Escalation topic, which returns an adaptive card identifying the nominated AI governance SME and sends a summary email. The legal and compliance manager identified speculative answers as the primary risk. A named escalation path is more useful than a disclaimer because it gives the consultant a clear next action and ensures the SME is aware of query patterns the knowledge base does not yet cover.</w:t>
      </w:r>
    </w:p>
    <w:p w14:paraId="100EEEB1"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TRADE-OFFS ACCEPTED</w:t>
      </w:r>
    </w:p>
    <w:p w14:paraId="27E7B207" w14:textId="77777777" w:rsidR="00453DB2" w:rsidRPr="00AB346D" w:rsidRDefault="00000000">
      <w:pPr>
        <w:spacing w:before="60" w:after="80"/>
        <w:rPr>
          <w:rFonts w:ascii="Arial" w:hAnsi="Arial" w:cs="Arial"/>
        </w:rPr>
      </w:pPr>
      <w:r w:rsidRPr="00AB346D">
        <w:rPr>
          <w:rFonts w:ascii="Arial" w:hAnsi="Arial" w:cs="Arial"/>
        </w:rPr>
        <w:t>Some queries just below threshold could be answered adequately. Threshold may be adjusted upward post-UAT if escalation volume is too high. Accepted: better to escalate appropriately than to risk misleading governance advice in a client-facing context.</w:t>
      </w:r>
    </w:p>
    <w:p w14:paraId="7EA57315" w14:textId="77777777" w:rsidR="00453DB2" w:rsidRPr="00AB346D" w:rsidRDefault="00000000">
      <w:pPr>
        <w:pBdr>
          <w:bottom w:val="single" w:sz="2" w:space="1" w:color="D1D5DB"/>
        </w:pBdr>
        <w:spacing w:before="160" w:after="160"/>
        <w:rPr>
          <w:rFonts w:ascii="Arial" w:hAnsi="Arial" w:cs="Arial"/>
        </w:rPr>
      </w:pPr>
      <w:r w:rsidRPr="00AB346D">
        <w:rPr>
          <w:rFonts w:ascii="Arial" w:hAnsi="Arial" w:cs="Arial"/>
          <w:sz w:val="4"/>
          <w:szCs w:val="4"/>
        </w:rPr>
        <w:t xml:space="preserve"> </w:t>
      </w:r>
    </w:p>
    <w:p w14:paraId="2C3CE3D7" w14:textId="06A88ED1" w:rsidR="00453DB2" w:rsidRPr="00AB346D" w:rsidRDefault="00000000">
      <w:pPr>
        <w:pBdr>
          <w:left w:val="thick" w:sz="28" w:space="12" w:color="C9922E"/>
        </w:pBdr>
        <w:spacing w:before="400" w:after="140"/>
        <w:ind w:left="240"/>
        <w:rPr>
          <w:rFonts w:ascii="Arial" w:hAnsi="Arial" w:cs="Arial"/>
        </w:rPr>
      </w:pPr>
      <w:r w:rsidRPr="00AB346D">
        <w:rPr>
          <w:rFonts w:ascii="Arial" w:hAnsi="Arial" w:cs="Arial"/>
          <w:b/>
          <w:bCs/>
          <w:color w:val="0C2340"/>
          <w:sz w:val="30"/>
          <w:szCs w:val="30"/>
        </w:rPr>
        <w:t>ADR-</w:t>
      </w:r>
      <w:r w:rsidR="005B21D3" w:rsidRPr="00AB346D">
        <w:rPr>
          <w:rFonts w:ascii="Arial" w:hAnsi="Arial" w:cs="Arial"/>
          <w:b/>
          <w:bCs/>
          <w:color w:val="0C2340"/>
          <w:sz w:val="30"/>
          <w:szCs w:val="30"/>
        </w:rPr>
        <w:t>003 Power</w:t>
      </w:r>
      <w:r w:rsidRPr="00AB346D">
        <w:rPr>
          <w:rFonts w:ascii="Arial" w:hAnsi="Arial" w:cs="Arial"/>
          <w:b/>
          <w:bCs/>
          <w:color w:val="0C2340"/>
          <w:sz w:val="30"/>
          <w:szCs w:val="30"/>
        </w:rPr>
        <w:t xml:space="preserve"> Platform Environment Strategy</w:t>
      </w:r>
    </w:p>
    <w:p w14:paraId="36FD88A5" w14:textId="77777777" w:rsidR="00453DB2" w:rsidRPr="00AB346D" w:rsidRDefault="00453DB2">
      <w:pPr>
        <w:spacing w:before="8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453DB2" w:rsidRPr="00AB346D" w14:paraId="2662B784"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376FFE1B" w14:textId="77777777" w:rsidR="00453DB2" w:rsidRPr="00AB346D" w:rsidRDefault="00000000">
            <w:pPr>
              <w:rPr>
                <w:rFonts w:ascii="Arial" w:hAnsi="Arial" w:cs="Arial"/>
              </w:rPr>
            </w:pPr>
            <w:r w:rsidRPr="00AB346D">
              <w:rPr>
                <w:rFonts w:ascii="Arial" w:hAnsi="Arial" w:cs="Arial"/>
                <w:b/>
                <w:bCs/>
                <w:color w:val="4B5563"/>
                <w:sz w:val="19"/>
                <w:szCs w:val="19"/>
              </w:rPr>
              <w:t>Decision ID</w:t>
            </w:r>
          </w:p>
        </w:tc>
        <w:tc>
          <w:tcPr>
            <w:tcW w:w="7746" w:type="dxa"/>
            <w:tcBorders>
              <w:bottom w:val="single" w:sz="1" w:space="0" w:color="D1D5DB"/>
            </w:tcBorders>
            <w:tcMar>
              <w:top w:w="80" w:type="dxa"/>
              <w:left w:w="160" w:type="dxa"/>
              <w:bottom w:w="80" w:type="dxa"/>
              <w:right w:w="160" w:type="dxa"/>
            </w:tcMar>
          </w:tcPr>
          <w:p w14:paraId="5E741551" w14:textId="77777777" w:rsidR="00453DB2" w:rsidRPr="00AB346D" w:rsidRDefault="00000000">
            <w:pPr>
              <w:rPr>
                <w:rFonts w:ascii="Arial" w:hAnsi="Arial" w:cs="Arial"/>
              </w:rPr>
            </w:pPr>
            <w:r w:rsidRPr="00AB346D">
              <w:rPr>
                <w:rFonts w:ascii="Arial" w:hAnsi="Arial" w:cs="Arial"/>
                <w:sz w:val="19"/>
                <w:szCs w:val="19"/>
              </w:rPr>
              <w:t>ADR-003</w:t>
            </w:r>
          </w:p>
        </w:tc>
      </w:tr>
      <w:tr w:rsidR="00453DB2" w:rsidRPr="00AB346D" w14:paraId="1B410743"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34271CCB" w14:textId="77777777" w:rsidR="00453DB2" w:rsidRPr="00AB346D" w:rsidRDefault="00000000">
            <w:pPr>
              <w:rPr>
                <w:rFonts w:ascii="Arial" w:hAnsi="Arial" w:cs="Arial"/>
              </w:rPr>
            </w:pPr>
            <w:r w:rsidRPr="00AB346D">
              <w:rPr>
                <w:rFonts w:ascii="Arial" w:hAnsi="Arial" w:cs="Arial"/>
                <w:b/>
                <w:bCs/>
                <w:color w:val="4B5563"/>
                <w:sz w:val="19"/>
                <w:szCs w:val="19"/>
              </w:rPr>
              <w:t>Status</w:t>
            </w:r>
          </w:p>
        </w:tc>
        <w:tc>
          <w:tcPr>
            <w:tcW w:w="7746" w:type="dxa"/>
            <w:tcBorders>
              <w:bottom w:val="single" w:sz="1" w:space="0" w:color="D1D5DB"/>
            </w:tcBorders>
            <w:tcMar>
              <w:top w:w="80" w:type="dxa"/>
              <w:left w:w="160" w:type="dxa"/>
              <w:bottom w:w="80" w:type="dxa"/>
              <w:right w:w="160" w:type="dxa"/>
            </w:tcMar>
          </w:tcPr>
          <w:p w14:paraId="5B88696B" w14:textId="77777777" w:rsidR="00453DB2" w:rsidRPr="00AB346D" w:rsidRDefault="00000000">
            <w:pPr>
              <w:rPr>
                <w:rFonts w:ascii="Arial" w:hAnsi="Arial" w:cs="Arial"/>
              </w:rPr>
            </w:pPr>
            <w:r w:rsidRPr="00AB346D">
              <w:rPr>
                <w:rFonts w:ascii="Arial" w:hAnsi="Arial" w:cs="Arial"/>
                <w:sz w:val="19"/>
                <w:szCs w:val="19"/>
              </w:rPr>
              <w:t>Accepted</w:t>
            </w:r>
          </w:p>
        </w:tc>
      </w:tr>
      <w:tr w:rsidR="00453DB2" w:rsidRPr="00AB346D" w14:paraId="7BB0B0EF"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28C06391" w14:textId="77777777" w:rsidR="00453DB2" w:rsidRPr="00AB346D" w:rsidRDefault="00000000">
            <w:pPr>
              <w:rPr>
                <w:rFonts w:ascii="Arial" w:hAnsi="Arial" w:cs="Arial"/>
              </w:rPr>
            </w:pPr>
            <w:r w:rsidRPr="00AB346D">
              <w:rPr>
                <w:rFonts w:ascii="Arial" w:hAnsi="Arial" w:cs="Arial"/>
                <w:b/>
                <w:bCs/>
                <w:color w:val="4B5563"/>
                <w:sz w:val="19"/>
                <w:szCs w:val="19"/>
              </w:rPr>
              <w:t>Date</w:t>
            </w:r>
          </w:p>
        </w:tc>
        <w:tc>
          <w:tcPr>
            <w:tcW w:w="7746" w:type="dxa"/>
            <w:tcBorders>
              <w:bottom w:val="single" w:sz="1" w:space="0" w:color="D1D5DB"/>
            </w:tcBorders>
            <w:tcMar>
              <w:top w:w="80" w:type="dxa"/>
              <w:left w:w="160" w:type="dxa"/>
              <w:bottom w:w="80" w:type="dxa"/>
              <w:right w:w="160" w:type="dxa"/>
            </w:tcMar>
          </w:tcPr>
          <w:p w14:paraId="77B87D6D" w14:textId="77777777" w:rsidR="00453DB2" w:rsidRPr="00AB346D" w:rsidRDefault="00000000">
            <w:pPr>
              <w:rPr>
                <w:rFonts w:ascii="Arial" w:hAnsi="Arial" w:cs="Arial"/>
              </w:rPr>
            </w:pPr>
            <w:r w:rsidRPr="00AB346D">
              <w:rPr>
                <w:rFonts w:ascii="Arial" w:hAnsi="Arial" w:cs="Arial"/>
                <w:sz w:val="19"/>
                <w:szCs w:val="19"/>
              </w:rPr>
              <w:t>March 2026</w:t>
            </w:r>
          </w:p>
        </w:tc>
      </w:tr>
      <w:tr w:rsidR="00453DB2" w:rsidRPr="00AB346D" w14:paraId="528507F6" w14:textId="77777777">
        <w:tblPrEx>
          <w:tblCellMar>
            <w:top w:w="0" w:type="dxa"/>
            <w:bottom w:w="0" w:type="dxa"/>
          </w:tblCellMar>
        </w:tblPrEx>
        <w:tc>
          <w:tcPr>
            <w:tcW w:w="2000" w:type="dxa"/>
            <w:tcMar>
              <w:top w:w="80" w:type="dxa"/>
              <w:left w:w="160" w:type="dxa"/>
              <w:bottom w:w="80" w:type="dxa"/>
              <w:right w:w="160" w:type="dxa"/>
            </w:tcMar>
          </w:tcPr>
          <w:p w14:paraId="4480C812" w14:textId="77777777" w:rsidR="00453DB2" w:rsidRPr="00AB346D" w:rsidRDefault="00000000">
            <w:pPr>
              <w:rPr>
                <w:rFonts w:ascii="Arial" w:hAnsi="Arial" w:cs="Arial"/>
              </w:rPr>
            </w:pPr>
            <w:r w:rsidRPr="00AB346D">
              <w:rPr>
                <w:rFonts w:ascii="Arial" w:hAnsi="Arial" w:cs="Arial"/>
                <w:b/>
                <w:bCs/>
                <w:color w:val="4B5563"/>
                <w:sz w:val="19"/>
                <w:szCs w:val="19"/>
              </w:rPr>
              <w:t>Decided by</w:t>
            </w:r>
          </w:p>
        </w:tc>
        <w:tc>
          <w:tcPr>
            <w:tcW w:w="7746" w:type="dxa"/>
            <w:tcMar>
              <w:top w:w="80" w:type="dxa"/>
              <w:left w:w="160" w:type="dxa"/>
              <w:bottom w:w="80" w:type="dxa"/>
              <w:right w:w="160" w:type="dxa"/>
            </w:tcMar>
          </w:tcPr>
          <w:p w14:paraId="1B882F23" w14:textId="1665A3F3" w:rsidR="00453DB2" w:rsidRPr="00AB346D" w:rsidRDefault="00AB346D">
            <w:pPr>
              <w:rPr>
                <w:rFonts w:ascii="Arial" w:hAnsi="Arial" w:cs="Arial"/>
              </w:rPr>
            </w:pPr>
            <w:r w:rsidRPr="00AB346D">
              <w:rPr>
                <w:rFonts w:ascii="Arial" w:hAnsi="Arial" w:cs="Arial"/>
                <w:sz w:val="19"/>
                <w:szCs w:val="19"/>
              </w:rPr>
              <w:t>Head of Technology</w:t>
            </w:r>
          </w:p>
        </w:tc>
      </w:tr>
    </w:tbl>
    <w:p w14:paraId="548F55B0" w14:textId="77777777" w:rsidR="00453DB2" w:rsidRPr="00AB346D" w:rsidRDefault="00453DB2">
      <w:pPr>
        <w:spacing w:before="60"/>
        <w:rPr>
          <w:rFonts w:ascii="Arial" w:hAnsi="Arial" w:cs="Arial"/>
        </w:rPr>
      </w:pPr>
    </w:p>
    <w:p w14:paraId="19D71B4E" w14:textId="712827F0" w:rsidR="00453DB2" w:rsidRPr="00AB346D" w:rsidRDefault="00000000">
      <w:pPr>
        <w:pBdr>
          <w:left w:val="thick" w:sz="24" w:space="8" w:color="C9922E"/>
        </w:pBdr>
        <w:shd w:val="clear" w:color="auto" w:fill="FDF3E3"/>
        <w:spacing w:before="160" w:after="160"/>
        <w:ind w:left="200" w:right="200"/>
        <w:rPr>
          <w:rFonts w:ascii="Arial" w:hAnsi="Arial" w:cs="Arial"/>
        </w:rPr>
      </w:pPr>
      <w:r w:rsidRPr="00AB346D">
        <w:rPr>
          <w:rFonts w:ascii="Arial" w:hAnsi="Arial" w:cs="Arial"/>
          <w:b/>
          <w:bCs/>
          <w:color w:val="C9922E"/>
          <w:sz w:val="19"/>
          <w:szCs w:val="19"/>
        </w:rPr>
        <w:t>Decision</w:t>
      </w:r>
      <w:r w:rsidR="00AB346D" w:rsidRPr="00AB346D">
        <w:rPr>
          <w:rFonts w:ascii="Arial" w:hAnsi="Arial" w:cs="Arial"/>
          <w:b/>
          <w:bCs/>
          <w:color w:val="C9922E"/>
          <w:sz w:val="19"/>
          <w:szCs w:val="19"/>
        </w:rPr>
        <w:t>:</w:t>
      </w:r>
      <w:r w:rsidRPr="00AB346D">
        <w:rPr>
          <w:rFonts w:ascii="Arial" w:hAnsi="Arial" w:cs="Arial"/>
          <w:b/>
          <w:bCs/>
          <w:color w:val="C9922E"/>
          <w:sz w:val="19"/>
          <w:szCs w:val="19"/>
        </w:rPr>
        <w:t xml:space="preserve">  </w:t>
      </w:r>
      <w:r w:rsidRPr="00AB346D">
        <w:rPr>
          <w:rFonts w:ascii="Arial" w:hAnsi="Arial" w:cs="Arial"/>
          <w:sz w:val="19"/>
          <w:szCs w:val="19"/>
        </w:rPr>
        <w:t>Use three dedicated Power Platform environments (Development, Test, Production) rather than deploying to the Default environment.</w:t>
      </w:r>
    </w:p>
    <w:p w14:paraId="6C3F350F" w14:textId="77777777" w:rsidR="00453DB2" w:rsidRPr="00AB346D" w:rsidRDefault="00453DB2">
      <w:pPr>
        <w:spacing w:before="40"/>
        <w:rPr>
          <w:rFonts w:ascii="Arial" w:hAnsi="Arial" w:cs="Arial"/>
        </w:rPr>
      </w:pPr>
    </w:p>
    <w:p w14:paraId="4FE3635B"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CONTEXT</w:t>
      </w:r>
    </w:p>
    <w:p w14:paraId="61676AE8" w14:textId="77777777" w:rsidR="00453DB2" w:rsidRPr="00AB346D" w:rsidRDefault="00000000">
      <w:pPr>
        <w:spacing w:before="60" w:after="80"/>
        <w:rPr>
          <w:rFonts w:ascii="Arial" w:hAnsi="Arial" w:cs="Arial"/>
        </w:rPr>
      </w:pPr>
      <w:r w:rsidRPr="00AB346D">
        <w:rPr>
          <w:rFonts w:ascii="Arial" w:hAnsi="Arial" w:cs="Arial"/>
        </w:rPr>
        <w:t>Copilot Studio and Power Automate can be deployed to the Default Power Platform environment. This is the simplest path but carries known risks in enterprise environments: DLP policy inheritance issues, unmanaged solution sprawl, and the inability to promote a tested solution to production without rebuilding it.</w:t>
      </w:r>
    </w:p>
    <w:p w14:paraId="577D1FBF"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OPTIONS CONSIDERED</w:t>
      </w:r>
    </w:p>
    <w:p w14:paraId="7637B794"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lastRenderedPageBreak/>
        <w:t>Default environment only: Fastest start. No setup time. Not appropriate for production workloads; Default DLP policy is typically permissive and unaligned to production requirements.</w:t>
      </w:r>
    </w:p>
    <w:p w14:paraId="528A96C2"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Single dedicated environment: Used for both build and production. Simpler than three environments but conflates development and live, making it impossible to test safely without risking the live agent.</w:t>
      </w:r>
    </w:p>
    <w:p w14:paraId="29C68332"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 xml:space="preserve">Three environments (Dev, Test, Production): Follows Microsoft </w:t>
      </w:r>
      <w:proofErr w:type="spellStart"/>
      <w:r w:rsidRPr="00AB346D">
        <w:rPr>
          <w:rFonts w:ascii="Arial" w:hAnsi="Arial" w:cs="Arial"/>
        </w:rPr>
        <w:t>CoE</w:t>
      </w:r>
      <w:proofErr w:type="spellEnd"/>
      <w:r w:rsidRPr="00AB346D">
        <w:rPr>
          <w:rFonts w:ascii="Arial" w:hAnsi="Arial" w:cs="Arial"/>
        </w:rPr>
        <w:t xml:space="preserve"> Starter Kit guidance. Allows safe development, structured UAT promotion, and a clean production deployment. Managed solutions enforced from Test onward.</w:t>
      </w:r>
    </w:p>
    <w:p w14:paraId="3FA3CC29"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DECISION AND RATIONALE</w:t>
      </w:r>
    </w:p>
    <w:p w14:paraId="09DC272D" w14:textId="77777777" w:rsidR="00453DB2" w:rsidRPr="00AB346D" w:rsidRDefault="00000000">
      <w:pPr>
        <w:spacing w:before="60" w:after="80"/>
        <w:rPr>
          <w:rFonts w:ascii="Arial" w:hAnsi="Arial" w:cs="Arial"/>
        </w:rPr>
      </w:pPr>
      <w:r w:rsidRPr="00AB346D">
        <w:rPr>
          <w:rFonts w:ascii="Arial" w:hAnsi="Arial" w:cs="Arial"/>
        </w:rPr>
        <w:t>Three dedicated environments are created before the build phase begins. Unmanaged solutions are used in Development for flexibility. Managed solutions are used in Test and Production to enforce change control. The three-environment model ensures that what is tested in UAT is exactly what is deployed to production, and that DLP policy is reviewed and applied correctly in each environment.</w:t>
      </w:r>
    </w:p>
    <w:p w14:paraId="5DD79A80"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TRADE-OFFS ACCEPTED</w:t>
      </w:r>
    </w:p>
    <w:p w14:paraId="334F0056" w14:textId="77777777" w:rsidR="00453DB2" w:rsidRPr="00AB346D" w:rsidRDefault="00000000">
      <w:pPr>
        <w:spacing w:before="60" w:after="80"/>
        <w:rPr>
          <w:rFonts w:ascii="Arial" w:hAnsi="Arial" w:cs="Arial"/>
        </w:rPr>
      </w:pPr>
      <w:r w:rsidRPr="00AB346D">
        <w:rPr>
          <w:rFonts w:ascii="Arial" w:hAnsi="Arial" w:cs="Arial"/>
        </w:rPr>
        <w:t>Two to three additional days of setup time in Phase 1. Accepted: deploying directly to the Default environment in a 200-person firm with existing DLP policies carries too much risk to justify the time saving.</w:t>
      </w:r>
    </w:p>
    <w:p w14:paraId="78CCA2EE" w14:textId="77777777" w:rsidR="00453DB2" w:rsidRPr="00AB346D" w:rsidRDefault="00000000">
      <w:pPr>
        <w:pBdr>
          <w:bottom w:val="single" w:sz="2" w:space="1" w:color="D1D5DB"/>
        </w:pBdr>
        <w:spacing w:before="160" w:after="160"/>
        <w:rPr>
          <w:rFonts w:ascii="Arial" w:hAnsi="Arial" w:cs="Arial"/>
        </w:rPr>
      </w:pPr>
      <w:r w:rsidRPr="00AB346D">
        <w:rPr>
          <w:rFonts w:ascii="Arial" w:hAnsi="Arial" w:cs="Arial"/>
          <w:sz w:val="4"/>
          <w:szCs w:val="4"/>
        </w:rPr>
        <w:t xml:space="preserve"> </w:t>
      </w:r>
    </w:p>
    <w:p w14:paraId="5D936D6F" w14:textId="20AC4897" w:rsidR="00453DB2" w:rsidRPr="00AB346D" w:rsidRDefault="00000000">
      <w:pPr>
        <w:pBdr>
          <w:left w:val="thick" w:sz="28" w:space="12" w:color="C9922E"/>
        </w:pBdr>
        <w:spacing w:before="400" w:after="140"/>
        <w:ind w:left="240"/>
        <w:rPr>
          <w:rFonts w:ascii="Arial" w:hAnsi="Arial" w:cs="Arial"/>
        </w:rPr>
      </w:pPr>
      <w:r w:rsidRPr="00AB346D">
        <w:rPr>
          <w:rFonts w:ascii="Arial" w:hAnsi="Arial" w:cs="Arial"/>
          <w:b/>
          <w:bCs/>
          <w:color w:val="0C2340"/>
          <w:sz w:val="30"/>
          <w:szCs w:val="30"/>
        </w:rPr>
        <w:t>ADR-</w:t>
      </w:r>
      <w:r w:rsidR="005B21D3" w:rsidRPr="00AB346D">
        <w:rPr>
          <w:rFonts w:ascii="Arial" w:hAnsi="Arial" w:cs="Arial"/>
          <w:b/>
          <w:bCs/>
          <w:color w:val="0C2340"/>
          <w:sz w:val="30"/>
          <w:szCs w:val="30"/>
        </w:rPr>
        <w:t>004 Audit</w:t>
      </w:r>
      <w:r w:rsidRPr="00AB346D">
        <w:rPr>
          <w:rFonts w:ascii="Arial" w:hAnsi="Arial" w:cs="Arial"/>
          <w:b/>
          <w:bCs/>
          <w:color w:val="0C2340"/>
          <w:sz w:val="30"/>
          <w:szCs w:val="30"/>
        </w:rPr>
        <w:t xml:space="preserve"> Logging Architecture</w:t>
      </w:r>
    </w:p>
    <w:p w14:paraId="7BDA2798" w14:textId="77777777" w:rsidR="00453DB2" w:rsidRPr="00AB346D" w:rsidRDefault="00453DB2">
      <w:pPr>
        <w:spacing w:before="8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453DB2" w:rsidRPr="00AB346D" w14:paraId="36EB8760"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7B2DDE1D" w14:textId="77777777" w:rsidR="00453DB2" w:rsidRPr="00AB346D" w:rsidRDefault="00000000">
            <w:pPr>
              <w:rPr>
                <w:rFonts w:ascii="Arial" w:hAnsi="Arial" w:cs="Arial"/>
              </w:rPr>
            </w:pPr>
            <w:r w:rsidRPr="00AB346D">
              <w:rPr>
                <w:rFonts w:ascii="Arial" w:hAnsi="Arial" w:cs="Arial"/>
                <w:b/>
                <w:bCs/>
                <w:color w:val="4B5563"/>
                <w:sz w:val="19"/>
                <w:szCs w:val="19"/>
              </w:rPr>
              <w:t>Decision ID</w:t>
            </w:r>
          </w:p>
        </w:tc>
        <w:tc>
          <w:tcPr>
            <w:tcW w:w="7746" w:type="dxa"/>
            <w:tcBorders>
              <w:bottom w:val="single" w:sz="1" w:space="0" w:color="D1D5DB"/>
            </w:tcBorders>
            <w:tcMar>
              <w:top w:w="80" w:type="dxa"/>
              <w:left w:w="160" w:type="dxa"/>
              <w:bottom w:w="80" w:type="dxa"/>
              <w:right w:w="160" w:type="dxa"/>
            </w:tcMar>
          </w:tcPr>
          <w:p w14:paraId="29AEEDF5" w14:textId="77777777" w:rsidR="00453DB2" w:rsidRPr="00AB346D" w:rsidRDefault="00000000">
            <w:pPr>
              <w:rPr>
                <w:rFonts w:ascii="Arial" w:hAnsi="Arial" w:cs="Arial"/>
              </w:rPr>
            </w:pPr>
            <w:r w:rsidRPr="00AB346D">
              <w:rPr>
                <w:rFonts w:ascii="Arial" w:hAnsi="Arial" w:cs="Arial"/>
                <w:sz w:val="19"/>
                <w:szCs w:val="19"/>
              </w:rPr>
              <w:t>ADR-004</w:t>
            </w:r>
          </w:p>
        </w:tc>
      </w:tr>
      <w:tr w:rsidR="00453DB2" w:rsidRPr="00AB346D" w14:paraId="35602F8C"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04B550A2" w14:textId="77777777" w:rsidR="00453DB2" w:rsidRPr="00AB346D" w:rsidRDefault="00000000">
            <w:pPr>
              <w:rPr>
                <w:rFonts w:ascii="Arial" w:hAnsi="Arial" w:cs="Arial"/>
              </w:rPr>
            </w:pPr>
            <w:r w:rsidRPr="00AB346D">
              <w:rPr>
                <w:rFonts w:ascii="Arial" w:hAnsi="Arial" w:cs="Arial"/>
                <w:b/>
                <w:bCs/>
                <w:color w:val="4B5563"/>
                <w:sz w:val="19"/>
                <w:szCs w:val="19"/>
              </w:rPr>
              <w:t>Status</w:t>
            </w:r>
          </w:p>
        </w:tc>
        <w:tc>
          <w:tcPr>
            <w:tcW w:w="7746" w:type="dxa"/>
            <w:tcBorders>
              <w:bottom w:val="single" w:sz="1" w:space="0" w:color="D1D5DB"/>
            </w:tcBorders>
            <w:tcMar>
              <w:top w:w="80" w:type="dxa"/>
              <w:left w:w="160" w:type="dxa"/>
              <w:bottom w:w="80" w:type="dxa"/>
              <w:right w:w="160" w:type="dxa"/>
            </w:tcMar>
          </w:tcPr>
          <w:p w14:paraId="3AE319C3" w14:textId="77777777" w:rsidR="00453DB2" w:rsidRPr="00AB346D" w:rsidRDefault="00000000">
            <w:pPr>
              <w:rPr>
                <w:rFonts w:ascii="Arial" w:hAnsi="Arial" w:cs="Arial"/>
              </w:rPr>
            </w:pPr>
            <w:r w:rsidRPr="00AB346D">
              <w:rPr>
                <w:rFonts w:ascii="Arial" w:hAnsi="Arial" w:cs="Arial"/>
                <w:sz w:val="19"/>
                <w:szCs w:val="19"/>
              </w:rPr>
              <w:t>Accepted</w:t>
            </w:r>
          </w:p>
        </w:tc>
      </w:tr>
      <w:tr w:rsidR="00453DB2" w:rsidRPr="00AB346D" w14:paraId="36C4D74A"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460CE24E" w14:textId="77777777" w:rsidR="00453DB2" w:rsidRPr="00AB346D" w:rsidRDefault="00000000">
            <w:pPr>
              <w:rPr>
                <w:rFonts w:ascii="Arial" w:hAnsi="Arial" w:cs="Arial"/>
              </w:rPr>
            </w:pPr>
            <w:r w:rsidRPr="00AB346D">
              <w:rPr>
                <w:rFonts w:ascii="Arial" w:hAnsi="Arial" w:cs="Arial"/>
                <w:b/>
                <w:bCs/>
                <w:color w:val="4B5563"/>
                <w:sz w:val="19"/>
                <w:szCs w:val="19"/>
              </w:rPr>
              <w:t>Date</w:t>
            </w:r>
          </w:p>
        </w:tc>
        <w:tc>
          <w:tcPr>
            <w:tcW w:w="7746" w:type="dxa"/>
            <w:tcBorders>
              <w:bottom w:val="single" w:sz="1" w:space="0" w:color="D1D5DB"/>
            </w:tcBorders>
            <w:tcMar>
              <w:top w:w="80" w:type="dxa"/>
              <w:left w:w="160" w:type="dxa"/>
              <w:bottom w:w="80" w:type="dxa"/>
              <w:right w:w="160" w:type="dxa"/>
            </w:tcMar>
          </w:tcPr>
          <w:p w14:paraId="77529902" w14:textId="77777777" w:rsidR="00453DB2" w:rsidRPr="00AB346D" w:rsidRDefault="00000000">
            <w:pPr>
              <w:rPr>
                <w:rFonts w:ascii="Arial" w:hAnsi="Arial" w:cs="Arial"/>
              </w:rPr>
            </w:pPr>
            <w:r w:rsidRPr="00AB346D">
              <w:rPr>
                <w:rFonts w:ascii="Arial" w:hAnsi="Arial" w:cs="Arial"/>
                <w:sz w:val="19"/>
                <w:szCs w:val="19"/>
              </w:rPr>
              <w:t>March 2026</w:t>
            </w:r>
          </w:p>
        </w:tc>
      </w:tr>
      <w:tr w:rsidR="00453DB2" w:rsidRPr="00AB346D" w14:paraId="31A38259" w14:textId="77777777">
        <w:tblPrEx>
          <w:tblCellMar>
            <w:top w:w="0" w:type="dxa"/>
            <w:bottom w:w="0" w:type="dxa"/>
          </w:tblCellMar>
        </w:tblPrEx>
        <w:tc>
          <w:tcPr>
            <w:tcW w:w="2000" w:type="dxa"/>
            <w:tcMar>
              <w:top w:w="80" w:type="dxa"/>
              <w:left w:w="160" w:type="dxa"/>
              <w:bottom w:w="80" w:type="dxa"/>
              <w:right w:w="160" w:type="dxa"/>
            </w:tcMar>
          </w:tcPr>
          <w:p w14:paraId="38840B93" w14:textId="77777777" w:rsidR="00453DB2" w:rsidRPr="00AB346D" w:rsidRDefault="00000000">
            <w:pPr>
              <w:rPr>
                <w:rFonts w:ascii="Arial" w:hAnsi="Arial" w:cs="Arial"/>
              </w:rPr>
            </w:pPr>
            <w:r w:rsidRPr="00AB346D">
              <w:rPr>
                <w:rFonts w:ascii="Arial" w:hAnsi="Arial" w:cs="Arial"/>
                <w:b/>
                <w:bCs/>
                <w:color w:val="4B5563"/>
                <w:sz w:val="19"/>
                <w:szCs w:val="19"/>
              </w:rPr>
              <w:t>Decided by</w:t>
            </w:r>
          </w:p>
        </w:tc>
        <w:tc>
          <w:tcPr>
            <w:tcW w:w="7746" w:type="dxa"/>
            <w:tcMar>
              <w:top w:w="80" w:type="dxa"/>
              <w:left w:w="160" w:type="dxa"/>
              <w:bottom w:w="80" w:type="dxa"/>
              <w:right w:w="160" w:type="dxa"/>
            </w:tcMar>
          </w:tcPr>
          <w:p w14:paraId="3CBCCA23" w14:textId="77777777" w:rsidR="00453DB2" w:rsidRPr="00AB346D" w:rsidRDefault="00000000">
            <w:pPr>
              <w:rPr>
                <w:rFonts w:ascii="Arial" w:hAnsi="Arial" w:cs="Arial"/>
              </w:rPr>
            </w:pPr>
            <w:r w:rsidRPr="00AB346D">
              <w:rPr>
                <w:rFonts w:ascii="Arial" w:hAnsi="Arial" w:cs="Arial"/>
                <w:sz w:val="19"/>
                <w:szCs w:val="19"/>
              </w:rPr>
              <w:t>Arsh Chowdhury with Compliance Manager</w:t>
            </w:r>
          </w:p>
        </w:tc>
      </w:tr>
    </w:tbl>
    <w:p w14:paraId="68CC5DCE" w14:textId="77777777" w:rsidR="00453DB2" w:rsidRPr="00AB346D" w:rsidRDefault="00453DB2">
      <w:pPr>
        <w:spacing w:before="60"/>
        <w:rPr>
          <w:rFonts w:ascii="Arial" w:hAnsi="Arial" w:cs="Arial"/>
        </w:rPr>
      </w:pPr>
    </w:p>
    <w:p w14:paraId="0337A100" w14:textId="0020C615" w:rsidR="00453DB2" w:rsidRPr="00AB346D" w:rsidRDefault="00000000">
      <w:pPr>
        <w:pBdr>
          <w:left w:val="thick" w:sz="24" w:space="8" w:color="C9922E"/>
        </w:pBdr>
        <w:shd w:val="clear" w:color="auto" w:fill="FDF3E3"/>
        <w:spacing w:before="160" w:after="160"/>
        <w:ind w:left="200" w:right="200"/>
        <w:rPr>
          <w:rFonts w:ascii="Arial" w:hAnsi="Arial" w:cs="Arial"/>
        </w:rPr>
      </w:pPr>
      <w:r w:rsidRPr="00AB346D">
        <w:rPr>
          <w:rFonts w:ascii="Arial" w:hAnsi="Arial" w:cs="Arial"/>
          <w:b/>
          <w:bCs/>
          <w:color w:val="C9922E"/>
          <w:sz w:val="19"/>
          <w:szCs w:val="19"/>
        </w:rPr>
        <w:t>Decision</w:t>
      </w:r>
      <w:r w:rsidR="00AB346D">
        <w:rPr>
          <w:rFonts w:ascii="Arial" w:hAnsi="Arial" w:cs="Arial"/>
          <w:b/>
          <w:bCs/>
          <w:color w:val="C9922E"/>
          <w:sz w:val="19"/>
          <w:szCs w:val="19"/>
        </w:rPr>
        <w:t>:</w:t>
      </w:r>
      <w:r w:rsidRPr="00AB346D">
        <w:rPr>
          <w:rFonts w:ascii="Arial" w:hAnsi="Arial" w:cs="Arial"/>
          <w:b/>
          <w:bCs/>
          <w:color w:val="C9922E"/>
          <w:sz w:val="19"/>
          <w:szCs w:val="19"/>
        </w:rPr>
        <w:t xml:space="preserve"> </w:t>
      </w:r>
      <w:r w:rsidRPr="00AB346D">
        <w:rPr>
          <w:rFonts w:ascii="Arial" w:hAnsi="Arial" w:cs="Arial"/>
          <w:sz w:val="19"/>
          <w:szCs w:val="19"/>
        </w:rPr>
        <w:t>Use a Power Automate flow writing to a SharePoint List for audit logging rather than Dataverse or a custom Azure SQL database.</w:t>
      </w:r>
    </w:p>
    <w:p w14:paraId="08282577" w14:textId="77777777" w:rsidR="00453DB2" w:rsidRPr="00AB346D" w:rsidRDefault="00453DB2">
      <w:pPr>
        <w:spacing w:before="40"/>
        <w:rPr>
          <w:rFonts w:ascii="Arial" w:hAnsi="Arial" w:cs="Arial"/>
        </w:rPr>
      </w:pPr>
    </w:p>
    <w:p w14:paraId="0731FD02"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CONTEXT</w:t>
      </w:r>
    </w:p>
    <w:p w14:paraId="23C3F7BB" w14:textId="77777777" w:rsidR="00453DB2" w:rsidRPr="00AB346D" w:rsidRDefault="00000000">
      <w:pPr>
        <w:spacing w:before="60" w:after="80"/>
        <w:rPr>
          <w:rFonts w:ascii="Arial" w:hAnsi="Arial" w:cs="Arial"/>
        </w:rPr>
      </w:pPr>
      <w:r w:rsidRPr="00AB346D">
        <w:rPr>
          <w:rFonts w:ascii="Arial" w:hAnsi="Arial" w:cs="Arial"/>
        </w:rPr>
        <w:t>FR-05 and NFR-05 require all agent interactions to be logged with a 12-month retention period and access restricted to the Compliance Manager and Head of Technology. The logging solution must be maintainable after handover by Meridian staff without developer involvement.</w:t>
      </w:r>
    </w:p>
    <w:p w14:paraId="30038C7E"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OPTIONS CONSIDERED</w:t>
      </w:r>
    </w:p>
    <w:p w14:paraId="13317C44" w14:textId="04956A32"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 xml:space="preserve">Azure SQL Database: Highly structured and </w:t>
      </w:r>
      <w:r w:rsidR="005B21D3" w:rsidRPr="00AB346D">
        <w:rPr>
          <w:rFonts w:ascii="Arial" w:hAnsi="Arial" w:cs="Arial"/>
        </w:rPr>
        <w:t>query able</w:t>
      </w:r>
      <w:r w:rsidRPr="00AB346D">
        <w:rPr>
          <w:rFonts w:ascii="Arial" w:hAnsi="Arial" w:cs="Arial"/>
        </w:rPr>
        <w:t>. Requires ongoing Azure cost, developer access for maintenance, and additional complexity at handover.</w:t>
      </w:r>
    </w:p>
    <w:p w14:paraId="6C7902E9"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Dataverse table: Native to the Power Platform and well-integrated with Power Automate. Requires Dataverse capacity licensing; retention policy management is more complex.</w:t>
      </w:r>
    </w:p>
    <w:p w14:paraId="7971860C" w14:textId="77777777" w:rsidR="00453DB2" w:rsidRPr="00AB346D" w:rsidRDefault="00000000">
      <w:pPr>
        <w:pStyle w:val="ListParagraph"/>
        <w:numPr>
          <w:ilvl w:val="0"/>
          <w:numId w:val="2"/>
        </w:numPr>
        <w:spacing w:before="40" w:after="60"/>
        <w:rPr>
          <w:rFonts w:ascii="Arial" w:hAnsi="Arial" w:cs="Arial"/>
        </w:rPr>
      </w:pPr>
      <w:r w:rsidRPr="00AB346D">
        <w:rPr>
          <w:rFonts w:ascii="Arial" w:hAnsi="Arial" w:cs="Arial"/>
        </w:rPr>
        <w:t>SharePoint List via Power Automate: Familiar to Meridian administrators. No additional licensing. Straightforward access control via SharePoint permissions. Exportable to Excel for compliance reporting. Retention policy manageable natively.</w:t>
      </w:r>
    </w:p>
    <w:p w14:paraId="13307FA9" w14:textId="77777777"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t>DECISION AND RATIONALE</w:t>
      </w:r>
    </w:p>
    <w:p w14:paraId="469E2F44" w14:textId="77777777" w:rsidR="00453DB2" w:rsidRPr="00AB346D" w:rsidRDefault="00000000">
      <w:pPr>
        <w:spacing w:before="60" w:after="80"/>
        <w:rPr>
          <w:rFonts w:ascii="Arial" w:hAnsi="Arial" w:cs="Arial"/>
        </w:rPr>
      </w:pPr>
      <w:r w:rsidRPr="00AB346D">
        <w:rPr>
          <w:rFonts w:ascii="Arial" w:hAnsi="Arial" w:cs="Arial"/>
        </w:rPr>
        <w:t>SharePoint List is selected. Power Automate writes a record on every agent interaction. The list is configured with restricted access and a SharePoint retention policy set to 12 months. The primary drivers are administrator familiarity and maintainability post-handover. At estimated usage (150 users, average 3 queries per day), annual log volume is approximately 164,000 records, well within SharePoint List capacity. Compliance reporting requirements (filter by date, user, escalation flag) are fully achievable via SharePoint views or Excel export.</w:t>
      </w:r>
    </w:p>
    <w:p w14:paraId="51F79134" w14:textId="77777777" w:rsidR="00AB346D" w:rsidRDefault="00AB346D">
      <w:pPr>
        <w:rPr>
          <w:rFonts w:ascii="Arial" w:hAnsi="Arial" w:cs="Arial"/>
          <w:b/>
          <w:bCs/>
          <w:color w:val="4B5563"/>
          <w:spacing w:val="20"/>
          <w:sz w:val="18"/>
          <w:szCs w:val="18"/>
        </w:rPr>
      </w:pPr>
      <w:r>
        <w:rPr>
          <w:rFonts w:ascii="Arial" w:hAnsi="Arial" w:cs="Arial"/>
          <w:b/>
          <w:bCs/>
          <w:color w:val="4B5563"/>
          <w:spacing w:val="20"/>
          <w:sz w:val="18"/>
          <w:szCs w:val="18"/>
        </w:rPr>
        <w:br w:type="page"/>
      </w:r>
    </w:p>
    <w:p w14:paraId="3D88185F" w14:textId="045BD499" w:rsidR="00453DB2" w:rsidRPr="00AB346D" w:rsidRDefault="00000000">
      <w:pPr>
        <w:spacing w:before="180" w:after="60"/>
        <w:rPr>
          <w:rFonts w:ascii="Arial" w:hAnsi="Arial" w:cs="Arial"/>
        </w:rPr>
      </w:pPr>
      <w:r w:rsidRPr="00AB346D">
        <w:rPr>
          <w:rFonts w:ascii="Arial" w:hAnsi="Arial" w:cs="Arial"/>
          <w:b/>
          <w:bCs/>
          <w:color w:val="4B5563"/>
          <w:spacing w:val="20"/>
          <w:sz w:val="18"/>
          <w:szCs w:val="18"/>
        </w:rPr>
        <w:lastRenderedPageBreak/>
        <w:t>TRADE-OFFS ACCEPTED</w:t>
      </w:r>
    </w:p>
    <w:p w14:paraId="291BD818" w14:textId="77777777" w:rsidR="00453DB2" w:rsidRPr="00AB346D" w:rsidRDefault="00000000">
      <w:pPr>
        <w:spacing w:before="60" w:after="80"/>
        <w:rPr>
          <w:rFonts w:ascii="Arial" w:hAnsi="Arial" w:cs="Arial"/>
        </w:rPr>
      </w:pPr>
      <w:r w:rsidRPr="00AB346D">
        <w:rPr>
          <w:rFonts w:ascii="Arial" w:hAnsi="Arial" w:cs="Arial"/>
        </w:rPr>
        <w:t>SharePoint Lists are less efficient for complex queries across large datasets compared to Azure SQL. Accepted. If query volume or reporting requirements grow materially, migration to Dataverse is the recommended next step and is documented in the handover runbook.</w:t>
      </w:r>
    </w:p>
    <w:p w14:paraId="2C3DD38E" w14:textId="77777777" w:rsidR="00453DB2" w:rsidRPr="00AB346D" w:rsidRDefault="00453DB2">
      <w:pPr>
        <w:spacing w:before="160"/>
        <w:rPr>
          <w:rFonts w:ascii="Arial" w:hAnsi="Arial" w:cs="Arial"/>
        </w:rPr>
      </w:pPr>
    </w:p>
    <w:p w14:paraId="5AE9C953" w14:textId="77777777" w:rsidR="00453DB2" w:rsidRPr="00AB346D" w:rsidRDefault="00000000">
      <w:pPr>
        <w:pBdr>
          <w:bottom w:val="single" w:sz="2" w:space="1" w:color="D1D5DB"/>
        </w:pBdr>
        <w:spacing w:before="160" w:after="160"/>
        <w:rPr>
          <w:rFonts w:ascii="Arial" w:hAnsi="Arial" w:cs="Arial"/>
        </w:rPr>
      </w:pPr>
      <w:r w:rsidRPr="00AB346D">
        <w:rPr>
          <w:rFonts w:ascii="Arial" w:hAnsi="Arial" w:cs="Arial"/>
          <w:sz w:val="4"/>
          <w:szCs w:val="4"/>
        </w:rPr>
        <w:t xml:space="preserve"> </w:t>
      </w:r>
    </w:p>
    <w:p w14:paraId="55DD4DB7" w14:textId="77777777" w:rsidR="00453DB2" w:rsidRPr="00AB346D" w:rsidRDefault="00000000">
      <w:pPr>
        <w:spacing w:before="60" w:after="80"/>
        <w:rPr>
          <w:rFonts w:ascii="Arial" w:hAnsi="Arial" w:cs="Arial"/>
        </w:rPr>
      </w:pPr>
      <w:r w:rsidRPr="00AB346D">
        <w:rPr>
          <w:rFonts w:ascii="Arial" w:hAnsi="Arial" w:cs="Arial"/>
        </w:rPr>
        <w:t>Architecture Decision Record — Version 1.0 — March 2026</w:t>
      </w:r>
    </w:p>
    <w:sectPr w:rsidR="00453DB2" w:rsidRPr="00AB346D">
      <w:footerReference w:type="default" r:id="rId8"/>
      <w:pgSz w:w="11906" w:h="16838"/>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34864" w14:textId="77777777" w:rsidR="00C041B4" w:rsidRDefault="00C041B4">
      <w:r>
        <w:separator/>
      </w:r>
    </w:p>
  </w:endnote>
  <w:endnote w:type="continuationSeparator" w:id="0">
    <w:p w14:paraId="2F40C25E" w14:textId="77777777" w:rsidR="00C041B4" w:rsidRDefault="00C0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1028" w14:textId="7DA31DE2" w:rsidR="00453DB2" w:rsidRDefault="00000000">
    <w:pPr>
      <w:pBdr>
        <w:top w:val="single" w:sz="2" w:space="4" w:color="D1D5DB"/>
      </w:pBdr>
      <w:tabs>
        <w:tab w:val="right" w:pos="9026"/>
      </w:tabs>
      <w:spacing w:before="80"/>
    </w:pPr>
    <w:r>
      <w:rPr>
        <w:color w:val="4B5563"/>
        <w:sz w:val="16"/>
        <w:szCs w:val="16"/>
      </w:rPr>
      <w:t>Architecture Decision Record</w:t>
    </w:r>
    <w:r>
      <w:rPr>
        <w:sz w:val="16"/>
        <w:szCs w:val="16"/>
      </w:rPr>
      <w:tab/>
    </w:r>
    <w:r>
      <w:rPr>
        <w:color w:val="4B5563"/>
        <w:sz w:val="16"/>
        <w:szCs w:val="16"/>
      </w:rPr>
      <w:t xml:space="preserve">Arsh Wafiq Khan </w:t>
    </w:r>
    <w:r w:rsidR="005B21D3">
      <w:rPr>
        <w:color w:val="4B5563"/>
        <w:sz w:val="16"/>
        <w:szCs w:val="16"/>
      </w:rPr>
      <w:t>Chowdhury |</w:t>
    </w:r>
    <w:r>
      <w:rPr>
        <w:color w:val="4B5563"/>
        <w:sz w:val="16"/>
        <w:szCs w:val="16"/>
      </w:rPr>
      <w:t xml:space="preserve">  </w:t>
    </w:r>
    <w:r>
      <w:rPr>
        <w:color w:val="C9922E"/>
        <w:sz w:val="16"/>
        <w:szCs w:val="16"/>
      </w:rPr>
      <w:fldChar w:fldCharType="begin"/>
    </w:r>
    <w:r>
      <w:rPr>
        <w:color w:val="C9922E"/>
        <w:sz w:val="16"/>
        <w:szCs w:val="16"/>
      </w:rPr>
      <w:instrText>PAGE</w:instrText>
    </w:r>
    <w:r>
      <w:rPr>
        <w:color w:val="C9922E"/>
        <w:sz w:val="16"/>
        <w:szCs w:val="16"/>
      </w:rPr>
      <w:fldChar w:fldCharType="separate"/>
    </w:r>
    <w:r w:rsidR="005B21D3">
      <w:rPr>
        <w:noProof/>
        <w:color w:val="C9922E"/>
        <w:sz w:val="16"/>
        <w:szCs w:val="16"/>
      </w:rPr>
      <w:t>1</w:t>
    </w:r>
    <w:r>
      <w:rPr>
        <w:color w:val="C9922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7F1F2" w14:textId="77777777" w:rsidR="00C041B4" w:rsidRDefault="00C041B4">
      <w:r>
        <w:separator/>
      </w:r>
    </w:p>
  </w:footnote>
  <w:footnote w:type="continuationSeparator" w:id="0">
    <w:p w14:paraId="15E04C00" w14:textId="77777777" w:rsidR="00C041B4" w:rsidRDefault="00C04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0569"/>
    <w:multiLevelType w:val="hybridMultilevel"/>
    <w:tmpl w:val="56DEE242"/>
    <w:lvl w:ilvl="0" w:tplc="C062E852">
      <w:start w:val="1"/>
      <w:numFmt w:val="bullet"/>
      <w:lvlText w:val="•"/>
      <w:lvlJc w:val="left"/>
      <w:pPr>
        <w:ind w:left="480" w:hanging="240"/>
      </w:pPr>
    </w:lvl>
    <w:lvl w:ilvl="1" w:tplc="4B6E0B48">
      <w:numFmt w:val="decimal"/>
      <w:lvlText w:val=""/>
      <w:lvlJc w:val="left"/>
    </w:lvl>
    <w:lvl w:ilvl="2" w:tplc="176AA3DE">
      <w:numFmt w:val="decimal"/>
      <w:lvlText w:val=""/>
      <w:lvlJc w:val="left"/>
    </w:lvl>
    <w:lvl w:ilvl="3" w:tplc="1B364468">
      <w:numFmt w:val="decimal"/>
      <w:lvlText w:val=""/>
      <w:lvlJc w:val="left"/>
    </w:lvl>
    <w:lvl w:ilvl="4" w:tplc="C3B6C8A6">
      <w:numFmt w:val="decimal"/>
      <w:lvlText w:val=""/>
      <w:lvlJc w:val="left"/>
    </w:lvl>
    <w:lvl w:ilvl="5" w:tplc="0B7E4C0C">
      <w:numFmt w:val="decimal"/>
      <w:lvlText w:val=""/>
      <w:lvlJc w:val="left"/>
    </w:lvl>
    <w:lvl w:ilvl="6" w:tplc="E33026DA">
      <w:numFmt w:val="decimal"/>
      <w:lvlText w:val=""/>
      <w:lvlJc w:val="left"/>
    </w:lvl>
    <w:lvl w:ilvl="7" w:tplc="FE549A9A">
      <w:numFmt w:val="decimal"/>
      <w:lvlText w:val=""/>
      <w:lvlJc w:val="left"/>
    </w:lvl>
    <w:lvl w:ilvl="8" w:tplc="6CC6550E">
      <w:numFmt w:val="decimal"/>
      <w:lvlText w:val=""/>
      <w:lvlJc w:val="left"/>
    </w:lvl>
  </w:abstractNum>
  <w:abstractNum w:abstractNumId="1" w15:restartNumberingAfterBreak="0">
    <w:nsid w:val="4B153BC8"/>
    <w:multiLevelType w:val="hybridMultilevel"/>
    <w:tmpl w:val="579EB616"/>
    <w:lvl w:ilvl="0" w:tplc="21B6CEC6">
      <w:start w:val="1"/>
      <w:numFmt w:val="decimal"/>
      <w:lvlText w:val="%1."/>
      <w:lvlJc w:val="left"/>
      <w:pPr>
        <w:ind w:left="480" w:hanging="240"/>
      </w:pPr>
    </w:lvl>
    <w:lvl w:ilvl="1" w:tplc="3A70581A">
      <w:numFmt w:val="decimal"/>
      <w:lvlText w:val=""/>
      <w:lvlJc w:val="left"/>
    </w:lvl>
    <w:lvl w:ilvl="2" w:tplc="35AC5748">
      <w:numFmt w:val="decimal"/>
      <w:lvlText w:val=""/>
      <w:lvlJc w:val="left"/>
    </w:lvl>
    <w:lvl w:ilvl="3" w:tplc="B8F64CFA">
      <w:numFmt w:val="decimal"/>
      <w:lvlText w:val=""/>
      <w:lvlJc w:val="left"/>
    </w:lvl>
    <w:lvl w:ilvl="4" w:tplc="6A4E95A4">
      <w:numFmt w:val="decimal"/>
      <w:lvlText w:val=""/>
      <w:lvlJc w:val="left"/>
    </w:lvl>
    <w:lvl w:ilvl="5" w:tplc="57748DEA">
      <w:numFmt w:val="decimal"/>
      <w:lvlText w:val=""/>
      <w:lvlJc w:val="left"/>
    </w:lvl>
    <w:lvl w:ilvl="6" w:tplc="E31687C0">
      <w:numFmt w:val="decimal"/>
      <w:lvlText w:val=""/>
      <w:lvlJc w:val="left"/>
    </w:lvl>
    <w:lvl w:ilvl="7" w:tplc="68340BFE">
      <w:numFmt w:val="decimal"/>
      <w:lvlText w:val=""/>
      <w:lvlJc w:val="left"/>
    </w:lvl>
    <w:lvl w:ilvl="8" w:tplc="7D385780">
      <w:numFmt w:val="decimal"/>
      <w:lvlText w:val=""/>
      <w:lvlJc w:val="left"/>
    </w:lvl>
  </w:abstractNum>
  <w:abstractNum w:abstractNumId="2" w15:restartNumberingAfterBreak="0">
    <w:nsid w:val="770000DF"/>
    <w:multiLevelType w:val="hybridMultilevel"/>
    <w:tmpl w:val="48904A16"/>
    <w:lvl w:ilvl="0" w:tplc="B7C6AC1C">
      <w:start w:val="1"/>
      <w:numFmt w:val="bullet"/>
      <w:lvlText w:val="●"/>
      <w:lvlJc w:val="left"/>
      <w:pPr>
        <w:ind w:left="720" w:hanging="360"/>
      </w:pPr>
    </w:lvl>
    <w:lvl w:ilvl="1" w:tplc="58285FF4">
      <w:start w:val="1"/>
      <w:numFmt w:val="bullet"/>
      <w:lvlText w:val="○"/>
      <w:lvlJc w:val="left"/>
      <w:pPr>
        <w:ind w:left="1440" w:hanging="360"/>
      </w:pPr>
    </w:lvl>
    <w:lvl w:ilvl="2" w:tplc="AB2678B4">
      <w:start w:val="1"/>
      <w:numFmt w:val="bullet"/>
      <w:lvlText w:val="■"/>
      <w:lvlJc w:val="left"/>
      <w:pPr>
        <w:ind w:left="2160" w:hanging="360"/>
      </w:pPr>
    </w:lvl>
    <w:lvl w:ilvl="3" w:tplc="F500B318">
      <w:start w:val="1"/>
      <w:numFmt w:val="bullet"/>
      <w:lvlText w:val="●"/>
      <w:lvlJc w:val="left"/>
      <w:pPr>
        <w:ind w:left="2880" w:hanging="360"/>
      </w:pPr>
    </w:lvl>
    <w:lvl w:ilvl="4" w:tplc="1AEE7222">
      <w:start w:val="1"/>
      <w:numFmt w:val="bullet"/>
      <w:lvlText w:val="○"/>
      <w:lvlJc w:val="left"/>
      <w:pPr>
        <w:ind w:left="3600" w:hanging="360"/>
      </w:pPr>
    </w:lvl>
    <w:lvl w:ilvl="5" w:tplc="DEA8731A">
      <w:start w:val="1"/>
      <w:numFmt w:val="bullet"/>
      <w:lvlText w:val="■"/>
      <w:lvlJc w:val="left"/>
      <w:pPr>
        <w:ind w:left="4320" w:hanging="360"/>
      </w:pPr>
    </w:lvl>
    <w:lvl w:ilvl="6" w:tplc="117E5A74">
      <w:start w:val="1"/>
      <w:numFmt w:val="bullet"/>
      <w:lvlText w:val="●"/>
      <w:lvlJc w:val="left"/>
      <w:pPr>
        <w:ind w:left="5040" w:hanging="360"/>
      </w:pPr>
    </w:lvl>
    <w:lvl w:ilvl="7" w:tplc="8D1A90BE">
      <w:start w:val="1"/>
      <w:numFmt w:val="bullet"/>
      <w:lvlText w:val="●"/>
      <w:lvlJc w:val="left"/>
      <w:pPr>
        <w:ind w:left="5760" w:hanging="360"/>
      </w:pPr>
    </w:lvl>
    <w:lvl w:ilvl="8" w:tplc="5A7A4E42">
      <w:start w:val="1"/>
      <w:numFmt w:val="bullet"/>
      <w:lvlText w:val="●"/>
      <w:lvlJc w:val="left"/>
      <w:pPr>
        <w:ind w:left="6480" w:hanging="360"/>
      </w:pPr>
    </w:lvl>
  </w:abstractNum>
  <w:num w:numId="1" w16cid:durableId="532112680">
    <w:abstractNumId w:val="2"/>
    <w:lvlOverride w:ilvl="0">
      <w:startOverride w:val="1"/>
    </w:lvlOverride>
  </w:num>
  <w:num w:numId="2" w16cid:durableId="21970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DB2"/>
    <w:rsid w:val="00453DB2"/>
    <w:rsid w:val="005B21D3"/>
    <w:rsid w:val="009D00CF"/>
    <w:rsid w:val="00AB346D"/>
    <w:rsid w:val="00C041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829AE36"/>
  <w15:docId w15:val="{9C1BCC65-2D0A-884B-9AD8-4CCE961E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21D3"/>
    <w:pPr>
      <w:tabs>
        <w:tab w:val="center" w:pos="4513"/>
        <w:tab w:val="right" w:pos="9026"/>
      </w:tabs>
    </w:pPr>
  </w:style>
  <w:style w:type="character" w:customStyle="1" w:styleId="HeaderChar">
    <w:name w:val="Header Char"/>
    <w:basedOn w:val="DefaultParagraphFont"/>
    <w:link w:val="Header"/>
    <w:uiPriority w:val="99"/>
    <w:rsid w:val="005B21D3"/>
  </w:style>
  <w:style w:type="paragraph" w:styleId="Footer">
    <w:name w:val="footer"/>
    <w:basedOn w:val="Normal"/>
    <w:link w:val="FooterChar"/>
    <w:uiPriority w:val="99"/>
    <w:unhideWhenUsed/>
    <w:rsid w:val="005B21D3"/>
    <w:pPr>
      <w:tabs>
        <w:tab w:val="center" w:pos="4513"/>
        <w:tab w:val="right" w:pos="9026"/>
      </w:tabs>
    </w:pPr>
  </w:style>
  <w:style w:type="character" w:customStyle="1" w:styleId="FooterChar">
    <w:name w:val="Footer Char"/>
    <w:basedOn w:val="DefaultParagraphFont"/>
    <w:link w:val="Footer"/>
    <w:uiPriority w:val="99"/>
    <w:rsid w:val="005B21D3"/>
  </w:style>
  <w:style w:type="paragraph" w:customStyle="1" w:styleId="DecisionCallout">
    <w:name w:val="Decision: Callout"/>
    <w:basedOn w:val="Normal"/>
    <w:qFormat/>
    <w:rsid w:val="00AB346D"/>
    <w:pPr>
      <w:pBdr>
        <w:left w:val="thick" w:sz="24" w:space="7" w:color="C9922E"/>
      </w:pBdr>
      <w:shd w:val="clear" w:color="auto" w:fill="FDF3E3"/>
      <w:spacing w:before="160" w:after="160"/>
      <w:ind w:left="200" w:right="200"/>
    </w:pPr>
    <w:rPr>
      <w:b/>
      <w:bCs/>
      <w:color w:val="000000" w:themeColor="text1"/>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953F8-8EEF-3946-A8C2-E5FAEA467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1277</Words>
  <Characters>6938</Characters>
  <Application>Microsoft Office Word</Application>
  <DocSecurity>0</DocSecurity>
  <Lines>128</Lines>
  <Paragraphs>50</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 Chowdhury</cp:lastModifiedBy>
  <cp:revision>3</cp:revision>
  <dcterms:created xsi:type="dcterms:W3CDTF">2026-03-28T01:47:00Z</dcterms:created>
  <dcterms:modified xsi:type="dcterms:W3CDTF">2026-03-28T02:05:00Z</dcterms:modified>
</cp:coreProperties>
</file>