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D5DE5" w:rsidRPr="00114759" w14:paraId="40DD6E5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0C2340"/>
            <w:tcMar>
              <w:top w:w="560" w:type="dxa"/>
              <w:left w:w="360" w:type="dxa"/>
              <w:bottom w:w="560" w:type="dxa"/>
              <w:right w:w="360" w:type="dxa"/>
            </w:tcMar>
          </w:tcPr>
          <w:p w14:paraId="3F1244E6" w14:textId="77777777" w:rsidR="00FD5DE5" w:rsidRPr="00114759" w:rsidRDefault="00000000">
            <w:pPr>
              <w:spacing w:after="120"/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44"/>
                <w:szCs w:val="44"/>
              </w:rPr>
              <w:t>UAT Test Cases</w:t>
            </w:r>
          </w:p>
          <w:p w14:paraId="3AEA12BB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color w:val="E8B86D"/>
                <w:sz w:val="24"/>
                <w:szCs w:val="24"/>
              </w:rPr>
              <w:t>AI Governance Advisory Agent</w:t>
            </w:r>
          </w:p>
        </w:tc>
      </w:tr>
      <w:tr w:rsidR="00FD5DE5" w:rsidRPr="00114759" w14:paraId="4A4502A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C9922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EFAB7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2"/>
                <w:szCs w:val="2"/>
              </w:rPr>
              <w:t xml:space="preserve"> </w:t>
            </w:r>
          </w:p>
        </w:tc>
      </w:tr>
    </w:tbl>
    <w:p w14:paraId="548418D6" w14:textId="77777777" w:rsidR="00FD5DE5" w:rsidRPr="00114759" w:rsidRDefault="00FD5DE5">
      <w:pPr>
        <w:spacing w:before="480"/>
        <w:rPr>
          <w:rFonts w:ascii="Arial" w:hAnsi="Arial" w:cs="Arial"/>
        </w:rPr>
      </w:pPr>
    </w:p>
    <w:p w14:paraId="6AB9A4DA" w14:textId="77777777" w:rsidR="00FD5DE5" w:rsidRPr="00114759" w:rsidRDefault="00000000">
      <w:pPr>
        <w:spacing w:after="80"/>
        <w:rPr>
          <w:rFonts w:ascii="Arial" w:hAnsi="Arial" w:cs="Arial"/>
        </w:rPr>
      </w:pPr>
      <w:r w:rsidRPr="00114759">
        <w:rPr>
          <w:rFonts w:ascii="Arial" w:hAnsi="Arial" w:cs="Arial"/>
          <w:b/>
          <w:bCs/>
          <w:color w:val="C9922E"/>
          <w:sz w:val="16"/>
          <w:szCs w:val="16"/>
        </w:rPr>
        <w:t>CLIENT</w:t>
      </w:r>
    </w:p>
    <w:p w14:paraId="6EF63A9A" w14:textId="77777777" w:rsidR="00FD5DE5" w:rsidRDefault="00000000">
      <w:pPr>
        <w:spacing w:after="240"/>
        <w:rPr>
          <w:rFonts w:ascii="Arial" w:hAnsi="Arial" w:cs="Arial"/>
          <w:b/>
          <w:bCs/>
          <w:color w:val="0C2340"/>
          <w:sz w:val="26"/>
          <w:szCs w:val="26"/>
        </w:rPr>
      </w:pPr>
      <w:r w:rsidRPr="00114759">
        <w:rPr>
          <w:rFonts w:ascii="Arial" w:hAnsi="Arial" w:cs="Arial"/>
          <w:b/>
          <w:bCs/>
          <w:color w:val="0C2340"/>
          <w:sz w:val="26"/>
          <w:szCs w:val="26"/>
        </w:rPr>
        <w:t>Meridian Advisory Group (Portfolio Project)</w:t>
      </w:r>
    </w:p>
    <w:p w14:paraId="44A15DA4" w14:textId="67B24AC7" w:rsidR="00114759" w:rsidRPr="00114759" w:rsidRDefault="00114759" w:rsidP="00114759">
      <w:pPr>
        <w:spacing w:after="60"/>
        <w:rPr>
          <w:rFonts w:ascii="Arial" w:hAnsi="Arial" w:cs="Arial"/>
        </w:rPr>
      </w:pPr>
      <w:r w:rsidRPr="00114759">
        <w:rPr>
          <w:rFonts w:ascii="Arial" w:hAnsi="Arial" w:cs="Arial"/>
          <w:color w:val="4B5563"/>
          <w:sz w:val="19"/>
          <w:szCs w:val="19"/>
        </w:rPr>
        <w:t>Version 1.0</w:t>
      </w:r>
    </w:p>
    <w:p w14:paraId="77330600" w14:textId="2AF81AAC" w:rsidR="00FD5DE5" w:rsidRPr="00114759" w:rsidRDefault="00000000">
      <w:pPr>
        <w:spacing w:after="60"/>
        <w:rPr>
          <w:rFonts w:ascii="Arial" w:hAnsi="Arial" w:cs="Arial"/>
        </w:rPr>
      </w:pPr>
      <w:r w:rsidRPr="00114759">
        <w:rPr>
          <w:rFonts w:ascii="Arial" w:hAnsi="Arial" w:cs="Arial"/>
          <w:color w:val="4B5563"/>
          <w:sz w:val="19"/>
          <w:szCs w:val="19"/>
        </w:rPr>
        <w:t>Prepared by</w:t>
      </w:r>
      <w:r w:rsidR="00114759">
        <w:rPr>
          <w:rFonts w:ascii="Arial" w:hAnsi="Arial" w:cs="Arial"/>
          <w:color w:val="4B5563"/>
          <w:sz w:val="19"/>
          <w:szCs w:val="19"/>
        </w:rPr>
        <w:t xml:space="preserve">: </w:t>
      </w:r>
      <w:r w:rsidRPr="00114759">
        <w:rPr>
          <w:rFonts w:ascii="Arial" w:hAnsi="Arial" w:cs="Arial"/>
          <w:color w:val="4B5563"/>
          <w:sz w:val="19"/>
          <w:szCs w:val="19"/>
        </w:rPr>
        <w:t xml:space="preserve"> </w:t>
      </w:r>
      <w:r w:rsidRPr="00114759">
        <w:rPr>
          <w:rFonts w:ascii="Arial" w:hAnsi="Arial" w:cs="Arial"/>
          <w:b/>
          <w:bCs/>
          <w:sz w:val="19"/>
          <w:szCs w:val="19"/>
        </w:rPr>
        <w:t>Arsh Wafiq Khan Chowdhury, Technology Consultant</w:t>
      </w:r>
    </w:p>
    <w:p w14:paraId="7B7A28F4" w14:textId="1C2C26DA" w:rsidR="00FD5DE5" w:rsidRPr="00114759" w:rsidRDefault="00114759">
      <w:pPr>
        <w:spacing w:after="60"/>
        <w:rPr>
          <w:rFonts w:ascii="Arial" w:hAnsi="Arial" w:cs="Arial"/>
        </w:rPr>
      </w:pPr>
      <w:r w:rsidRPr="00114759">
        <w:rPr>
          <w:rFonts w:ascii="Arial" w:hAnsi="Arial" w:cs="Arial"/>
          <w:color w:val="4B5563"/>
          <w:sz w:val="19"/>
          <w:szCs w:val="19"/>
        </w:rPr>
        <w:t>Date</w:t>
      </w:r>
      <w:r>
        <w:rPr>
          <w:rFonts w:ascii="Arial" w:hAnsi="Arial" w:cs="Arial"/>
          <w:color w:val="4B5563"/>
          <w:sz w:val="19"/>
          <w:szCs w:val="19"/>
        </w:rPr>
        <w:t xml:space="preserve">: </w:t>
      </w:r>
      <w:r w:rsidRPr="00114759">
        <w:rPr>
          <w:rFonts w:ascii="Arial" w:hAnsi="Arial" w:cs="Arial"/>
          <w:color w:val="4B5563"/>
          <w:sz w:val="19"/>
          <w:szCs w:val="19"/>
        </w:rPr>
        <w:t>March</w:t>
      </w:r>
      <w:r w:rsidR="00000000" w:rsidRPr="00114759">
        <w:rPr>
          <w:rFonts w:ascii="Arial" w:hAnsi="Arial" w:cs="Arial"/>
          <w:sz w:val="19"/>
          <w:szCs w:val="19"/>
        </w:rPr>
        <w:t xml:space="preserve"> 2026</w:t>
      </w:r>
      <w:r w:rsidR="00000000" w:rsidRPr="00114759">
        <w:rPr>
          <w:rFonts w:ascii="Arial" w:hAnsi="Arial" w:cs="Arial"/>
          <w:color w:val="4B5563"/>
          <w:sz w:val="19"/>
          <w:szCs w:val="19"/>
        </w:rPr>
        <w:t xml:space="preserve">     </w:t>
      </w:r>
    </w:p>
    <w:p w14:paraId="18821BB1" w14:textId="7D4B0096" w:rsidR="00FD5DE5" w:rsidRPr="00114759" w:rsidRDefault="00114759">
      <w:pPr>
        <w:spacing w:after="60"/>
        <w:rPr>
          <w:rFonts w:ascii="Arial" w:hAnsi="Arial" w:cs="Arial"/>
        </w:rPr>
      </w:pPr>
      <w:r w:rsidRPr="00114759">
        <w:rPr>
          <w:rFonts w:ascii="Arial" w:hAnsi="Arial" w:cs="Arial"/>
          <w:color w:val="4B5563"/>
          <w:sz w:val="19"/>
          <w:szCs w:val="19"/>
        </w:rPr>
        <w:t>Engagement Portfolio</w:t>
      </w:r>
      <w:r w:rsidR="00000000" w:rsidRPr="00114759">
        <w:rPr>
          <w:rFonts w:ascii="Arial" w:hAnsi="Arial" w:cs="Arial"/>
          <w:sz w:val="19"/>
          <w:szCs w:val="19"/>
        </w:rPr>
        <w:t xml:space="preserve"> Project </w:t>
      </w:r>
      <w:r>
        <w:rPr>
          <w:rFonts w:ascii="Arial" w:hAnsi="Arial" w:cs="Arial"/>
          <w:sz w:val="19"/>
          <w:szCs w:val="19"/>
        </w:rPr>
        <w:t>-</w:t>
      </w:r>
      <w:r w:rsidR="00000000" w:rsidRPr="00114759">
        <w:rPr>
          <w:rFonts w:ascii="Arial" w:hAnsi="Arial" w:cs="Arial"/>
          <w:sz w:val="19"/>
          <w:szCs w:val="19"/>
        </w:rPr>
        <w:t xml:space="preserve"> AI Governance Advisory Agent</w:t>
      </w:r>
    </w:p>
    <w:p w14:paraId="526D234D" w14:textId="77777777" w:rsidR="00FD5DE5" w:rsidRPr="00114759" w:rsidRDefault="00FD5DE5">
      <w:pPr>
        <w:spacing w:before="480"/>
        <w:rPr>
          <w:rFonts w:ascii="Arial" w:hAnsi="Arial" w:cs="Arial"/>
        </w:rPr>
      </w:pPr>
    </w:p>
    <w:p w14:paraId="3FF01E2F" w14:textId="77777777" w:rsidR="00FD5DE5" w:rsidRPr="00114759" w:rsidRDefault="00000000">
      <w:pPr>
        <w:pBdr>
          <w:bottom w:val="single" w:sz="4" w:space="1" w:color="D1D5DB"/>
        </w:pBdr>
        <w:rPr>
          <w:rFonts w:ascii="Arial" w:hAnsi="Arial" w:cs="Arial"/>
        </w:rPr>
      </w:pPr>
      <w:r w:rsidRPr="00114759">
        <w:rPr>
          <w:rFonts w:ascii="Arial" w:hAnsi="Arial" w:cs="Arial"/>
          <w:sz w:val="4"/>
          <w:szCs w:val="4"/>
        </w:rPr>
        <w:t xml:space="preserve"> </w:t>
      </w:r>
    </w:p>
    <w:p w14:paraId="79C2C969" w14:textId="77777777" w:rsidR="00FD5DE5" w:rsidRPr="00114759" w:rsidRDefault="00FD5DE5">
      <w:pPr>
        <w:pageBreakBefore/>
        <w:rPr>
          <w:rFonts w:ascii="Arial" w:hAnsi="Arial" w:cs="Arial"/>
        </w:rPr>
      </w:pPr>
    </w:p>
    <w:p w14:paraId="40B5C744" w14:textId="77777777" w:rsidR="00FD5DE5" w:rsidRPr="00114759" w:rsidRDefault="00000000">
      <w:pPr>
        <w:pBdr>
          <w:left w:val="thick" w:sz="28" w:space="12" w:color="C9922E"/>
        </w:pBdr>
        <w:spacing w:before="400" w:after="140"/>
        <w:ind w:left="240"/>
        <w:rPr>
          <w:rFonts w:ascii="Arial" w:hAnsi="Arial" w:cs="Arial"/>
        </w:rPr>
      </w:pPr>
      <w:r w:rsidRPr="00114759">
        <w:rPr>
          <w:rFonts w:ascii="Arial" w:hAnsi="Arial" w:cs="Arial"/>
          <w:b/>
          <w:bCs/>
          <w:color w:val="0C2340"/>
          <w:sz w:val="30"/>
          <w:szCs w:val="30"/>
        </w:rPr>
        <w:t>1. UAT Overview</w:t>
      </w:r>
    </w:p>
    <w:p w14:paraId="18AA5ACA" w14:textId="77777777" w:rsidR="00FD5DE5" w:rsidRPr="00114759" w:rsidRDefault="00000000">
      <w:pPr>
        <w:spacing w:before="60" w:after="80"/>
        <w:rPr>
          <w:rFonts w:ascii="Arial" w:hAnsi="Arial" w:cs="Arial"/>
        </w:rPr>
      </w:pPr>
      <w:r w:rsidRPr="00114759">
        <w:rPr>
          <w:rFonts w:ascii="Arial" w:hAnsi="Arial" w:cs="Arial"/>
        </w:rPr>
        <w:t>This document defines the 16 UAT test cases for the AI Governance Advisory Agent, organised across five test categories. UAT is conducted in the Test environment with a panel of five senior Meridian consultants nominated by the Practice Lead.</w:t>
      </w:r>
    </w:p>
    <w:p w14:paraId="5A69BE1D" w14:textId="7E8F74F9" w:rsidR="00FD5DE5" w:rsidRPr="00114759" w:rsidRDefault="00000000">
      <w:pPr>
        <w:pBdr>
          <w:left w:val="thick" w:sz="24" w:space="8" w:color="C9922E"/>
        </w:pBdr>
        <w:shd w:val="clear" w:color="auto" w:fill="FDF3E3"/>
        <w:spacing w:before="160" w:after="160"/>
        <w:ind w:left="200" w:right="200"/>
        <w:rPr>
          <w:rFonts w:ascii="Arial" w:hAnsi="Arial" w:cs="Arial"/>
        </w:rPr>
      </w:pPr>
      <w:r w:rsidRPr="00114759">
        <w:rPr>
          <w:rFonts w:ascii="Arial" w:hAnsi="Arial" w:cs="Arial"/>
          <w:b/>
          <w:bCs/>
          <w:color w:val="C9922E"/>
          <w:sz w:val="19"/>
          <w:szCs w:val="19"/>
        </w:rPr>
        <w:t>Pass threshold</w:t>
      </w:r>
      <w:r w:rsidR="00114759">
        <w:rPr>
          <w:rFonts w:ascii="Arial" w:hAnsi="Arial" w:cs="Arial"/>
          <w:b/>
          <w:bCs/>
          <w:color w:val="C9922E"/>
          <w:sz w:val="19"/>
          <w:szCs w:val="19"/>
        </w:rPr>
        <w:t>:</w:t>
      </w:r>
      <w:r w:rsidRPr="00114759">
        <w:rPr>
          <w:rFonts w:ascii="Arial" w:hAnsi="Arial" w:cs="Arial"/>
          <w:b/>
          <w:bCs/>
          <w:color w:val="C9922E"/>
          <w:sz w:val="19"/>
          <w:szCs w:val="19"/>
        </w:rPr>
        <w:t xml:space="preserve">  </w:t>
      </w:r>
      <w:r w:rsidRPr="00114759">
        <w:rPr>
          <w:rFonts w:ascii="Arial" w:hAnsi="Arial" w:cs="Arial"/>
          <w:sz w:val="19"/>
          <w:szCs w:val="19"/>
        </w:rPr>
        <w:t>85% of accuracy test cases (TC-01 to TC-08) rated Pass by the UAT panel. 100% of escalation, logging, and access control cases rated Pass. Both conditions must be met before promotion to Production.</w:t>
      </w:r>
    </w:p>
    <w:p w14:paraId="25AF4A5C" w14:textId="77777777" w:rsidR="00FD5DE5" w:rsidRPr="00114759" w:rsidRDefault="00FD5DE5">
      <w:pPr>
        <w:spacing w:before="80"/>
        <w:rPr>
          <w:rFonts w:ascii="Arial" w:hAnsi="Arial" w:cs="Arial"/>
        </w:rPr>
      </w:pP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D5DE5" w:rsidRPr="00114759" w14:paraId="054F86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46D82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4B5563"/>
                <w:sz w:val="19"/>
                <w:szCs w:val="19"/>
              </w:rPr>
              <w:t>UAT environment</w:t>
            </w:r>
          </w:p>
        </w:tc>
        <w:tc>
          <w:tcPr>
            <w:tcW w:w="75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9F603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Meridian AI Advisory Test (Power Platform managed solution)</w:t>
            </w:r>
          </w:p>
        </w:tc>
      </w:tr>
      <w:tr w:rsidR="00FD5DE5" w:rsidRPr="00114759" w14:paraId="6511A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9DDA1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4B5563"/>
                <w:sz w:val="19"/>
                <w:szCs w:val="19"/>
              </w:rPr>
              <w:t>Testing period</w:t>
            </w:r>
          </w:p>
        </w:tc>
        <w:tc>
          <w:tcPr>
            <w:tcW w:w="75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85F6C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Days 18 to 24 of project delivery</w:t>
            </w:r>
          </w:p>
        </w:tc>
      </w:tr>
      <w:tr w:rsidR="00FD5DE5" w:rsidRPr="00114759" w14:paraId="3E9BF7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78AE6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4B5563"/>
                <w:sz w:val="19"/>
                <w:szCs w:val="19"/>
              </w:rPr>
              <w:t>Test panel size</w:t>
            </w:r>
          </w:p>
        </w:tc>
        <w:tc>
          <w:tcPr>
            <w:tcW w:w="75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88827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5 senior Meridian consultants</w:t>
            </w:r>
          </w:p>
        </w:tc>
      </w:tr>
      <w:tr w:rsidR="00FD5DE5" w:rsidRPr="00114759" w14:paraId="1E1130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44BE4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4B5563"/>
                <w:sz w:val="19"/>
                <w:szCs w:val="19"/>
              </w:rPr>
              <w:t>Rating scale</w:t>
            </w:r>
          </w:p>
        </w:tc>
        <w:tc>
          <w:tcPr>
            <w:tcW w:w="75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02CBE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Pass / Partial / Fail assessed by panel for accuracy cases</w:t>
            </w:r>
          </w:p>
        </w:tc>
      </w:tr>
      <w:tr w:rsidR="00FD5DE5" w:rsidRPr="00114759" w14:paraId="2F2C69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96619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4B5563"/>
                <w:sz w:val="19"/>
                <w:szCs w:val="19"/>
              </w:rPr>
              <w:t>Defect triage</w:t>
            </w:r>
          </w:p>
        </w:tc>
        <w:tc>
          <w:tcPr>
            <w:tcW w:w="7546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E840C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Critical: blocks promotion. Major: workaround documented before promotion. Minor: scheduled post-</w:t>
            </w:r>
            <w:proofErr w:type="gramStart"/>
            <w:r w:rsidRPr="00114759">
              <w:rPr>
                <w:rFonts w:ascii="Arial" w:hAnsi="Arial" w:cs="Arial"/>
                <w:sz w:val="19"/>
                <w:szCs w:val="19"/>
              </w:rPr>
              <w:t>go-live</w:t>
            </w:r>
            <w:proofErr w:type="gramEnd"/>
            <w:r w:rsidRPr="00114759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</w:tbl>
    <w:p w14:paraId="55DC4C11" w14:textId="77777777" w:rsidR="00FD5DE5" w:rsidRPr="00114759" w:rsidRDefault="00000000">
      <w:pPr>
        <w:pBdr>
          <w:left w:val="thick" w:sz="28" w:space="12" w:color="C9922E"/>
        </w:pBdr>
        <w:spacing w:before="400" w:after="140"/>
        <w:ind w:left="240"/>
        <w:rPr>
          <w:rFonts w:ascii="Arial" w:hAnsi="Arial" w:cs="Arial"/>
        </w:rPr>
      </w:pPr>
      <w:r w:rsidRPr="00114759">
        <w:rPr>
          <w:rFonts w:ascii="Arial" w:hAnsi="Arial" w:cs="Arial"/>
          <w:b/>
          <w:bCs/>
          <w:color w:val="0C2340"/>
          <w:sz w:val="30"/>
          <w:szCs w:val="30"/>
        </w:rPr>
        <w:t>2. Standard Query Accuracy — TC-01 to TC-08</w:t>
      </w:r>
    </w:p>
    <w:p w14:paraId="7F5F07D1" w14:textId="77777777" w:rsidR="00FD5DE5" w:rsidRPr="00114759" w:rsidRDefault="00000000">
      <w:pPr>
        <w:spacing w:before="60" w:after="80"/>
        <w:rPr>
          <w:rFonts w:ascii="Arial" w:hAnsi="Arial" w:cs="Arial"/>
        </w:rPr>
      </w:pPr>
      <w:r w:rsidRPr="00114759">
        <w:rPr>
          <w:rFonts w:ascii="Arial" w:hAnsi="Arial" w:cs="Arial"/>
        </w:rPr>
        <w:t>Each test presents a realistic consultant query. The pass criterion is that the UAT panel rates the response as accurate and useful.</w:t>
      </w:r>
    </w:p>
    <w:p w14:paraId="7BBBEB23" w14:textId="77777777" w:rsidR="00FD5DE5" w:rsidRPr="00114759" w:rsidRDefault="00FD5DE5">
      <w:pPr>
        <w:spacing w:before="80"/>
        <w:rPr>
          <w:rFonts w:ascii="Arial" w:hAnsi="Arial" w:cs="Arial"/>
        </w:rPr>
      </w:pP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"/>
        <w:gridCol w:w="3386"/>
        <w:gridCol w:w="3983"/>
        <w:gridCol w:w="1740"/>
      </w:tblGrid>
      <w:tr w:rsidR="00FD5DE5" w:rsidRPr="00114759" w14:paraId="625F82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89479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TC</w:t>
            </w:r>
          </w:p>
        </w:tc>
        <w:tc>
          <w:tcPr>
            <w:tcW w:w="34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A4E269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Query</w:t>
            </w:r>
          </w:p>
        </w:tc>
        <w:tc>
          <w:tcPr>
            <w:tcW w:w="40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8ECB1C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1746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12B967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FD5DE5" w:rsidRPr="00114759" w14:paraId="581DE7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0F4ED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TC-01</w:t>
            </w:r>
          </w:p>
        </w:tc>
        <w:tc>
          <w:tcPr>
            <w:tcW w:w="3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0EB01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What are the eight principles in the Australian Government AI Ethics Framework?</w:t>
            </w:r>
          </w:p>
        </w:tc>
        <w:tc>
          <w:tcPr>
            <w:tcW w:w="40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948D6F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Lists all eight principles by name, cites the framework, adds no invented principles.</w:t>
            </w:r>
          </w:p>
        </w:tc>
        <w:tc>
          <w:tcPr>
            <w:tcW w:w="17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2AFC5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  <w:tr w:rsidR="00FD5DE5" w:rsidRPr="00114759" w14:paraId="7644CE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D04BA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TC-02</w:t>
            </w:r>
          </w:p>
        </w:tc>
        <w:tc>
          <w:tcPr>
            <w:tcW w:w="34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B06D2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How does Microsoft define responsible AI and what are its core principles?</w:t>
            </w:r>
          </w:p>
        </w:tc>
        <w:tc>
          <w:tcPr>
            <w:tcW w:w="40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71896C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Identifies the six Microsoft RAI principles (Fairness, Reliability and Safety, Privacy and Security, Inclusiveness, Transparency, Accountability). Cites Microsoft RAI documentation.</w:t>
            </w:r>
          </w:p>
        </w:tc>
        <w:tc>
          <w:tcPr>
            <w:tcW w:w="1746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1B3A1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  <w:tr w:rsidR="00FD5DE5" w:rsidRPr="00114759" w14:paraId="54197F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85D64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TC-03</w:t>
            </w:r>
          </w:p>
        </w:tc>
        <w:tc>
          <w:tcPr>
            <w:tcW w:w="3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39952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A client in financial services is asking what governance controls they need before deploying an AI model. What framework should we reference?</w:t>
            </w:r>
          </w:p>
        </w:tc>
        <w:tc>
          <w:tcPr>
            <w:tcW w:w="40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DD061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Recommends the Australian AI Ethics Framework as the primary reference. Identifies NIST AI RMF as an internationally recognised complement. Cites both sources.</w:t>
            </w:r>
          </w:p>
        </w:tc>
        <w:tc>
          <w:tcPr>
            <w:tcW w:w="17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0012A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  <w:tr w:rsidR="00FD5DE5" w:rsidRPr="00114759" w14:paraId="655322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1EF05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TC-04</w:t>
            </w:r>
          </w:p>
        </w:tc>
        <w:tc>
          <w:tcPr>
            <w:tcW w:w="34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B811D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What does the NIST AI Risk Management Framework say about human oversight?</w:t>
            </w:r>
          </w:p>
        </w:tc>
        <w:tc>
          <w:tcPr>
            <w:tcW w:w="40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4F765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Accurately describes the GOVERN and MANAGE functions in relation to human oversight. Cites AI RMF 1.0.</w:t>
            </w:r>
          </w:p>
        </w:tc>
        <w:tc>
          <w:tcPr>
            <w:tcW w:w="1746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3D0EE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  <w:tr w:rsidR="00FD5DE5" w:rsidRPr="00114759" w14:paraId="21D0E8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54797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TC-05</w:t>
            </w:r>
          </w:p>
        </w:tc>
        <w:tc>
          <w:tcPr>
            <w:tcW w:w="3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845FE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Is there an obligation for our client to conduct an AI impact assessment under Australian law?</w:t>
            </w:r>
          </w:p>
        </w:tc>
        <w:tc>
          <w:tcPr>
            <w:tcW w:w="40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20ED1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Accurately reflects current state: no mandatory requirement as of 2026. References the voluntary framework. Does not overstate legal obligations.</w:t>
            </w:r>
          </w:p>
        </w:tc>
        <w:tc>
          <w:tcPr>
            <w:tcW w:w="17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F5731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  <w:tr w:rsidR="00FD5DE5" w:rsidRPr="00114759" w14:paraId="2B097A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861070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TC-06</w:t>
            </w:r>
          </w:p>
        </w:tc>
        <w:tc>
          <w:tcPr>
            <w:tcW w:w="34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1882E" w14:textId="3FB289F5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 xml:space="preserve">What does the EU AI Act say about high-risk AI </w:t>
            </w:r>
            <w:r w:rsidR="00114759" w:rsidRPr="00114759">
              <w:rPr>
                <w:rFonts w:ascii="Arial" w:hAnsi="Arial" w:cs="Arial"/>
                <w:sz w:val="19"/>
                <w:szCs w:val="19"/>
              </w:rPr>
              <w:t>systems,</w:t>
            </w:r>
            <w:r w:rsidRPr="00114759">
              <w:rPr>
                <w:rFonts w:ascii="Arial" w:hAnsi="Arial" w:cs="Arial"/>
                <w:sz w:val="19"/>
                <w:szCs w:val="19"/>
              </w:rPr>
              <w:t xml:space="preserve"> and does it apply to our Australian clients?</w:t>
            </w:r>
          </w:p>
        </w:tc>
        <w:tc>
          <w:tcPr>
            <w:tcW w:w="40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23157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Correctly describes the high-risk classification. Explains the EU market applicability. Notes relevance for clients with European operations.</w:t>
            </w:r>
          </w:p>
        </w:tc>
        <w:tc>
          <w:tcPr>
            <w:tcW w:w="1746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BAE45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  <w:tr w:rsidR="00FD5DE5" w:rsidRPr="00114759" w14:paraId="30941E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BA418E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TC-07</w:t>
            </w:r>
          </w:p>
        </w:tc>
        <w:tc>
          <w:tcPr>
            <w:tcW w:w="3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1A7F2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How should we explain transparency obligations to a client building a generative AI chatbot?</w:t>
            </w:r>
          </w:p>
        </w:tc>
        <w:tc>
          <w:tcPr>
            <w:tcW w:w="40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4D412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Surfaces transparency principles from the Australian framework and Microsoft RAI with practical framing. Cites sources.</w:t>
            </w:r>
          </w:p>
        </w:tc>
        <w:tc>
          <w:tcPr>
            <w:tcW w:w="17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87241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  <w:tr w:rsidR="00FD5DE5" w:rsidRPr="00114759" w14:paraId="1D4733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23DFD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lastRenderedPageBreak/>
              <w:t>TC-08</w:t>
            </w:r>
          </w:p>
        </w:tc>
        <w:tc>
          <w:tcPr>
            <w:tcW w:w="3400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0E3FB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What is ISO 42001 and is it relevant for our clients?</w:t>
            </w:r>
          </w:p>
        </w:tc>
        <w:tc>
          <w:tcPr>
            <w:tcW w:w="4000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7028E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Accurately describes ISO/IEC 42001:2023 as an AI management system standard. Notes relevance for clients seeking certification or responding to RFTs.</w:t>
            </w:r>
          </w:p>
        </w:tc>
        <w:tc>
          <w:tcPr>
            <w:tcW w:w="1746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29CA6A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</w:tbl>
    <w:p w14:paraId="4F946946" w14:textId="77777777" w:rsidR="00FD5DE5" w:rsidRPr="00114759" w:rsidRDefault="00000000">
      <w:pPr>
        <w:pBdr>
          <w:left w:val="thick" w:sz="28" w:space="12" w:color="C9922E"/>
        </w:pBdr>
        <w:spacing w:before="400" w:after="140"/>
        <w:ind w:left="240"/>
        <w:rPr>
          <w:rFonts w:ascii="Arial" w:hAnsi="Arial" w:cs="Arial"/>
        </w:rPr>
      </w:pPr>
      <w:r w:rsidRPr="00114759">
        <w:rPr>
          <w:rFonts w:ascii="Arial" w:hAnsi="Arial" w:cs="Arial"/>
          <w:b/>
          <w:bCs/>
          <w:color w:val="0C2340"/>
          <w:sz w:val="30"/>
          <w:szCs w:val="30"/>
        </w:rPr>
        <w:t>3. Multi-turn Conversation — TC-09 to TC-10</w:t>
      </w:r>
    </w:p>
    <w:p w14:paraId="0B978EB4" w14:textId="77777777" w:rsidR="00FD5DE5" w:rsidRPr="00114759" w:rsidRDefault="00FD5DE5">
      <w:pPr>
        <w:spacing w:before="60"/>
        <w:rPr>
          <w:rFonts w:ascii="Arial" w:hAnsi="Arial" w:cs="Arial"/>
        </w:rPr>
      </w:pP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"/>
        <w:gridCol w:w="3784"/>
        <w:gridCol w:w="3783"/>
        <w:gridCol w:w="1542"/>
      </w:tblGrid>
      <w:tr w:rsidR="00FD5DE5" w:rsidRPr="00114759" w14:paraId="6606F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A54EC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TC</w:t>
            </w:r>
          </w:p>
        </w:tc>
        <w:tc>
          <w:tcPr>
            <w:tcW w:w="38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8D127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8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6CA2D4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1546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AF7ACE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FD5DE5" w:rsidRPr="00114759" w14:paraId="300A49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5FE0FB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TC-09</w:t>
            </w:r>
          </w:p>
        </w:tc>
        <w:tc>
          <w:tcPr>
            <w:tcW w:w="38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6D526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User asks TC-01 query, then follows up: 'Which of those principles is most relevant to a predictive analytics model in healthcare?'</w:t>
            </w:r>
          </w:p>
        </w:tc>
        <w:tc>
          <w:tcPr>
            <w:tcW w:w="38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BF617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Agent maintains context from the first response. Answers the follow-up by referencing relevant principles in the healthcare context without requiring the user to repeat the original question.</w:t>
            </w:r>
          </w:p>
        </w:tc>
        <w:tc>
          <w:tcPr>
            <w:tcW w:w="15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C7752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  <w:tr w:rsidR="00FD5DE5" w:rsidRPr="00114759" w14:paraId="707B31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847E0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TC-10</w:t>
            </w:r>
          </w:p>
        </w:tc>
        <w:tc>
          <w:tcPr>
            <w:tcW w:w="3800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A210C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User asks a query, receives a response, then asks: 'Can you give me the exact wording from the document?'</w:t>
            </w:r>
          </w:p>
        </w:tc>
        <w:tc>
          <w:tcPr>
            <w:tcW w:w="3800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2A22F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Agent retrieves and surfaces a direct quote or close paraphrase from the source document with a section reference.</w:t>
            </w:r>
          </w:p>
        </w:tc>
        <w:tc>
          <w:tcPr>
            <w:tcW w:w="1546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4DEFC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</w:tbl>
    <w:p w14:paraId="41231DAD" w14:textId="77777777" w:rsidR="00FD5DE5" w:rsidRPr="00114759" w:rsidRDefault="00000000">
      <w:pPr>
        <w:pBdr>
          <w:left w:val="thick" w:sz="28" w:space="12" w:color="C9922E"/>
        </w:pBdr>
        <w:spacing w:before="400" w:after="140"/>
        <w:ind w:left="240"/>
        <w:rPr>
          <w:rFonts w:ascii="Arial" w:hAnsi="Arial" w:cs="Arial"/>
        </w:rPr>
      </w:pPr>
      <w:r w:rsidRPr="00114759">
        <w:rPr>
          <w:rFonts w:ascii="Arial" w:hAnsi="Arial" w:cs="Arial"/>
          <w:b/>
          <w:bCs/>
          <w:color w:val="0C2340"/>
          <w:sz w:val="30"/>
          <w:szCs w:val="30"/>
        </w:rPr>
        <w:t>4. Escalation — TC-11 to TC-12</w:t>
      </w:r>
    </w:p>
    <w:p w14:paraId="7B3646D8" w14:textId="77777777" w:rsidR="00FD5DE5" w:rsidRPr="00114759" w:rsidRDefault="00000000">
      <w:pPr>
        <w:pBdr>
          <w:left w:val="thick" w:sz="24" w:space="8" w:color="C9922E"/>
        </w:pBdr>
        <w:shd w:val="clear" w:color="auto" w:fill="FDF3E3"/>
        <w:spacing w:before="160" w:after="160"/>
        <w:ind w:left="200" w:right="200"/>
        <w:rPr>
          <w:rFonts w:ascii="Arial" w:hAnsi="Arial" w:cs="Arial"/>
        </w:rPr>
      </w:pPr>
      <w:proofErr w:type="gramStart"/>
      <w:r w:rsidRPr="00114759">
        <w:rPr>
          <w:rFonts w:ascii="Arial" w:hAnsi="Arial" w:cs="Arial"/>
          <w:b/>
          <w:bCs/>
          <w:color w:val="C9922E"/>
          <w:sz w:val="19"/>
          <w:szCs w:val="19"/>
        </w:rPr>
        <w:t xml:space="preserve">Critical  </w:t>
      </w:r>
      <w:r w:rsidRPr="00114759">
        <w:rPr>
          <w:rFonts w:ascii="Arial" w:hAnsi="Arial" w:cs="Arial"/>
          <w:sz w:val="19"/>
          <w:szCs w:val="19"/>
        </w:rPr>
        <w:t>Both</w:t>
      </w:r>
      <w:proofErr w:type="gramEnd"/>
      <w:r w:rsidRPr="00114759">
        <w:rPr>
          <w:rFonts w:ascii="Arial" w:hAnsi="Arial" w:cs="Arial"/>
          <w:sz w:val="19"/>
          <w:szCs w:val="19"/>
        </w:rPr>
        <w:t xml:space="preserve"> escalation test cases must pass at 100%. An agent that returns a speculative answer on a legal or regulatory question rather than escalating creates direct compliance risk.</w:t>
      </w:r>
    </w:p>
    <w:p w14:paraId="6C48B3DE" w14:textId="77777777" w:rsidR="00FD5DE5" w:rsidRPr="00114759" w:rsidRDefault="00FD5DE5">
      <w:pPr>
        <w:spacing w:before="80"/>
        <w:rPr>
          <w:rFonts w:ascii="Arial" w:hAnsi="Arial" w:cs="Arial"/>
        </w:rPr>
      </w:pP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"/>
        <w:gridCol w:w="3783"/>
        <w:gridCol w:w="3983"/>
        <w:gridCol w:w="1343"/>
      </w:tblGrid>
      <w:tr w:rsidR="00FD5DE5" w:rsidRPr="00114759" w14:paraId="430B8E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93EF7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TC</w:t>
            </w:r>
          </w:p>
        </w:tc>
        <w:tc>
          <w:tcPr>
            <w:tcW w:w="38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15230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Query</w:t>
            </w:r>
          </w:p>
        </w:tc>
        <w:tc>
          <w:tcPr>
            <w:tcW w:w="40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9AC7B7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1346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EC8DE0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FD5DE5" w:rsidRPr="00114759" w14:paraId="43DF52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3294A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TC-11</w:t>
            </w:r>
          </w:p>
        </w:tc>
        <w:tc>
          <w:tcPr>
            <w:tcW w:w="38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33B8E0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What is the specific penalty for a company found to have deployed a non-compliant AI system under Australian law?</w:t>
            </w:r>
          </w:p>
        </w:tc>
        <w:tc>
          <w:tcPr>
            <w:tcW w:w="40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83DAB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Confidence below threshold — query asks for specific legal penalties not present in the knowledge base. No speculative answer returned. Escalation adaptive card displayed. Escalation email confirmed received by SME.</w:t>
            </w:r>
          </w:p>
        </w:tc>
        <w:tc>
          <w:tcPr>
            <w:tcW w:w="13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2B039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  <w:tr w:rsidR="00FD5DE5" w:rsidRPr="00114759" w14:paraId="2B93AD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5F54AB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TC-12</w:t>
            </w:r>
          </w:p>
        </w:tc>
        <w:tc>
          <w:tcPr>
            <w:tcW w:w="3800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00E4C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Can you tell me whether our client's specific AI model would be classified as high-risk under the EU AI Act?</w:t>
            </w:r>
          </w:p>
        </w:tc>
        <w:tc>
          <w:tcPr>
            <w:tcW w:w="4000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713BD8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Confidence below threshold — requires case-specific legal analysis not supportable from the knowledge base. Escalation path triggered. Agent does not attempt a legal opinion.</w:t>
            </w:r>
          </w:p>
        </w:tc>
        <w:tc>
          <w:tcPr>
            <w:tcW w:w="1346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1BD31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</w:tbl>
    <w:p w14:paraId="5B7AE4D8" w14:textId="77777777" w:rsidR="00FD5DE5" w:rsidRPr="00114759" w:rsidRDefault="00000000">
      <w:pPr>
        <w:pBdr>
          <w:left w:val="thick" w:sz="28" w:space="12" w:color="C9922E"/>
        </w:pBdr>
        <w:spacing w:before="400" w:after="140"/>
        <w:ind w:left="240"/>
        <w:rPr>
          <w:rFonts w:ascii="Arial" w:hAnsi="Arial" w:cs="Arial"/>
        </w:rPr>
      </w:pPr>
      <w:r w:rsidRPr="00114759">
        <w:rPr>
          <w:rFonts w:ascii="Arial" w:hAnsi="Arial" w:cs="Arial"/>
          <w:b/>
          <w:bCs/>
          <w:color w:val="0C2340"/>
          <w:sz w:val="30"/>
          <w:szCs w:val="30"/>
        </w:rPr>
        <w:t>5. Audit Logging and Access Control — TC-13 to TC-15</w:t>
      </w:r>
    </w:p>
    <w:p w14:paraId="14AA1D3F" w14:textId="77777777" w:rsidR="00FD5DE5" w:rsidRPr="00114759" w:rsidRDefault="00FD5DE5">
      <w:pPr>
        <w:spacing w:before="60"/>
        <w:rPr>
          <w:rFonts w:ascii="Arial" w:hAnsi="Arial" w:cs="Arial"/>
        </w:rPr>
      </w:pP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8"/>
        <w:gridCol w:w="3187"/>
        <w:gridCol w:w="3784"/>
        <w:gridCol w:w="2137"/>
      </w:tblGrid>
      <w:tr w:rsidR="00FD5DE5" w:rsidRPr="00114759" w14:paraId="36CC6E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30A724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TC</w:t>
            </w:r>
          </w:p>
        </w:tc>
        <w:tc>
          <w:tcPr>
            <w:tcW w:w="32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90531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Test Action</w:t>
            </w:r>
          </w:p>
        </w:tc>
        <w:tc>
          <w:tcPr>
            <w:tcW w:w="38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98FEF8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2146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7A4596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FD5DE5" w:rsidRPr="00114759" w14:paraId="234DE7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B0EDE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TC-13</w:t>
            </w:r>
          </w:p>
        </w:tc>
        <w:tc>
          <w:tcPr>
            <w:tcW w:w="32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063983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UAT participant sends three queries. Compliance Manager reviews the SharePoint Audit Log list.</w:t>
            </w:r>
          </w:p>
        </w:tc>
        <w:tc>
          <w:tcPr>
            <w:tcW w:w="38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9086B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Three records present within 60 seconds of each query. Each record contains: user ID, timestamp, query text, response summary, confidence score.</w:t>
            </w:r>
          </w:p>
        </w:tc>
        <w:tc>
          <w:tcPr>
            <w:tcW w:w="21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24C2B1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  <w:tr w:rsidR="00FD5DE5" w:rsidRPr="00114759" w14:paraId="7746CD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BD178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TC-14</w:t>
            </w:r>
          </w:p>
        </w:tc>
        <w:tc>
          <w:tcPr>
            <w:tcW w:w="32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FDB76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UAT participant attempts to access the Audit Log SharePoint list directly.</w:t>
            </w:r>
          </w:p>
        </w:tc>
        <w:tc>
          <w:tcPr>
            <w:tcW w:w="38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302E1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Access denied. Only Compliance Manager and Head of Technology can view the list.</w:t>
            </w:r>
          </w:p>
        </w:tc>
        <w:tc>
          <w:tcPr>
            <w:tcW w:w="2146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23061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  <w:tr w:rsidR="00FD5DE5" w:rsidRPr="00114759" w14:paraId="48729B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201C3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TC-15</w:t>
            </w:r>
          </w:p>
        </w:tc>
        <w:tc>
          <w:tcPr>
            <w:tcW w:w="32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4A9BE2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UAT participant attempts to access the agent from a personal (non-Meridian) Microsoft account.</w:t>
            </w:r>
          </w:p>
        </w:tc>
        <w:tc>
          <w:tcPr>
            <w:tcW w:w="38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4B2BA7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Authentication fails. Agent not accessible outside the Meridian Entra ID tenant.</w:t>
            </w:r>
          </w:p>
        </w:tc>
        <w:tc>
          <w:tcPr>
            <w:tcW w:w="2146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69DDA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</w:tbl>
    <w:p w14:paraId="6FC529A9" w14:textId="77777777" w:rsidR="00FD5DE5" w:rsidRPr="00114759" w:rsidRDefault="00000000">
      <w:pPr>
        <w:pBdr>
          <w:left w:val="thick" w:sz="28" w:space="12" w:color="C9922E"/>
        </w:pBdr>
        <w:spacing w:before="400" w:after="140"/>
        <w:ind w:left="240"/>
        <w:rPr>
          <w:rFonts w:ascii="Arial" w:hAnsi="Arial" w:cs="Arial"/>
        </w:rPr>
      </w:pPr>
      <w:r w:rsidRPr="00114759">
        <w:rPr>
          <w:rFonts w:ascii="Arial" w:hAnsi="Arial" w:cs="Arial"/>
          <w:b/>
          <w:bCs/>
          <w:color w:val="0C2340"/>
          <w:sz w:val="30"/>
          <w:szCs w:val="30"/>
        </w:rPr>
        <w:lastRenderedPageBreak/>
        <w:t>6. Knowledge Base Update — TC-16</w:t>
      </w:r>
    </w:p>
    <w:p w14:paraId="79DC2B42" w14:textId="77777777" w:rsidR="00FD5DE5" w:rsidRPr="00114759" w:rsidRDefault="00FD5DE5">
      <w:pPr>
        <w:spacing w:before="60"/>
        <w:rPr>
          <w:rFonts w:ascii="Arial" w:hAnsi="Arial" w:cs="Arial"/>
        </w:rPr>
      </w:pP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"/>
        <w:gridCol w:w="3785"/>
        <w:gridCol w:w="3981"/>
        <w:gridCol w:w="1343"/>
      </w:tblGrid>
      <w:tr w:rsidR="00FD5DE5" w:rsidRPr="00114759" w14:paraId="6B9D5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46E5A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TC</w:t>
            </w:r>
          </w:p>
        </w:tc>
        <w:tc>
          <w:tcPr>
            <w:tcW w:w="38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A316A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Test Action</w:t>
            </w:r>
          </w:p>
        </w:tc>
        <w:tc>
          <w:tcPr>
            <w:tcW w:w="40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66442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1346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410D05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FD5DE5" w:rsidRPr="00114759" w14:paraId="5958DC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75DF9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TC-16</w:t>
            </w:r>
          </w:p>
        </w:tc>
        <w:tc>
          <w:tcPr>
            <w:tcW w:w="38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CCFC8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Administrator uploads a new PDF document to the SharePoint knowledge base library.</w:t>
            </w:r>
          </w:p>
        </w:tc>
        <w:tc>
          <w:tcPr>
            <w:tcW w:w="40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BF994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 xml:space="preserve">Power Automate triggers re-indexing. New content is </w:t>
            </w:r>
            <w:proofErr w:type="spellStart"/>
            <w:r w:rsidRPr="00114759">
              <w:rPr>
                <w:rFonts w:ascii="Arial" w:hAnsi="Arial" w:cs="Arial"/>
                <w:sz w:val="19"/>
                <w:szCs w:val="19"/>
              </w:rPr>
              <w:t>queryable</w:t>
            </w:r>
            <w:proofErr w:type="spellEnd"/>
            <w:r w:rsidRPr="00114759">
              <w:rPr>
                <w:rFonts w:ascii="Arial" w:hAnsi="Arial" w:cs="Arial"/>
                <w:sz w:val="19"/>
                <w:szCs w:val="19"/>
              </w:rPr>
              <w:t xml:space="preserve"> via the agent within 10 minutes of upload.</w:t>
            </w:r>
          </w:p>
        </w:tc>
        <w:tc>
          <w:tcPr>
            <w:tcW w:w="1346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29F5F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</w:tbl>
    <w:p w14:paraId="40FE9EB6" w14:textId="77777777" w:rsidR="00FD5DE5" w:rsidRPr="00114759" w:rsidRDefault="00000000">
      <w:pPr>
        <w:pBdr>
          <w:left w:val="thick" w:sz="28" w:space="12" w:color="C9922E"/>
        </w:pBdr>
        <w:spacing w:before="400" w:after="140"/>
        <w:ind w:left="240"/>
        <w:rPr>
          <w:rFonts w:ascii="Arial" w:hAnsi="Arial" w:cs="Arial"/>
        </w:rPr>
      </w:pPr>
      <w:r w:rsidRPr="00114759">
        <w:rPr>
          <w:rFonts w:ascii="Arial" w:hAnsi="Arial" w:cs="Arial"/>
          <w:b/>
          <w:bCs/>
          <w:color w:val="0C2340"/>
          <w:sz w:val="30"/>
          <w:szCs w:val="30"/>
        </w:rPr>
        <w:t>7. UAT Sign-off</w:t>
      </w:r>
    </w:p>
    <w:p w14:paraId="031B8A9B" w14:textId="77777777" w:rsidR="00FD5DE5" w:rsidRPr="00114759" w:rsidRDefault="00FD5DE5">
      <w:pPr>
        <w:spacing w:before="60"/>
        <w:rPr>
          <w:rFonts w:ascii="Arial" w:hAnsi="Arial" w:cs="Arial"/>
        </w:rPr>
      </w:pP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400"/>
        <w:gridCol w:w="1746"/>
      </w:tblGrid>
      <w:tr w:rsidR="00FD5DE5" w:rsidRPr="00114759" w14:paraId="7CF215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111A8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2F4077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8C4F6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1746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8DFE5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FD5DE5" w:rsidRPr="00114759" w14:paraId="601202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DE4FF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Practice Lead, AI Advisory</w:t>
            </w:r>
          </w:p>
        </w:tc>
        <w:tc>
          <w:tcPr>
            <w:tcW w:w="28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6ED04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  <w:tc>
          <w:tcPr>
            <w:tcW w:w="2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F9F54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800A26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  <w:tr w:rsidR="00FD5DE5" w:rsidRPr="00114759" w14:paraId="16C707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48E76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Head of Technology</w:t>
            </w:r>
          </w:p>
        </w:tc>
        <w:tc>
          <w:tcPr>
            <w:tcW w:w="28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A04DA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  <w:tc>
          <w:tcPr>
            <w:tcW w:w="24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9240A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E895C9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  <w:tr w:rsidR="00FD5DE5" w:rsidRPr="00114759" w14:paraId="1DF0DC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65F0D" w14:textId="77777777" w:rsidR="00FD5DE5" w:rsidRPr="00114759" w:rsidRDefault="00000000">
            <w:pPr>
              <w:rPr>
                <w:rFonts w:ascii="Arial" w:hAnsi="Arial" w:cs="Arial"/>
              </w:rPr>
            </w:pPr>
            <w:r w:rsidRPr="00114759">
              <w:rPr>
                <w:rFonts w:ascii="Arial" w:hAnsi="Arial" w:cs="Arial"/>
                <w:sz w:val="19"/>
                <w:szCs w:val="19"/>
              </w:rPr>
              <w:t>Compliance Manager</w:t>
            </w:r>
          </w:p>
        </w:tc>
        <w:tc>
          <w:tcPr>
            <w:tcW w:w="28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9740E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  <w:tc>
          <w:tcPr>
            <w:tcW w:w="24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5FA01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4C5B1" w14:textId="77777777" w:rsidR="00FD5DE5" w:rsidRPr="00114759" w:rsidRDefault="00FD5DE5">
            <w:pPr>
              <w:rPr>
                <w:rFonts w:ascii="Arial" w:hAnsi="Arial" w:cs="Arial"/>
              </w:rPr>
            </w:pPr>
          </w:p>
        </w:tc>
      </w:tr>
    </w:tbl>
    <w:p w14:paraId="3C3AE7F6" w14:textId="77777777" w:rsidR="00FD5DE5" w:rsidRPr="00114759" w:rsidRDefault="00FD5DE5">
      <w:pPr>
        <w:spacing w:before="160"/>
        <w:rPr>
          <w:rFonts w:ascii="Arial" w:hAnsi="Arial" w:cs="Arial"/>
        </w:rPr>
      </w:pPr>
    </w:p>
    <w:p w14:paraId="3AE1A4C1" w14:textId="77777777" w:rsidR="00FD5DE5" w:rsidRPr="00114759" w:rsidRDefault="00000000">
      <w:pPr>
        <w:pBdr>
          <w:bottom w:val="single" w:sz="2" w:space="1" w:color="D1D5DB"/>
        </w:pBdr>
        <w:spacing w:before="160" w:after="160"/>
        <w:rPr>
          <w:rFonts w:ascii="Arial" w:hAnsi="Arial" w:cs="Arial"/>
        </w:rPr>
      </w:pPr>
      <w:r w:rsidRPr="00114759">
        <w:rPr>
          <w:rFonts w:ascii="Arial" w:hAnsi="Arial" w:cs="Arial"/>
          <w:sz w:val="4"/>
          <w:szCs w:val="4"/>
        </w:rPr>
        <w:t xml:space="preserve"> </w:t>
      </w:r>
    </w:p>
    <w:p w14:paraId="7D7A5886" w14:textId="77777777" w:rsidR="00FD5DE5" w:rsidRPr="00114759" w:rsidRDefault="00000000">
      <w:pPr>
        <w:spacing w:before="60" w:after="80"/>
        <w:rPr>
          <w:rFonts w:ascii="Arial" w:hAnsi="Arial" w:cs="Arial"/>
        </w:rPr>
      </w:pPr>
      <w:r w:rsidRPr="00114759">
        <w:rPr>
          <w:rFonts w:ascii="Arial" w:hAnsi="Arial" w:cs="Arial"/>
        </w:rPr>
        <w:t>UAT Test Cases — Version 1.0 — March 2026</w:t>
      </w:r>
    </w:p>
    <w:sectPr w:rsidR="00FD5DE5" w:rsidRPr="00114759">
      <w:footerReference w:type="default" r:id="rId7"/>
      <w:pgSz w:w="11906" w:h="16838"/>
      <w:pgMar w:top="108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BA3EB" w14:textId="77777777" w:rsidR="00C65357" w:rsidRDefault="00C65357">
      <w:r>
        <w:separator/>
      </w:r>
    </w:p>
  </w:endnote>
  <w:endnote w:type="continuationSeparator" w:id="0">
    <w:p w14:paraId="7C3A5D18" w14:textId="77777777" w:rsidR="00C65357" w:rsidRDefault="00C65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21698" w14:textId="77777777" w:rsidR="00FD5DE5" w:rsidRDefault="00000000">
    <w:pPr>
      <w:pBdr>
        <w:top w:val="single" w:sz="2" w:space="4" w:color="D1D5DB"/>
      </w:pBdr>
      <w:tabs>
        <w:tab w:val="right" w:pos="9026"/>
      </w:tabs>
      <w:spacing w:before="80"/>
    </w:pPr>
    <w:r>
      <w:rPr>
        <w:color w:val="4B5563"/>
        <w:sz w:val="16"/>
        <w:szCs w:val="16"/>
      </w:rPr>
      <w:t>UAT Test Cases</w:t>
    </w:r>
    <w:r>
      <w:rPr>
        <w:sz w:val="16"/>
        <w:szCs w:val="16"/>
      </w:rPr>
      <w:tab/>
    </w:r>
    <w:r>
      <w:rPr>
        <w:color w:val="4B5563"/>
        <w:sz w:val="16"/>
        <w:szCs w:val="16"/>
      </w:rPr>
      <w:t xml:space="preserve">Arsh Wafiq Khan </w:t>
    </w:r>
    <w:proofErr w:type="gramStart"/>
    <w:r>
      <w:rPr>
        <w:color w:val="4B5563"/>
        <w:sz w:val="16"/>
        <w:szCs w:val="16"/>
      </w:rPr>
      <w:t>Chowdhury  |</w:t>
    </w:r>
    <w:proofErr w:type="gramEnd"/>
    <w:r>
      <w:rPr>
        <w:color w:val="4B5563"/>
        <w:sz w:val="16"/>
        <w:szCs w:val="16"/>
      </w:rPr>
      <w:t xml:space="preserve">  </w:t>
    </w:r>
    <w:r>
      <w:rPr>
        <w:color w:val="C9922E"/>
        <w:sz w:val="16"/>
        <w:szCs w:val="16"/>
      </w:rPr>
      <w:fldChar w:fldCharType="begin"/>
    </w:r>
    <w:r>
      <w:rPr>
        <w:color w:val="C9922E"/>
        <w:sz w:val="16"/>
        <w:szCs w:val="16"/>
      </w:rPr>
      <w:instrText>PAGE</w:instrText>
    </w:r>
    <w:r>
      <w:rPr>
        <w:color w:val="C9922E"/>
        <w:sz w:val="16"/>
        <w:szCs w:val="16"/>
      </w:rPr>
      <w:fldChar w:fldCharType="separate"/>
    </w:r>
    <w:r w:rsidR="00114759">
      <w:rPr>
        <w:noProof/>
        <w:color w:val="C9922E"/>
        <w:sz w:val="16"/>
        <w:szCs w:val="16"/>
      </w:rPr>
      <w:t>1</w:t>
    </w:r>
    <w:r>
      <w:rPr>
        <w:color w:val="C9922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D7249" w14:textId="77777777" w:rsidR="00C65357" w:rsidRDefault="00C65357">
      <w:r>
        <w:separator/>
      </w:r>
    </w:p>
  </w:footnote>
  <w:footnote w:type="continuationSeparator" w:id="0">
    <w:p w14:paraId="26356A76" w14:textId="77777777" w:rsidR="00C65357" w:rsidRDefault="00C653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625E"/>
    <w:multiLevelType w:val="hybridMultilevel"/>
    <w:tmpl w:val="DBF4DA10"/>
    <w:lvl w:ilvl="0" w:tplc="523C5A40">
      <w:start w:val="1"/>
      <w:numFmt w:val="bullet"/>
      <w:lvlText w:val="●"/>
      <w:lvlJc w:val="left"/>
      <w:pPr>
        <w:ind w:left="720" w:hanging="360"/>
      </w:pPr>
    </w:lvl>
    <w:lvl w:ilvl="1" w:tplc="AD9A8936">
      <w:start w:val="1"/>
      <w:numFmt w:val="bullet"/>
      <w:lvlText w:val="○"/>
      <w:lvlJc w:val="left"/>
      <w:pPr>
        <w:ind w:left="1440" w:hanging="360"/>
      </w:pPr>
    </w:lvl>
    <w:lvl w:ilvl="2" w:tplc="4FE20BF4">
      <w:start w:val="1"/>
      <w:numFmt w:val="bullet"/>
      <w:lvlText w:val="■"/>
      <w:lvlJc w:val="left"/>
      <w:pPr>
        <w:ind w:left="2160" w:hanging="360"/>
      </w:pPr>
    </w:lvl>
    <w:lvl w:ilvl="3" w:tplc="E26CEF3E">
      <w:start w:val="1"/>
      <w:numFmt w:val="bullet"/>
      <w:lvlText w:val="●"/>
      <w:lvlJc w:val="left"/>
      <w:pPr>
        <w:ind w:left="2880" w:hanging="360"/>
      </w:pPr>
    </w:lvl>
    <w:lvl w:ilvl="4" w:tplc="E0E66FB6">
      <w:start w:val="1"/>
      <w:numFmt w:val="bullet"/>
      <w:lvlText w:val="○"/>
      <w:lvlJc w:val="left"/>
      <w:pPr>
        <w:ind w:left="3600" w:hanging="360"/>
      </w:pPr>
    </w:lvl>
    <w:lvl w:ilvl="5" w:tplc="07883F98">
      <w:start w:val="1"/>
      <w:numFmt w:val="bullet"/>
      <w:lvlText w:val="■"/>
      <w:lvlJc w:val="left"/>
      <w:pPr>
        <w:ind w:left="4320" w:hanging="360"/>
      </w:pPr>
    </w:lvl>
    <w:lvl w:ilvl="6" w:tplc="057A5110">
      <w:start w:val="1"/>
      <w:numFmt w:val="bullet"/>
      <w:lvlText w:val="●"/>
      <w:lvlJc w:val="left"/>
      <w:pPr>
        <w:ind w:left="5040" w:hanging="360"/>
      </w:pPr>
    </w:lvl>
    <w:lvl w:ilvl="7" w:tplc="5506624A">
      <w:start w:val="1"/>
      <w:numFmt w:val="bullet"/>
      <w:lvlText w:val="●"/>
      <w:lvlJc w:val="left"/>
      <w:pPr>
        <w:ind w:left="5760" w:hanging="360"/>
      </w:pPr>
    </w:lvl>
    <w:lvl w:ilvl="8" w:tplc="23225B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4E1F13"/>
    <w:multiLevelType w:val="hybridMultilevel"/>
    <w:tmpl w:val="C3C87704"/>
    <w:lvl w:ilvl="0" w:tplc="517A2F92">
      <w:start w:val="1"/>
      <w:numFmt w:val="bullet"/>
      <w:lvlText w:val="•"/>
      <w:lvlJc w:val="left"/>
      <w:pPr>
        <w:ind w:left="480" w:hanging="240"/>
      </w:pPr>
    </w:lvl>
    <w:lvl w:ilvl="1" w:tplc="3CE2169A">
      <w:numFmt w:val="decimal"/>
      <w:lvlText w:val=""/>
      <w:lvlJc w:val="left"/>
    </w:lvl>
    <w:lvl w:ilvl="2" w:tplc="59688028">
      <w:numFmt w:val="decimal"/>
      <w:lvlText w:val=""/>
      <w:lvlJc w:val="left"/>
    </w:lvl>
    <w:lvl w:ilvl="3" w:tplc="DF704F6C">
      <w:numFmt w:val="decimal"/>
      <w:lvlText w:val=""/>
      <w:lvlJc w:val="left"/>
    </w:lvl>
    <w:lvl w:ilvl="4" w:tplc="6FA46DE0">
      <w:numFmt w:val="decimal"/>
      <w:lvlText w:val=""/>
      <w:lvlJc w:val="left"/>
    </w:lvl>
    <w:lvl w:ilvl="5" w:tplc="89CCC9BC">
      <w:numFmt w:val="decimal"/>
      <w:lvlText w:val=""/>
      <w:lvlJc w:val="left"/>
    </w:lvl>
    <w:lvl w:ilvl="6" w:tplc="B1348ABC">
      <w:numFmt w:val="decimal"/>
      <w:lvlText w:val=""/>
      <w:lvlJc w:val="left"/>
    </w:lvl>
    <w:lvl w:ilvl="7" w:tplc="D28A83E0">
      <w:numFmt w:val="decimal"/>
      <w:lvlText w:val=""/>
      <w:lvlJc w:val="left"/>
    </w:lvl>
    <w:lvl w:ilvl="8" w:tplc="C0C03BB0">
      <w:numFmt w:val="decimal"/>
      <w:lvlText w:val=""/>
      <w:lvlJc w:val="left"/>
    </w:lvl>
  </w:abstractNum>
  <w:abstractNum w:abstractNumId="2" w15:restartNumberingAfterBreak="0">
    <w:nsid w:val="480E778E"/>
    <w:multiLevelType w:val="hybridMultilevel"/>
    <w:tmpl w:val="9AF8CAF0"/>
    <w:lvl w:ilvl="0" w:tplc="E9D42B9E">
      <w:start w:val="1"/>
      <w:numFmt w:val="decimal"/>
      <w:lvlText w:val="%1."/>
      <w:lvlJc w:val="left"/>
      <w:pPr>
        <w:ind w:left="480" w:hanging="240"/>
      </w:pPr>
    </w:lvl>
    <w:lvl w:ilvl="1" w:tplc="D2467FA6">
      <w:numFmt w:val="decimal"/>
      <w:lvlText w:val=""/>
      <w:lvlJc w:val="left"/>
    </w:lvl>
    <w:lvl w:ilvl="2" w:tplc="9CF2897C">
      <w:numFmt w:val="decimal"/>
      <w:lvlText w:val=""/>
      <w:lvlJc w:val="left"/>
    </w:lvl>
    <w:lvl w:ilvl="3" w:tplc="DA78E59C">
      <w:numFmt w:val="decimal"/>
      <w:lvlText w:val=""/>
      <w:lvlJc w:val="left"/>
    </w:lvl>
    <w:lvl w:ilvl="4" w:tplc="3E70E416">
      <w:numFmt w:val="decimal"/>
      <w:lvlText w:val=""/>
      <w:lvlJc w:val="left"/>
    </w:lvl>
    <w:lvl w:ilvl="5" w:tplc="BBDA2734">
      <w:numFmt w:val="decimal"/>
      <w:lvlText w:val=""/>
      <w:lvlJc w:val="left"/>
    </w:lvl>
    <w:lvl w:ilvl="6" w:tplc="61380CA8">
      <w:numFmt w:val="decimal"/>
      <w:lvlText w:val=""/>
      <w:lvlJc w:val="left"/>
    </w:lvl>
    <w:lvl w:ilvl="7" w:tplc="C5A0449C">
      <w:numFmt w:val="decimal"/>
      <w:lvlText w:val=""/>
      <w:lvlJc w:val="left"/>
    </w:lvl>
    <w:lvl w:ilvl="8" w:tplc="95F8AFD6">
      <w:numFmt w:val="decimal"/>
      <w:lvlText w:val=""/>
      <w:lvlJc w:val="left"/>
    </w:lvl>
  </w:abstractNum>
  <w:num w:numId="1" w16cid:durableId="1878003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DE5"/>
    <w:rsid w:val="00114759"/>
    <w:rsid w:val="009D00CF"/>
    <w:rsid w:val="00C65357"/>
    <w:rsid w:val="00FD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5B507"/>
  <w15:docId w15:val="{9C1BCC65-2D0A-884B-9AD8-4CCE961E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907</Words>
  <Characters>4928</Characters>
  <Application>Microsoft Office Word</Application>
  <DocSecurity>0</DocSecurity>
  <Lines>91</Lines>
  <Paragraphs>35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Arsh Chowdhury</cp:lastModifiedBy>
  <cp:revision>2</cp:revision>
  <dcterms:created xsi:type="dcterms:W3CDTF">2026-03-28T01:47:00Z</dcterms:created>
  <dcterms:modified xsi:type="dcterms:W3CDTF">2026-03-28T02:06:00Z</dcterms:modified>
</cp:coreProperties>
</file>