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80"/>
        <w:jc w:val="center"/>
      </w:pPr>
      <w:r>
        <w:drawing>
          <wp:inline xmlns:a="http://schemas.openxmlformats.org/drawingml/2006/main" xmlns:pic="http://schemas.openxmlformats.org/drawingml/2006/picture">
            <wp:extent cx="3227832" cy="3081528"/>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227832" cy="3081528"/>
                    </a:xfrm>
                    <a:prstGeom prst="rect"/>
                  </pic:spPr>
                </pic:pic>
              </a:graphicData>
            </a:graphic>
          </wp:inline>
        </w:drawing>
      </w:r>
    </w:p>
    <w:p>
      <w:pPr>
        <w:spacing w:before="240" w:after="40" w:line="276" w:lineRule="auto"/>
        <w:jc w:val="center"/>
      </w:pPr>
      <w:r>
        <w:rPr>
          <w:rFonts w:ascii="Times New Roman" w:hAnsi="Times New Roman"/>
          <w:b/>
          <w:i w:val="0"/>
          <w:color w:val="000000"/>
          <w:sz w:val="28"/>
        </w:rPr>
        <w:t>Vellore Institute of Technology, Chennai</w:t>
      </w:r>
    </w:p>
    <w:p>
      <w:pPr>
        <w:spacing w:before="0" w:after="480" w:line="276" w:lineRule="auto"/>
        <w:jc w:val="center"/>
      </w:pPr>
      <w:r>
        <w:rPr>
          <w:rFonts w:ascii="Times New Roman" w:hAnsi="Times New Roman"/>
          <w:b/>
          <w:i w:val="0"/>
          <w:color w:val="000000"/>
          <w:sz w:val="25"/>
        </w:rPr>
        <w:t>Fall Semester( 2026-2027)</w:t>
      </w:r>
    </w:p>
    <w:p>
      <w:pPr>
        <w:spacing w:before="0" w:after="160" w:line="276" w:lineRule="auto"/>
        <w:jc w:val="center"/>
      </w:pPr>
      <w:r>
        <w:rPr>
          <w:rFonts w:ascii="Times New Roman" w:hAnsi="Times New Roman"/>
          <w:b/>
          <w:i w:val="0"/>
          <w:color w:val="000000"/>
          <w:sz w:val="24"/>
        </w:rPr>
        <w:t>Report File</w:t>
      </w:r>
    </w:p>
    <w:p>
      <w:pPr>
        <w:spacing w:before="0" w:after="160" w:line="276" w:lineRule="auto"/>
        <w:jc w:val="center"/>
      </w:pPr>
      <w:r>
        <w:rPr>
          <w:rFonts w:ascii="Times New Roman" w:hAnsi="Times New Roman"/>
          <w:b/>
          <w:i w:val="0"/>
          <w:color w:val="000000"/>
          <w:sz w:val="24"/>
        </w:rPr>
        <w:t>Course: CLOUD ARCHITECTURE DESIGN</w:t>
      </w:r>
    </w:p>
    <w:p>
      <w:pPr>
        <w:spacing w:before="0" w:after="160" w:line="276" w:lineRule="auto"/>
        <w:jc w:val="center"/>
      </w:pPr>
      <w:r>
        <w:rPr>
          <w:rFonts w:ascii="Times New Roman" w:hAnsi="Times New Roman"/>
          <w:b/>
          <w:i w:val="0"/>
          <w:color w:val="000000"/>
          <w:sz w:val="24"/>
        </w:rPr>
        <w:t>Course code: BCSE355L</w:t>
      </w:r>
    </w:p>
    <w:p>
      <w:pPr>
        <w:spacing w:before="0" w:after="160" w:line="276" w:lineRule="auto"/>
        <w:jc w:val="center"/>
      </w:pPr>
      <w:r>
        <w:rPr>
          <w:rFonts w:ascii="Times New Roman" w:hAnsi="Times New Roman"/>
          <w:b/>
          <w:i w:val="0"/>
          <w:color w:val="000000"/>
          <w:sz w:val="24"/>
        </w:rPr>
        <w:t>Faculty name: DR. KRITHIGA R</w:t>
      </w:r>
    </w:p>
    <w:p>
      <w:pPr>
        <w:spacing w:before="240" w:after="900" w:line="276" w:lineRule="auto"/>
        <w:jc w:val="center"/>
      </w:pPr>
      <w:r>
        <w:rPr>
          <w:rFonts w:ascii="Times New Roman" w:hAnsi="Times New Roman"/>
          <w:b/>
          <w:i w:val="0"/>
          <w:color w:val="000000"/>
          <w:sz w:val="24"/>
        </w:rPr>
        <w:t>Project Title: DocuIntel: Serverless Financial Document Intelligence &amp; Human-in-the-Loop Operations Platform on AWS</w:t>
      </w:r>
    </w:p>
    <w:p>
      <w:pPr>
        <w:spacing w:before="200" w:after="80" w:line="276" w:lineRule="auto"/>
        <w:jc w:val="left"/>
      </w:pPr>
      <w:r>
        <w:rPr>
          <w:rFonts w:ascii="Times New Roman" w:hAnsi="Times New Roman"/>
          <w:b/>
          <w:i w:val="0"/>
          <w:color w:val="000000"/>
          <w:sz w:val="21"/>
        </w:rPr>
        <w:t>TEAM MEMBERS:</w:t>
      </w:r>
    </w:p>
    <w:p>
      <w:pPr>
        <w:spacing w:before="20" w:after="40"/>
        <w:jc w:val="left"/>
      </w:pPr>
      <w:r>
        <w:rPr>
          <w:rFonts w:ascii="Times New Roman" w:hAnsi="Times New Roman"/>
          <w:b/>
          <w:sz w:val="20"/>
        </w:rPr>
        <w:t>NAME- ARSHDEEP PASRICHA ( 24BAI1501)</w:t>
        <w:br/>
        <w:t xml:space="preserve">               VANSHIKA SHARMA ( 24BDS1088)</w:t>
        <w:br/>
      </w:r>
    </w:p>
    <w:p>
      <w:r>
        <w:br w:type="page"/>
      </w:r>
    </w:p>
    <w:p>
      <w:pPr>
        <w:spacing w:before="80" w:after="40" w:line="276" w:lineRule="auto"/>
        <w:jc w:val="center"/>
      </w:pPr>
      <w:r>
        <w:rPr>
          <w:rFonts w:ascii="Times New Roman" w:hAnsi="Times New Roman"/>
          <w:b/>
          <w:i w:val="0"/>
          <w:color w:val="000000"/>
          <w:sz w:val="32"/>
        </w:rPr>
        <w:t>DocuIntel: Serverless Financial Document Intelligence &amp; Human-in-the-Loop Operations Platform on AWS</w:t>
      </w:r>
    </w:p>
    <w:p>
      <w:pPr>
        <w:spacing w:before="0" w:after="240" w:line="276" w:lineRule="auto"/>
        <w:jc w:val="center"/>
      </w:pPr>
      <w:r>
        <w:rPr>
          <w:rFonts w:ascii="Times New Roman" w:hAnsi="Times New Roman"/>
          <w:b w:val="0"/>
          <w:i w:val="0"/>
          <w:color w:val="000000"/>
          <w:sz w:val="21"/>
        </w:rPr>
        <w:t>School of Computer Science and Engineering (SCOPE), VIT Chennai</w:t>
      </w:r>
    </w:p>
    <w:p>
      <w:pPr>
        <w:spacing w:before="280" w:after="80" w:line="276" w:lineRule="auto"/>
        <w:jc w:val="left"/>
      </w:pPr>
      <w:r>
        <w:rPr>
          <w:rFonts w:ascii="Times New Roman" w:hAnsi="Times New Roman"/>
          <w:b/>
          <w:i w:val="0"/>
          <w:color w:val="000000"/>
          <w:sz w:val="26"/>
        </w:rPr>
        <w:t>1. ABSTRACT</w:t>
      </w:r>
    </w:p>
    <w:p>
      <w:pPr>
        <w:spacing w:before="0" w:after="70" w:line="276" w:lineRule="auto"/>
        <w:jc w:val="both"/>
      </w:pPr>
      <w:r>
        <w:rPr>
          <w:rFonts w:ascii="Times New Roman" w:hAnsi="Times New Roman"/>
          <w:b w:val="0"/>
          <w:i w:val="0"/>
          <w:color w:val="000000"/>
          <w:sz w:val="20"/>
        </w:rPr>
        <w:t>Modern corporate enterprises face pervasive operational bottlenecks in accounts payable (AP) workflows, where financial teams spend thousands of cumulative human hours manually transcribing unstructured invoices, receipts, and purchase orders into Enterprise Resource Planning (ERP) databases. Legacy document digitization solutions rely heavily on rigid, template-dependent Optical Character Recognition (OCR) running continuously on provisioned virtual machines (EC2), incurring substantial 24/7 idle infrastructure expenses while failing to extract tabular line-item hierarchies or handle natural document variations. Furthermore, existing automated extractors present severe regulatory compliance hazards by directly overwriting raw machine extractions upon human edit, thereby permanently obliterating the historical audit trail mandated by financial accounting standards.</w:t>
      </w:r>
    </w:p>
    <w:p>
      <w:pPr>
        <w:spacing w:before="0" w:after="70" w:line="276" w:lineRule="auto"/>
        <w:jc w:val="both"/>
      </w:pPr>
      <w:r>
        <w:rPr>
          <w:rFonts w:ascii="Times New Roman" w:hAnsi="Times New Roman"/>
          <w:b w:val="0"/>
          <w:i w:val="0"/>
          <w:color w:val="000000"/>
          <w:sz w:val="20"/>
        </w:rPr>
        <w:t>This project presents DocuIntel, an end-to-end cloud-native serverless document intelligence and human-in-the-loop operations platform engineered strictly on Amazon Web Services (AWS) using the Asia Pacific (Mumbai) region (ap-south-1). The platform introduces a multi-tier serverless ingestion and artificial intelligence pipeline: client web applications initiate cryptographic presigned PUT URLs via Amazon API Gateway, enabling direct binary transfer to an AES-256 encrypted Amazon S3 bucket without overloading API compute gateways. Automated document ingestion emits asynchronous S3 events that trigger AWS Lambda microservices running Python 3.12. Financial entities (Vendor Name, Invoice Number, Invoice Date, Due Date, Subtotal, Tax, Total, and line items) are parsed using a resilient multi-tier extraction pipeline integrating Amazon Textract AnalyzeExpense with an automated fallback to Amazon Rekognition DetectText and serverless PDF streaming.</w:t>
      </w:r>
    </w:p>
    <w:p>
      <w:pPr>
        <w:spacing w:before="0" w:after="70" w:line="276" w:lineRule="auto"/>
        <w:jc w:val="both"/>
      </w:pPr>
      <w:r>
        <w:rPr>
          <w:rFonts w:ascii="Times New Roman" w:hAnsi="Times New Roman"/>
          <w:b w:val="0"/>
          <w:i w:val="0"/>
          <w:color w:val="000000"/>
          <w:sz w:val="20"/>
        </w:rPr>
        <w:t>Extracted entities are stored in Amazon DynamoDB under a dual-attribute immutability architecture: the raw machine output is permanently sealed in rawExtraction, while verified auditor modifications, reviewer identity, and timestamps are recorded separately in correctedData. To empower enterprise operators, a production React 19 Vite single-page application provides a dual-pane verification workstation, automated mathematical reconciliation audit (Subtotal + Tax == Total), duplicate invoice collision detection, and 1-click accounting CSV and standard ERP JSON exports. Multi-tenant security is enforced across all tiers via Amazon Cognito User Pools with persistent background session renewal (REFRESH_TOKEN_AUTH). The entire architecture operates strictly within the AWS Free Tier, achieving an idle operational expenditure of exactly $0.00/month while providing 100% test pass verification across 36 backend and 18 frontend automated suites.</w:t>
      </w:r>
    </w:p>
    <w:p>
      <w:pPr>
        <w:spacing w:before="40" w:after="160"/>
        <w:jc w:val="both"/>
      </w:pPr>
      <w:r>
        <w:rPr>
          <w:rFonts w:ascii="Times New Roman" w:hAnsi="Times New Roman"/>
          <w:b/>
          <w:sz w:val="19"/>
        </w:rPr>
        <w:t xml:space="preserve">Keywords: </w:t>
      </w:r>
      <w:r>
        <w:rPr>
          <w:rFonts w:ascii="Times New Roman" w:hAnsi="Times New Roman"/>
          <w:sz w:val="19"/>
        </w:rPr>
        <w:t>Serverless Architecture, Amazon Textract, Amazon Rekognition, AWS Lambda, Amazon DynamoDB, Amazon Cognito, Human-in-the-Loop (HITL), Financial Document Intelligence, Immutable Audit Logging, Zero-Spend Free Tier.</w:t>
      </w:r>
    </w:p>
    <w:p>
      <w:pPr>
        <w:spacing w:before="280" w:after="80" w:line="276" w:lineRule="auto"/>
        <w:jc w:val="left"/>
      </w:pPr>
      <w:r>
        <w:rPr>
          <w:rFonts w:ascii="Times New Roman" w:hAnsi="Times New Roman"/>
          <w:b/>
          <w:i w:val="0"/>
          <w:color w:val="000000"/>
          <w:sz w:val="26"/>
        </w:rPr>
        <w:t>2. PROBLEM STATEMENT / OBJECTIVES OF THE WORK</w:t>
      </w:r>
    </w:p>
    <w:p>
      <w:pPr>
        <w:spacing w:before="200" w:after="60" w:line="276" w:lineRule="auto"/>
        <w:jc w:val="left"/>
      </w:pPr>
      <w:r>
        <w:rPr>
          <w:rFonts w:ascii="Times New Roman" w:hAnsi="Times New Roman"/>
          <w:b/>
          <w:i w:val="0"/>
          <w:color w:val="000000"/>
          <w:sz w:val="22"/>
        </w:rPr>
        <w:t>2.1 Industrial Context &amp; Accounts Payable Inefficiencies</w:t>
      </w:r>
    </w:p>
    <w:p>
      <w:pPr>
        <w:spacing w:before="0" w:after="70" w:line="276" w:lineRule="auto"/>
        <w:jc w:val="both"/>
      </w:pPr>
      <w:r>
        <w:rPr>
          <w:rFonts w:ascii="Times New Roman" w:hAnsi="Times New Roman"/>
          <w:b w:val="0"/>
          <w:i w:val="0"/>
          <w:color w:val="000000"/>
          <w:sz w:val="20"/>
        </w:rPr>
        <w:t>In global enterprise commerce, the invoice processing lifecycle represents one of the most labor-intensive and error-prone operational bottlenecks. According to financial workflow studies by Ardent Partners and the Institute of Finance and Management (IOFM), processing a single paper or PDF invoice manually costs mid-market enterprises between $9.25 and $15.80, with an average turnaround cycle of 8.6 to 14.2 days from receipt to approval. Over 72% of this overhead stems directly from manual data re-keying: accounts payable clerks must inspect visual PDFs or scanned paper receipts, locate disparate dates, invoice numbers, tax rates, and line items, and manually re-enter these records into accounting platforms such as SAP, Oracle NetSuite, or QuickBooks.</w:t>
      </w:r>
    </w:p>
    <w:p>
      <w:pPr>
        <w:spacing w:before="200" w:after="60" w:line="276" w:lineRule="auto"/>
        <w:jc w:val="left"/>
      </w:pPr>
      <w:r>
        <w:rPr>
          <w:rFonts w:ascii="Times New Roman" w:hAnsi="Times New Roman"/>
          <w:b/>
          <w:i w:val="0"/>
          <w:color w:val="000000"/>
          <w:sz w:val="22"/>
        </w:rPr>
        <w:t>2.2 Critical Limitations of Traditional OCR &amp; Monolithic Architectures</w:t>
      </w:r>
    </w:p>
    <w:p>
      <w:pPr>
        <w:spacing w:before="0" w:after="70" w:line="276" w:lineRule="auto"/>
        <w:jc w:val="both"/>
      </w:pPr>
      <w:r>
        <w:rPr>
          <w:rFonts w:ascii="Times New Roman" w:hAnsi="Times New Roman"/>
          <w:b w:val="0"/>
          <w:i w:val="0"/>
          <w:color w:val="000000"/>
          <w:sz w:val="20"/>
        </w:rPr>
        <w:t>Despite decades of software development in optical character recognition, conventional document automation deployments suffer from five fundamental architectural failure modes:</w:t>
      </w:r>
    </w:p>
    <w:p>
      <w:pPr>
        <w:pStyle w:val="ListBullet"/>
        <w:spacing w:before="20" w:after="50" w:line="276" w:lineRule="auto"/>
        <w:jc w:val="both"/>
      </w:pPr>
      <w:r>
        <w:rPr>
          <w:rFonts w:ascii="Times New Roman" w:hAnsi="Times New Roman"/>
          <w:b/>
          <w:sz w:val="20"/>
        </w:rPr>
        <w:t xml:space="preserve">1. The Provisioned Virtual Machine Idle Cost Trap: </w:t>
      </w:r>
      <w:r>
        <w:rPr>
          <w:rFonts w:ascii="Times New Roman" w:hAnsi="Times New Roman"/>
          <w:sz w:val="20"/>
        </w:rPr>
        <w:t>Traditional enterprise OCR software (e.g., Abbyy FlexiCapture, self-hosted Tesseract on EC2) requires continuously running server instances and provisioned database instances (RDS/PostgreSQL). In real-world enterprise operations, document arrival is highly bursty—invoices arrive in heavy batches at month-end closing, followed by prolonged periods of zero ingress during nights and weekends. A standard t3.medium EC2 instance paired with a db.t3.micro database costs between $65.00 and $120.00 every month even when processing zero documents.</w:t>
      </w:r>
    </w:p>
    <w:p>
      <w:pPr>
        <w:pStyle w:val="ListBullet"/>
        <w:spacing w:before="20" w:after="50" w:line="276" w:lineRule="auto"/>
        <w:jc w:val="both"/>
      </w:pPr>
      <w:r>
        <w:rPr>
          <w:rFonts w:ascii="Times New Roman" w:hAnsi="Times New Roman"/>
          <w:b/>
          <w:sz w:val="20"/>
        </w:rPr>
        <w:t xml:space="preserve">2. API Gateway Payload Limits &amp; Memory Bottlenecks: </w:t>
      </w:r>
      <w:r>
        <w:rPr>
          <w:rFonts w:ascii="Times New Roman" w:hAnsi="Times New Roman"/>
          <w:sz w:val="20"/>
        </w:rPr>
        <w:t>Legacy web platforms route high-resolution invoice PDFs (often 5 to 10 MB) directly through HTTP application servers and API gateways. Amazon API Gateway enforces a strict maximum payload ceiling of 10 MB. Ingesting large multipart binary documents through synchronous API proxies exhausts application memory, inflates Lambda duration billing, and introduces severe network latency.</w:t>
      </w:r>
    </w:p>
    <w:p>
      <w:pPr>
        <w:pStyle w:val="ListBullet"/>
        <w:spacing w:before="20" w:after="50" w:line="276" w:lineRule="auto"/>
        <w:jc w:val="both"/>
      </w:pPr>
      <w:r>
        <w:rPr>
          <w:rFonts w:ascii="Times New Roman" w:hAnsi="Times New Roman"/>
          <w:b/>
          <w:sz w:val="20"/>
        </w:rPr>
        <w:t xml:space="preserve">3. The Data Overwrite &amp; Audit Compliance Dilemma: </w:t>
      </w:r>
      <w:r>
        <w:rPr>
          <w:rFonts w:ascii="Times New Roman" w:hAnsi="Times New Roman"/>
          <w:sz w:val="20"/>
        </w:rPr>
        <w:t>Financial regulatory frameworks (such as Sarbanes-Oxley Section 404, GAAP, and IFRS) strictly mandate complete audit trails for accounts payable modifications. Most automated digitization tools directly overwrite extracted data values when a human user edits a typo, permanently destroying the original machine baseline and rendering post-payment fraud auditing impossible.</w:t>
      </w:r>
    </w:p>
    <w:p>
      <w:pPr>
        <w:pStyle w:val="ListBullet"/>
        <w:spacing w:before="20" w:after="50" w:line="276" w:lineRule="auto"/>
        <w:jc w:val="both"/>
      </w:pPr>
      <w:r>
        <w:rPr>
          <w:rFonts w:ascii="Times New Roman" w:hAnsi="Times New Roman"/>
          <w:b/>
          <w:sz w:val="20"/>
        </w:rPr>
        <w:t xml:space="preserve">4. Unchecked AI Hallucinations &amp; Arithmetic Errors: </w:t>
      </w:r>
      <w:r>
        <w:rPr>
          <w:rFonts w:ascii="Times New Roman" w:hAnsi="Times New Roman"/>
          <w:sz w:val="20"/>
        </w:rPr>
        <w:t>Machine learning models often hallucinate field values when scanning degraded receipts or complex multi-column layouts. Without automated arithmetic reconciliation checks, invoices containing calculation mismatches (e.g., Subtotal + Tax != Total) or duplicate invoices from vendors slip unnoticed into downstream payment ledgers, leading to duplicate disbursements.</w:t>
      </w:r>
    </w:p>
    <w:p>
      <w:pPr>
        <w:pStyle w:val="ListBullet"/>
        <w:spacing w:before="20" w:after="50" w:line="276" w:lineRule="auto"/>
        <w:jc w:val="both"/>
      </w:pPr>
      <w:r>
        <w:rPr>
          <w:rFonts w:ascii="Times New Roman" w:hAnsi="Times New Roman"/>
          <w:b/>
          <w:sz w:val="20"/>
        </w:rPr>
        <w:t xml:space="preserve">5. Token Expiration &amp; Multi-Tenant Session Drops: </w:t>
      </w:r>
      <w:r>
        <w:rPr>
          <w:rFonts w:ascii="Times New Roman" w:hAnsi="Times New Roman"/>
          <w:sz w:val="20"/>
        </w:rPr>
        <w:t>Single-page cloud applications frequently suffer from abrupt session drops. When a standard OAuth/Cognito JWT ID token expires after its default 60-minute lifetime, unhandled API 401 Unauthorized errors cause the application to abruptly wipe cached state, giving the illusion that user uploaded documents have disappeared from the cloud database.</w:t>
      </w:r>
    </w:p>
    <w:p>
      <w:pPr>
        <w:spacing w:before="200" w:after="60" w:line="276" w:lineRule="auto"/>
        <w:jc w:val="left"/>
      </w:pPr>
      <w:r>
        <w:rPr>
          <w:rFonts w:ascii="Times New Roman" w:hAnsi="Times New Roman"/>
          <w:b/>
          <w:i w:val="0"/>
          <w:color w:val="000000"/>
          <w:sz w:val="22"/>
        </w:rPr>
        <w:t>2.3 Objectives of the Work</w:t>
      </w:r>
    </w:p>
    <w:p>
      <w:pPr>
        <w:spacing w:before="0" w:after="70" w:line="276" w:lineRule="auto"/>
        <w:jc w:val="both"/>
      </w:pPr>
      <w:r>
        <w:rPr>
          <w:rFonts w:ascii="Times New Roman" w:hAnsi="Times New Roman"/>
          <w:b w:val="0"/>
          <w:i w:val="0"/>
          <w:color w:val="000000"/>
          <w:sz w:val="20"/>
        </w:rPr>
        <w:t>To systematically resolve the operational, architectural, and financial bottlenecks identified above, this project accomplishes six core engineering objectives:</w:t>
      </w:r>
    </w:p>
    <w:p>
      <w:pPr>
        <w:pStyle w:val="ListBullet"/>
        <w:spacing w:before="20" w:after="50" w:line="276" w:lineRule="auto"/>
        <w:jc w:val="both"/>
      </w:pPr>
      <w:r>
        <w:rPr>
          <w:rFonts w:ascii="Times New Roman" w:hAnsi="Times New Roman"/>
          <w:b/>
          <w:sz w:val="20"/>
        </w:rPr>
        <w:t xml:space="preserve">Objective 1 (Direct-to-Storage Serverless Ingestion): </w:t>
      </w:r>
      <w:r>
        <w:rPr>
          <w:rFonts w:ascii="Times New Roman" w:hAnsi="Times New Roman"/>
          <w:sz w:val="20"/>
        </w:rPr>
        <w:t>Design and deploy a direct client-to-S3 binary transfer pipeline utilizing short-lived (300-second) cryptographically signed presigned PUT URLs with strict MIME-type binding, completely bypassing API Gateway payload boundaries and eliminating server-side ingestion compute costs.</w:t>
      </w:r>
    </w:p>
    <w:p>
      <w:pPr>
        <w:pStyle w:val="ListBullet"/>
        <w:spacing w:before="20" w:after="50" w:line="276" w:lineRule="auto"/>
        <w:jc w:val="both"/>
      </w:pPr>
      <w:r>
        <w:rPr>
          <w:rFonts w:ascii="Times New Roman" w:hAnsi="Times New Roman"/>
          <w:b/>
          <w:sz w:val="20"/>
        </w:rPr>
        <w:t xml:space="preserve">Objective 2 (Resilient Multi-Tier AI/OCR Extraction Pipeline): </w:t>
      </w:r>
      <w:r>
        <w:rPr>
          <w:rFonts w:ascii="Times New Roman" w:hAnsi="Times New Roman"/>
          <w:sz w:val="20"/>
        </w:rPr>
        <w:t>Implement an event-driven AWS Lambda microservice in Python 3.12 that extracts financial entities and itemized line tables using Amazon Textract AnalyzeExpense, backed by an autonomous graceful fallback to Amazon Rekognition DetectText and PyPDF extraction to ensure 100% extraction availability.</w:t>
      </w:r>
    </w:p>
    <w:p>
      <w:pPr>
        <w:pStyle w:val="ListBullet"/>
        <w:spacing w:before="20" w:after="50" w:line="276" w:lineRule="auto"/>
        <w:jc w:val="both"/>
      </w:pPr>
      <w:r>
        <w:rPr>
          <w:rFonts w:ascii="Times New Roman" w:hAnsi="Times New Roman"/>
          <w:b/>
          <w:sz w:val="20"/>
        </w:rPr>
        <w:t xml:space="preserve">Objective 3 (Audit-Compliant Immutability Architecture): </w:t>
      </w:r>
      <w:r>
        <w:rPr>
          <w:rFonts w:ascii="Times New Roman" w:hAnsi="Times New Roman"/>
          <w:sz w:val="20"/>
        </w:rPr>
        <w:t>Engineer an on-demand Amazon DynamoDB schema enforcing strict data immutability: permanently sealing raw machine extractions in rawExtraction while recording human auditor edits, reviewer identity, and audit timestamps in a dedicated correctedData structure.</w:t>
      </w:r>
    </w:p>
    <w:p>
      <w:pPr>
        <w:pStyle w:val="ListBullet"/>
        <w:spacing w:before="20" w:after="50" w:line="276" w:lineRule="auto"/>
        <w:jc w:val="both"/>
      </w:pPr>
      <w:r>
        <w:rPr>
          <w:rFonts w:ascii="Times New Roman" w:hAnsi="Times New Roman"/>
          <w:b/>
          <w:sz w:val="20"/>
        </w:rPr>
        <w:t xml:space="preserve">Objective 4 (Automated Financial Arithmetic &amp; Anti-Fraud Guard): </w:t>
      </w:r>
      <w:r>
        <w:rPr>
          <w:rFonts w:ascii="Times New Roman" w:hAnsi="Times New Roman"/>
          <w:sz w:val="20"/>
        </w:rPr>
        <w:t>Construct real-time client validation engines that automatically perform arithmetic verification (Subtotal + Tax == Total Amount) and historical cross-referencing to flag duplicate invoice numbers from identical vendors prior to payment approval.</w:t>
      </w:r>
    </w:p>
    <w:p>
      <w:pPr>
        <w:pStyle w:val="ListBullet"/>
        <w:spacing w:before="20" w:after="50" w:line="276" w:lineRule="auto"/>
        <w:jc w:val="both"/>
      </w:pPr>
      <w:r>
        <w:rPr>
          <w:rFonts w:ascii="Times New Roman" w:hAnsi="Times New Roman"/>
          <w:b/>
          <w:sz w:val="20"/>
        </w:rPr>
        <w:t xml:space="preserve">Objective 5 (Zero-Downtime Multi-Tenant Authentication): </w:t>
      </w:r>
      <w:r>
        <w:rPr>
          <w:rFonts w:ascii="Times New Roman" w:hAnsi="Times New Roman"/>
          <w:sz w:val="20"/>
        </w:rPr>
        <w:t>Implement Amazon Cognito User Pool authentication with granular sub partition isolation, paired with automatic silent token renewal (REFRESH_TOKEN_AUTH) to maintain seamless user sessions across page reloads.</w:t>
      </w:r>
    </w:p>
    <w:p>
      <w:pPr>
        <w:pStyle w:val="ListBullet"/>
        <w:spacing w:before="20" w:after="50" w:line="276" w:lineRule="auto"/>
        <w:jc w:val="both"/>
      </w:pPr>
      <w:r>
        <w:rPr>
          <w:rFonts w:ascii="Times New Roman" w:hAnsi="Times New Roman"/>
          <w:b/>
          <w:sz w:val="20"/>
        </w:rPr>
        <w:t xml:space="preserve">Objective 6 (Production Web Workstation &amp; Cost Optimization): </w:t>
      </w:r>
      <w:r>
        <w:rPr>
          <w:rFonts w:ascii="Times New Roman" w:hAnsi="Times New Roman"/>
          <w:sz w:val="20"/>
        </w:rPr>
        <w:t>Develop and host an enterprise-grade React 19 Vite operations workstation on S3 Static Website Hosting with 1-click accounting CSV and ERP JSON export capabilities, operating strictly within the AWS Free Tier at $0.00 monthly baseline expenditure.</w:t>
      </w:r>
    </w:p>
    <w:p>
      <w:pPr>
        <w:spacing w:before="200" w:after="60" w:line="276" w:lineRule="auto"/>
        <w:jc w:val="left"/>
      </w:pPr>
      <w:r>
        <w:rPr>
          <w:rFonts w:ascii="Times New Roman" w:hAnsi="Times New Roman"/>
          <w:b/>
          <w:i w:val="0"/>
          <w:color w:val="000000"/>
          <w:sz w:val="22"/>
        </w:rPr>
        <w:t>2.4 Scope and Technical Constraints</w:t>
      </w:r>
    </w:p>
    <w:p>
      <w:pPr>
        <w:spacing w:before="0" w:after="70" w:line="276" w:lineRule="auto"/>
        <w:jc w:val="both"/>
      </w:pPr>
      <w:r>
        <w:rPr>
          <w:rFonts w:ascii="Times New Roman" w:hAnsi="Times New Roman"/>
          <w:b w:val="0"/>
          <w:i w:val="0"/>
          <w:color w:val="000000"/>
          <w:sz w:val="20"/>
        </w:rPr>
        <w:t>The project scope encompasses real-world financial documents (PDF invoices, PNG/JPEG retail receipts, purchase orders) up to 10 MB in file size. The platform is deployed in AWS Region ap-south-1 (Mumbai). The backend architecture is strictly serverless (AWS Lambda, S3, DynamoDB, API Gateway, Cognito, CloudWatch, Textract, Rekognition) with zero provisioned EC2 or container clusters. All automated testing is verified through Pytest and Node.js test runners.</w:t>
      </w:r>
    </w:p>
    <w:p>
      <w:r>
        <w:br w:type="page"/>
      </w:r>
    </w:p>
    <w:p>
      <w:pPr>
        <w:spacing w:before="280" w:after="80" w:line="276" w:lineRule="auto"/>
        <w:jc w:val="left"/>
      </w:pPr>
      <w:r>
        <w:rPr>
          <w:rFonts w:ascii="Times New Roman" w:hAnsi="Times New Roman"/>
          <w:b/>
          <w:i w:val="0"/>
          <w:color w:val="000000"/>
          <w:sz w:val="26"/>
        </w:rPr>
        <w:t>3. INDIVIDUAL CONTRIBUTIONS &amp; WORK ALLOCATION</w:t>
      </w:r>
    </w:p>
    <w:p>
      <w:pPr>
        <w:spacing w:before="0" w:after="50" w:line="276" w:lineRule="auto"/>
        <w:jc w:val="both"/>
      </w:pPr>
      <w:r>
        <w:rPr>
          <w:rFonts w:ascii="Times New Roman" w:hAnsi="Times New Roman"/>
          <w:b w:val="0"/>
          <w:i w:val="0"/>
          <w:color w:val="000000"/>
          <w:sz w:val="19"/>
        </w:rPr>
        <w:t>The DocuIntel platform was architected and implemented through an equitable 50/50 division of engineering responsibilities between the two team members, decoupling the system into Cloud Backend / AI Infrastructure (led by Arshdeep Pasricha) and Frontend Operations / Financial Analytics (led by Vanshika Sharma). Both members collaborated on API contracts, security invariants, and testing.</w:t>
      </w:r>
    </w:p>
    <w:p>
      <w:pPr>
        <w:spacing w:before="80" w:after="30"/>
      </w:pPr>
      <w:r>
        <w:rPr>
          <w:rFonts w:ascii="Times New Roman" w:hAnsi="Times New Roman"/>
          <w:b/>
          <w:sz w:val="21"/>
        </w:rPr>
        <w:t>3.1 Arshdeep Pasricha (Reg No: 24BAI1501) — Cloud Infrastructure &amp; Backend Lead</w:t>
      </w:r>
    </w:p>
    <w:p>
      <w:pPr>
        <w:pStyle w:val="ListBullet"/>
        <w:spacing w:before="0" w:after="20" w:line="252" w:lineRule="auto"/>
        <w:jc w:val="both"/>
      </w:pPr>
      <w:r>
        <w:rPr>
          <w:rFonts w:ascii="Times New Roman" w:hAnsi="Times New Roman"/>
          <w:b/>
          <w:sz w:val="17"/>
        </w:rPr>
        <w:t xml:space="preserve">AWS Lambda Microservices Architecture: </w:t>
      </w:r>
      <w:r>
        <w:rPr>
          <w:rFonts w:ascii="Times New Roman" w:hAnsi="Times New Roman"/>
          <w:sz w:val="17"/>
        </w:rPr>
        <w:t>Engineered 5 event-driven microservices in Python 3.12 (create-upload, process-document, get-document, list-documents, save-corrections) with standardized CORS, Decimal float serialization, and structured logging.</w:t>
      </w:r>
    </w:p>
    <w:p>
      <w:pPr>
        <w:pStyle w:val="ListBullet"/>
        <w:spacing w:before="0" w:after="20" w:line="252" w:lineRule="auto"/>
        <w:jc w:val="both"/>
      </w:pPr>
      <w:r>
        <w:rPr>
          <w:rFonts w:ascii="Times New Roman" w:hAnsi="Times New Roman"/>
          <w:b/>
          <w:sz w:val="17"/>
        </w:rPr>
        <w:t xml:space="preserve">Multi-Tier AI/OCR Extraction Pipeline: </w:t>
      </w:r>
      <w:r>
        <w:rPr>
          <w:rFonts w:ascii="Times New Roman" w:hAnsi="Times New Roman"/>
          <w:sz w:val="17"/>
        </w:rPr>
        <w:t>Built document_extractor.py with Amazon Textract AnalyzeExpense API and implemented autonomous multi-tier fallback to Amazon Rekognition DetectText and PyPDF for 100% extraction availability.</w:t>
      </w:r>
    </w:p>
    <w:p>
      <w:pPr>
        <w:pStyle w:val="ListBullet"/>
        <w:spacing w:before="0" w:after="20" w:line="252" w:lineRule="auto"/>
        <w:jc w:val="both"/>
      </w:pPr>
      <w:r>
        <w:rPr>
          <w:rFonts w:ascii="Times New Roman" w:hAnsi="Times New Roman"/>
          <w:b/>
          <w:sz w:val="17"/>
        </w:rPr>
        <w:t xml:space="preserve">Amazon DynamoDB Persistence &amp; Immutability Schema: </w:t>
      </w:r>
      <w:r>
        <w:rPr>
          <w:rFonts w:ascii="Times New Roman" w:hAnsi="Times New Roman"/>
          <w:sz w:val="17"/>
        </w:rPr>
        <w:t>Designed On-Demand table with UserDocumentsIndex GSI, recursive Decimal precision conversion, and financial audit compliance preserving rawExtraction intact while writing edits to correctedData.</w:t>
      </w:r>
    </w:p>
    <w:p>
      <w:pPr>
        <w:pStyle w:val="ListBullet"/>
        <w:spacing w:before="0" w:after="20" w:line="252" w:lineRule="auto"/>
        <w:jc w:val="both"/>
      </w:pPr>
      <w:r>
        <w:rPr>
          <w:rFonts w:ascii="Times New Roman" w:hAnsi="Times New Roman"/>
          <w:b/>
          <w:sz w:val="17"/>
        </w:rPr>
        <w:t xml:space="preserve">S3 Presigned Ingestion &amp; Observability: </w:t>
      </w:r>
      <w:r>
        <w:rPr>
          <w:rFonts w:ascii="Times New Roman" w:hAnsi="Times New Roman"/>
          <w:sz w:val="17"/>
        </w:rPr>
        <w:t>Built 300s presigned PUT URLs with cryptographic MIME binding, 14-day CloudWatch log retention, metric filters (DocumentProcessingErrors), and 36 passing Pytest automated tests.</w:t>
      </w:r>
    </w:p>
    <w:p>
      <w:pPr>
        <w:spacing w:before="80" w:after="30"/>
      </w:pPr>
      <w:r>
        <w:rPr>
          <w:rFonts w:ascii="Times New Roman" w:hAnsi="Times New Roman"/>
          <w:b/>
          <w:sz w:val="21"/>
        </w:rPr>
        <w:t>3.2 Vanshika Sharma (Reg No: 24BDS1088) — Frontend Operations &amp; Financial Analytics Lead</w:t>
      </w:r>
    </w:p>
    <w:p>
      <w:pPr>
        <w:pStyle w:val="ListBullet"/>
        <w:spacing w:before="0" w:after="20" w:line="252" w:lineRule="auto"/>
        <w:jc w:val="both"/>
      </w:pPr>
      <w:r>
        <w:rPr>
          <w:rFonts w:ascii="Times New Roman" w:hAnsi="Times New Roman"/>
          <w:b/>
          <w:sz w:val="17"/>
        </w:rPr>
        <w:t xml:space="preserve">Financial Operations Web Application Architecture: </w:t>
      </w:r>
      <w:r>
        <w:rPr>
          <w:rFonts w:ascii="Times New Roman" w:hAnsi="Times New Roman"/>
          <w:sz w:val="17"/>
        </w:rPr>
        <w:t>Built the React 19 single-page application using Vite, React Router v7, and custom financial operations design system with Inter/Outfit typography, tabular numbers, and zero dark glassmorphism.</w:t>
      </w:r>
    </w:p>
    <w:p>
      <w:pPr>
        <w:pStyle w:val="ListBullet"/>
        <w:spacing w:before="0" w:after="20" w:line="252" w:lineRule="auto"/>
        <w:jc w:val="both"/>
      </w:pPr>
      <w:r>
        <w:rPr>
          <w:rFonts w:ascii="Times New Roman" w:hAnsi="Times New Roman"/>
          <w:b/>
          <w:sz w:val="17"/>
        </w:rPr>
        <w:t xml:space="preserve">Amazon Cognito Authentication &amp; Session Persistence: </w:t>
      </w:r>
      <w:r>
        <w:rPr>
          <w:rFonts w:ascii="Times New Roman" w:hAnsi="Times New Roman"/>
          <w:sz w:val="17"/>
        </w:rPr>
        <w:t>Integrated Cognito User Pool auth, resolving 60-min token drops via silent token renewal (REFRESH_TOKEN_AUTH) and fetchWithAuth interceptors to keep uploads visible across reloads.</w:t>
      </w:r>
    </w:p>
    <w:p>
      <w:pPr>
        <w:pStyle w:val="ListBullet"/>
        <w:spacing w:before="0" w:after="20" w:line="252" w:lineRule="auto"/>
        <w:jc w:val="both"/>
      </w:pPr>
      <w:r>
        <w:rPr>
          <w:rFonts w:ascii="Times New Roman" w:hAnsi="Times New Roman"/>
          <w:b/>
          <w:sz w:val="17"/>
        </w:rPr>
        <w:t xml:space="preserve">Human-in-the-Loop Review Workstation: </w:t>
      </w:r>
      <w:r>
        <w:rPr>
          <w:rFonts w:ascii="Times New Roman" w:hAnsi="Times New Roman"/>
          <w:sz w:val="17"/>
        </w:rPr>
        <w:t>Developed dual-pane DocumentReviewPage with embedded invoice viewer, editable fields, itemized line tables, and visual amber badges for low-confidence (&lt;80%) OCR extractions.</w:t>
      </w:r>
    </w:p>
    <w:p>
      <w:pPr>
        <w:pStyle w:val="ListBullet"/>
        <w:spacing w:before="0" w:after="20" w:line="252" w:lineRule="auto"/>
        <w:jc w:val="both"/>
      </w:pPr>
      <w:r>
        <w:rPr>
          <w:rFonts w:ascii="Times New Roman" w:hAnsi="Times New Roman"/>
          <w:b/>
          <w:sz w:val="17"/>
        </w:rPr>
        <w:t xml:space="preserve">Financial Arithmetic Audit, Anti-Fraud &amp; ERP Exports: </w:t>
      </w:r>
      <w:r>
        <w:rPr>
          <w:rFonts w:ascii="Times New Roman" w:hAnsi="Times New Roman"/>
          <w:sz w:val="17"/>
        </w:rPr>
        <w:t>Engineered real-time math audit (Subtotal + Tax == Total), duplicate invoice detector, and 1-click accounting CSV and enterprise ERP JSON export suite (exportUtils.js), backed by 18 Node.js tests.</w:t>
      </w:r>
    </w:p>
    <w:p>
      <w:pPr>
        <w:spacing w:before="80" w:after="30"/>
      </w:pPr>
      <w:r>
        <w:rPr>
          <w:rFonts w:ascii="Times New Roman" w:hAnsi="Times New Roman"/>
          <w:b/>
          <w:sz w:val="21"/>
        </w:rPr>
        <w:t>3.3 Collaborative Module Responsibility Matrix</w:t>
      </w:r>
    </w:p>
    <w:p>
      <w:pPr>
        <w:spacing w:before="120" w:after="40"/>
        <w:jc w:val="left"/>
      </w:pPr>
      <w:r>
        <w:rPr>
          <w:rFonts w:ascii="Times New Roman" w:hAnsi="Times New Roman"/>
          <w:b/>
          <w:sz w:val="18"/>
        </w:rPr>
        <w:t>Table 1: Collaborative Engineering Responsibility &amp; Module Ownership Matrix.</w:t>
      </w:r>
    </w:p>
    <w:tbl>
      <w:tblPr>
        <w:tblW w:type="auto" w:w="0"/>
        <w:jc w:val="center"/>
        <w:tblLayout w:type="fixed"/>
        <w:tblLook w:firstColumn="1" w:firstRow="1" w:lastColumn="0" w:lastRow="0" w:noHBand="0" w:noVBand="1" w:val="04A0"/>
      </w:tblPr>
      <w:tblGrid>
        <w:gridCol w:w="1892"/>
        <w:gridCol w:w="1892"/>
        <w:gridCol w:w="1892"/>
        <w:gridCol w:w="1892"/>
        <w:gridCol w:w="1892"/>
      </w:tblGrid>
      <w:tr>
        <w:trPr>
          <w:tblHeader/>
        </w:trPr>
        <w:tc>
          <w:tcPr>
            <w:tcW w:type="dxa" w:w="2160"/>
            <w:tcMar>
              <w:top w:w="35" w:type="dxa"/>
              <w:bottom w:w="35"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6"/>
              </w:rPr>
              <w:t>Subsystem / Module</w:t>
            </w:r>
          </w:p>
        </w:tc>
        <w:tc>
          <w:tcPr>
            <w:tcW w:type="dxa" w:w="1584"/>
            <w:tcMar>
              <w:top w:w="35" w:type="dxa"/>
              <w:bottom w:w="35"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6"/>
              </w:rPr>
              <w:t>Primary Lead</w:t>
            </w:r>
          </w:p>
        </w:tc>
        <w:tc>
          <w:tcPr>
            <w:tcW w:type="dxa" w:w="1296"/>
            <w:tcMar>
              <w:top w:w="35" w:type="dxa"/>
              <w:bottom w:w="35"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6"/>
              </w:rPr>
              <w:t>Secondary</w:t>
            </w:r>
          </w:p>
        </w:tc>
        <w:tc>
          <w:tcPr>
            <w:tcW w:type="dxa" w:w="2736"/>
            <w:tcMar>
              <w:top w:w="35" w:type="dxa"/>
              <w:bottom w:w="35"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6"/>
              </w:rPr>
              <w:t>Deliverable Artifacts</w:t>
            </w:r>
          </w:p>
        </w:tc>
        <w:tc>
          <w:tcPr>
            <w:tcW w:type="dxa" w:w="1584"/>
            <w:tcMar>
              <w:top w:w="35" w:type="dxa"/>
              <w:bottom w:w="35"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6"/>
              </w:rPr>
              <w:t>Verification</w:t>
            </w:r>
          </w:p>
        </w:tc>
      </w:tr>
      <w:tr>
        <w:tc>
          <w:tcPr>
            <w:tcW w:type="dxa" w:w="2160"/>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Lambda Microservices (5 APIs)</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Pasricha</w:t>
            </w:r>
          </w:p>
        </w:tc>
        <w:tc>
          <w:tcPr>
            <w:tcW w:type="dxa" w:w="129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w:t>
            </w:r>
          </w:p>
        </w:tc>
        <w:tc>
          <w:tcPr>
            <w:tcW w:type="dxa" w:w="273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handler.py across 5 functions</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(36 Tests)</w:t>
            </w:r>
          </w:p>
        </w:tc>
      </w:tr>
      <w:tr>
        <w:tc>
          <w:tcPr>
            <w:tcW w:type="dxa" w:w="2160"/>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Multi-Tier AI/OCR Engine</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Pasricha</w:t>
            </w:r>
          </w:p>
        </w:tc>
        <w:tc>
          <w:tcPr>
            <w:tcW w:type="dxa" w:w="129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w:t>
            </w:r>
          </w:p>
        </w:tc>
        <w:tc>
          <w:tcPr>
            <w:tcW w:type="dxa" w:w="273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document_extractor.py, Rekognition</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(Live AWS)</w:t>
            </w:r>
          </w:p>
        </w:tc>
      </w:tr>
      <w:tr>
        <w:tc>
          <w:tcPr>
            <w:tcW w:type="dxa" w:w="2160"/>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DynamoDB Immutability Schema</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Pasricha</w:t>
            </w:r>
          </w:p>
        </w:tc>
        <w:tc>
          <w:tcPr>
            <w:tcW w:type="dxa" w:w="129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w:t>
            </w:r>
          </w:p>
        </w:tc>
        <w:tc>
          <w:tcPr>
            <w:tcW w:type="dxa" w:w="273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models.py, DecimalEncoder, GSI</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(Verified)</w:t>
            </w:r>
          </w:p>
        </w:tc>
      </w:tr>
      <w:tr>
        <w:tc>
          <w:tcPr>
            <w:tcW w:type="dxa" w:w="2160"/>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S3 Presigned Ingestion</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Pasricha</w:t>
            </w:r>
          </w:p>
        </w:tc>
        <w:tc>
          <w:tcPr>
            <w:tcW w:type="dxa" w:w="129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w:t>
            </w:r>
          </w:p>
        </w:tc>
        <w:tc>
          <w:tcPr>
            <w:tcW w:type="dxa" w:w="273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create-upload handler, S3 CORS</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(Direct PUT)</w:t>
            </w:r>
          </w:p>
        </w:tc>
      </w:tr>
      <w:tr>
        <w:tc>
          <w:tcPr>
            <w:tcW w:type="dxa" w:w="2160"/>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Cognito Auth &amp; Session Renewal</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Sharma</w:t>
            </w:r>
          </w:p>
        </w:tc>
        <w:tc>
          <w:tcPr>
            <w:tcW w:type="dxa" w:w="129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w:t>
            </w:r>
          </w:p>
        </w:tc>
        <w:tc>
          <w:tcPr>
            <w:tcW w:type="dxa" w:w="273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authService.js, AuthContext.jsx</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(Auto-Refresh)</w:t>
            </w:r>
          </w:p>
        </w:tc>
      </w:tr>
      <w:tr>
        <w:tc>
          <w:tcPr>
            <w:tcW w:type="dxa" w:w="2160"/>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React Operations Dashboard</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Sharma</w:t>
            </w:r>
          </w:p>
        </w:tc>
        <w:tc>
          <w:tcPr>
            <w:tcW w:type="dxa" w:w="129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w:t>
            </w:r>
          </w:p>
        </w:tc>
        <w:tc>
          <w:tcPr>
            <w:tcW w:type="dxa" w:w="273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DashboardPage.jsx, MetricsCards.jsx</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(S3 Hosted)</w:t>
            </w:r>
          </w:p>
        </w:tc>
      </w:tr>
      <w:tr>
        <w:tc>
          <w:tcPr>
            <w:tcW w:type="dxa" w:w="2160"/>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Human-in-the-Loop Review UI</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Sharma</w:t>
            </w:r>
          </w:p>
        </w:tc>
        <w:tc>
          <w:tcPr>
            <w:tcW w:type="dxa" w:w="129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w:t>
            </w:r>
          </w:p>
        </w:tc>
        <w:tc>
          <w:tcPr>
            <w:tcW w:type="dxa" w:w="273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DocumentReviewPage.jsx Workstation</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(Interactive)</w:t>
            </w:r>
          </w:p>
        </w:tc>
      </w:tr>
      <w:tr>
        <w:tc>
          <w:tcPr>
            <w:tcW w:type="dxa" w:w="2160"/>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Financial Arithmetic Audit</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Sharma</w:t>
            </w:r>
          </w:p>
        </w:tc>
        <w:tc>
          <w:tcPr>
            <w:tcW w:type="dxa" w:w="129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w:t>
            </w:r>
          </w:p>
        </w:tc>
        <w:tc>
          <w:tcPr>
            <w:tcW w:type="dxa" w:w="273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Math reconciliation logic &amp; Alerts</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(Live Audit)</w:t>
            </w:r>
          </w:p>
        </w:tc>
      </w:tr>
      <w:tr>
        <w:tc>
          <w:tcPr>
            <w:tcW w:type="dxa" w:w="2160"/>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Duplicate Invoice Guard</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Sharma</w:t>
            </w:r>
          </w:p>
        </w:tc>
        <w:tc>
          <w:tcPr>
            <w:tcW w:type="dxa" w:w="129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w:t>
            </w:r>
          </w:p>
        </w:tc>
        <w:tc>
          <w:tcPr>
            <w:tcW w:type="dxa" w:w="273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Historical collision checking engine</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(Anti-Fraud)</w:t>
            </w:r>
          </w:p>
        </w:tc>
      </w:tr>
      <w:tr>
        <w:tc>
          <w:tcPr>
            <w:tcW w:type="dxa" w:w="2160"/>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Enterprise Export Suite</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Sharma</w:t>
            </w:r>
          </w:p>
        </w:tc>
        <w:tc>
          <w:tcPr>
            <w:tcW w:type="dxa" w:w="129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w:t>
            </w:r>
          </w:p>
        </w:tc>
        <w:tc>
          <w:tcPr>
            <w:tcW w:type="dxa" w:w="273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exportUtils.js (CSV &amp; ERP JSON)</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(1-Click)</w:t>
            </w:r>
          </w:p>
        </w:tc>
      </w:tr>
      <w:tr>
        <w:tc>
          <w:tcPr>
            <w:tcW w:type="dxa" w:w="2160"/>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API Gateway Infrastructure</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Pasricha</w:t>
            </w:r>
          </w:p>
        </w:tc>
        <w:tc>
          <w:tcPr>
            <w:tcW w:type="dxa" w:w="129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w:t>
            </w:r>
          </w:p>
        </w:tc>
        <w:tc>
          <w:tcPr>
            <w:tcW w:type="dxa" w:w="273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wxgm03t7wc API, Cognito Authorizer</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(Prod HTTPS)</w:t>
            </w:r>
          </w:p>
        </w:tc>
      </w:tr>
      <w:tr>
        <w:tc>
          <w:tcPr>
            <w:tcW w:type="dxa" w:w="2160"/>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CloudWatch Observability Suite</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Arshdeep Pasricha</w:t>
            </w:r>
          </w:p>
        </w:tc>
        <w:tc>
          <w:tcPr>
            <w:tcW w:type="dxa" w:w="129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Vanshika S.</w:t>
            </w:r>
          </w:p>
        </w:tc>
        <w:tc>
          <w:tcPr>
            <w:tcW w:type="dxa" w:w="2736"/>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Metric Filters, Alarms, Dashboard</w:t>
            </w:r>
          </w:p>
        </w:tc>
        <w:tc>
          <w:tcPr>
            <w:tcW w:type="dxa" w:w="1584"/>
            <w:tcMar>
              <w:top w:w="35" w:type="dxa"/>
              <w:bottom w:w="35"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PASSED (Live Monitor)</w:t>
            </w:r>
          </w:p>
        </w:tc>
      </w:tr>
      <w:tr>
        <w:tc>
          <w:tcPr>
            <w:tcW w:type="dxa" w:w="2160"/>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Automated Test Suites (54 Tests)</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Joint Ownership</w:t>
            </w:r>
          </w:p>
        </w:tc>
        <w:tc>
          <w:tcPr>
            <w:tcW w:type="dxa" w:w="129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Joint</w:t>
            </w:r>
          </w:p>
        </w:tc>
        <w:tc>
          <w:tcPr>
            <w:tcW w:type="dxa" w:w="2736"/>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6"/>
              </w:rPr>
              <w:t>Pytest (36) + Node.js (18) Suites</w:t>
            </w:r>
          </w:p>
        </w:tc>
        <w:tc>
          <w:tcPr>
            <w:tcW w:type="dxa" w:w="1584"/>
            <w:tcMar>
              <w:top w:w="35" w:type="dxa"/>
              <w:bottom w:w="35"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6"/>
              </w:rPr>
              <w:t>100% Pass Rate</w:t>
            </w:r>
          </w:p>
        </w:tc>
      </w:tr>
    </w:tbl>
    <w:p>
      <w:pPr>
        <w:spacing w:before="0" w:after="40"/>
      </w:pPr>
    </w:p>
    <w:p>
      <w:r>
        <w:br w:type="page"/>
      </w:r>
    </w:p>
    <w:p>
      <w:pPr>
        <w:spacing w:before="280" w:after="80" w:line="276" w:lineRule="auto"/>
        <w:jc w:val="left"/>
      </w:pPr>
      <w:r>
        <w:rPr>
          <w:rFonts w:ascii="Times New Roman" w:hAnsi="Times New Roman"/>
          <w:b/>
          <w:i w:val="0"/>
          <w:color w:val="000000"/>
          <w:sz w:val="26"/>
        </w:rPr>
        <w:t>4. SYSTEM ARCHITECTURE &amp; METHODOLOGY</w:t>
      </w:r>
    </w:p>
    <w:p>
      <w:pPr>
        <w:spacing w:before="200" w:after="60" w:line="276" w:lineRule="auto"/>
        <w:jc w:val="left"/>
      </w:pPr>
      <w:r>
        <w:rPr>
          <w:rFonts w:ascii="Times New Roman" w:hAnsi="Times New Roman"/>
          <w:b/>
          <w:i w:val="0"/>
          <w:color w:val="000000"/>
          <w:sz w:val="22"/>
        </w:rPr>
        <w:t>4.1 End-to-End Serverless Cloud Topology &amp; Data Flow</w:t>
      </w:r>
    </w:p>
    <w:p>
      <w:pPr>
        <w:spacing w:before="0" w:after="70" w:line="276" w:lineRule="auto"/>
        <w:jc w:val="both"/>
      </w:pPr>
      <w:r>
        <w:rPr>
          <w:rFonts w:ascii="Times New Roman" w:hAnsi="Times New Roman"/>
          <w:b w:val="0"/>
          <w:i w:val="0"/>
          <w:color w:val="000000"/>
          <w:sz w:val="20"/>
        </w:rPr>
        <w:t>The DocuIntel platform is engineered as a fully serverless, event-driven multi-tenant cloud application deployed in the AWS Asia Pacific (Mumbai) region. The architectural topology is organized into five strictly decoupled functional tiers: Presentation Tier, Security &amp; Ingress Tier, Compute Tier, Artificial Intelligence / OCR Tier, and Persistence Tier.</w:t>
      </w:r>
    </w:p>
    <w:p>
      <w:pPr>
        <w:spacing w:before="0" w:after="70" w:line="276" w:lineRule="auto"/>
        <w:jc w:val="both"/>
      </w:pPr>
      <w:r>
        <w:rPr>
          <w:rFonts w:ascii="Times New Roman" w:hAnsi="Times New Roman"/>
          <w:b w:val="0"/>
          <w:i w:val="0"/>
          <w:color w:val="000000"/>
          <w:sz w:val="20"/>
        </w:rPr>
        <w:t>Table 2 summarizes the live AWS cloud resources, identifiers, and configuration parameters comprising the production infrastructure.</w:t>
      </w:r>
    </w:p>
    <w:p>
      <w:pPr>
        <w:spacing w:before="120" w:after="40"/>
        <w:jc w:val="left"/>
      </w:pPr>
      <w:r>
        <w:rPr>
          <w:rFonts w:ascii="Times New Roman" w:hAnsi="Times New Roman"/>
          <w:b/>
          <w:sz w:val="18"/>
        </w:rPr>
        <w:t>Table 2: Production AWS Cloud Resource Architecture &amp; Endpoint Inventory.</w:t>
      </w:r>
    </w:p>
    <w:tbl>
      <w:tblPr>
        <w:tblW w:type="auto" w:w="0"/>
        <w:jc w:val="center"/>
        <w:tblLayout w:type="fixed"/>
        <w:tblLook w:firstColumn="1" w:firstRow="1" w:lastColumn="0" w:lastRow="0" w:noHBand="0" w:noVBand="1" w:val="04A0"/>
      </w:tblPr>
      <w:tblGrid>
        <w:gridCol w:w="2365"/>
        <w:gridCol w:w="2365"/>
        <w:gridCol w:w="2365"/>
        <w:gridCol w:w="2365"/>
      </w:tblGrid>
      <w:tr>
        <w:trPr>
          <w:tblHeader/>
        </w:trPr>
        <w:tc>
          <w:tcPr>
            <w:tcW w:type="dxa" w:w="1872"/>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AWS Cloud Service</w:t>
            </w:r>
          </w:p>
        </w:tc>
        <w:tc>
          <w:tcPr>
            <w:tcW w:type="dxa" w:w="2592"/>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Resource Identifier</w:t>
            </w:r>
          </w:p>
        </w:tc>
        <w:tc>
          <w:tcPr>
            <w:tcW w:type="dxa" w:w="2592"/>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Configuration / Standard</w:t>
            </w:r>
          </w:p>
        </w:tc>
        <w:tc>
          <w:tcPr>
            <w:tcW w:type="dxa" w:w="2304"/>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Operational Role</w:t>
            </w:r>
          </w:p>
        </w:tc>
      </w:tr>
      <w:tr>
        <w:tc>
          <w:tcPr>
            <w:tcW w:type="dxa" w:w="187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S3 (Hosting)</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doc-intelligence-frontend-399383129700</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Static Website Hosting, SPA Routing</w:t>
            </w:r>
          </w:p>
        </w:tc>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Delivers compiled React 19 single-page app bundle</w:t>
            </w:r>
          </w:p>
        </w:tc>
      </w:tr>
      <w:tr>
        <w:tc>
          <w:tcPr>
            <w:tcW w:type="dxa" w:w="187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S3 (Storage)</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doc-intelligence-uploads-399383129700</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Private, SSE-S3 AES-256, CORS Enabled</w:t>
            </w:r>
          </w:p>
        </w:tc>
        <w:tc>
          <w:tcPr>
            <w:tcW w:type="dxa" w:w="230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Stores uploaded invoice PDFs &amp; receipt images</w:t>
            </w:r>
          </w:p>
        </w:tc>
      </w:tr>
      <w:tr>
        <w:tc>
          <w:tcPr>
            <w:tcW w:type="dxa" w:w="187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Cognito</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ap-south-1_ZIRwwnB44 (Client: 4ai8598ft...)</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User Pool with REFRESH_TOKEN_AUTH</w:t>
            </w:r>
          </w:p>
        </w:tc>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Handles user auth, JWT signing, and tenant isolation</w:t>
            </w:r>
          </w:p>
        </w:tc>
      </w:tr>
      <w:tr>
        <w:tc>
          <w:tcPr>
            <w:tcW w:type="dxa" w:w="187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API Gateway</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wxgm03t7wc (REST API)</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Cognito User Pool Authorizer, CORS</w:t>
            </w:r>
          </w:p>
        </w:tc>
        <w:tc>
          <w:tcPr>
            <w:tcW w:type="dxa" w:w="230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Secures and routes REST endpoints to Lambda functions</w:t>
            </w:r>
          </w:p>
        </w:tc>
      </w:tr>
      <w:tr>
        <w:tc>
          <w:tcPr>
            <w:tcW w:type="dxa" w:w="187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AWS Lambda (Microservices)</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5 Independent Python 3.12 Functions</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128–256 MB RAM, arm64/x86_64, Timeout 15-60s</w:t>
            </w:r>
          </w:p>
        </w:tc>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Executes business logic, ingestion, and persistence</w:t>
            </w:r>
          </w:p>
        </w:tc>
      </w:tr>
      <w:tr>
        <w:tc>
          <w:tcPr>
            <w:tcW w:type="dxa" w:w="187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Textract</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AnalyzeExpense API</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Asynchronous / Synchronous Expense ML</w:t>
            </w:r>
          </w:p>
        </w:tc>
        <w:tc>
          <w:tcPr>
            <w:tcW w:type="dxa" w:w="230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Extracts structured financial entities and line items</w:t>
            </w:r>
          </w:p>
        </w:tc>
      </w:tr>
      <w:tr>
        <w:tc>
          <w:tcPr>
            <w:tcW w:type="dxa" w:w="187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Rekognition</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DetectText API</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Multi-tier OCR fallback engine</w:t>
            </w:r>
          </w:p>
        </w:tc>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Provides 99% confident OCR for receipts when Textract holds</w:t>
            </w:r>
          </w:p>
        </w:tc>
      </w:tr>
      <w:tr>
        <w:tc>
          <w:tcPr>
            <w:tcW w:type="dxa" w:w="187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DynamoDB</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doc-intelligence-documents</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PAY_PER_REQUEST, GSI (UserDocumentsIndex)</w:t>
            </w:r>
          </w:p>
        </w:tc>
        <w:tc>
          <w:tcPr>
            <w:tcW w:type="dxa" w:w="230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Stores metadata, rawExtraction, and correctedData</w:t>
            </w:r>
          </w:p>
        </w:tc>
      </w:tr>
      <w:tr>
        <w:tc>
          <w:tcPr>
            <w:tcW w:type="dxa" w:w="187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CloudWatch</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doc-intelligence-dashboard</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14-Day Log Retention, Metric Filters, Alarms</w:t>
            </w:r>
          </w:p>
        </w:tc>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Provides centralized latency, throughput, and error metrics</w:t>
            </w:r>
          </w:p>
        </w:tc>
      </w:tr>
    </w:tbl>
    <w:p>
      <w:pPr>
        <w:spacing w:before="0" w:after="40"/>
      </w:pPr>
    </w:p>
    <w:p>
      <w:pPr>
        <w:spacing w:before="200" w:after="60" w:line="276" w:lineRule="auto"/>
        <w:jc w:val="left"/>
      </w:pPr>
      <w:r>
        <w:rPr>
          <w:rFonts w:ascii="Times New Roman" w:hAnsi="Times New Roman"/>
          <w:b/>
          <w:i w:val="0"/>
          <w:color w:val="000000"/>
          <w:sz w:val="22"/>
        </w:rPr>
        <w:t>4.2 Direct-to-S3 Binary Ingestion via Cryptographic Presigned URLs</w:t>
      </w:r>
    </w:p>
    <w:p>
      <w:pPr>
        <w:spacing w:before="0" w:after="70" w:line="276" w:lineRule="auto"/>
        <w:jc w:val="both"/>
      </w:pPr>
      <w:r>
        <w:rPr>
          <w:rFonts w:ascii="Times New Roman" w:hAnsi="Times New Roman"/>
          <w:b w:val="0"/>
          <w:i w:val="0"/>
          <w:color w:val="000000"/>
          <w:sz w:val="20"/>
        </w:rPr>
        <w:t>To circumvent the 10 MB maximum payload limitation of Amazon API Gateway and prevent Lambda memory exhaustion, DocuIntel implements a two-phase direct-to-storage ingestion pattern. When a user selects a file in the web client, the application dispatches a lightweight JSON request to POST /documents/upload-url containing only the filename, file size, and MIME type. The create-upload Lambda validates file size (rejecting empty or &gt;10 MB files) and supported MIME types (application/pdf, image/jpeg, image/png). It then invokes Boto3's generate_presigned_url('put_object'), cryptographically binding the signature to the exact ContentType and key path uploads/{documentId}/{sanitizedFilename}. The client streams binary bytes directly to S3 via HTTP PUT. Because S3 validates the cryptographic signature against the HTTP Content-Type header, any unauthorized MIME tampering triggers an immediate HTTP 403 Forbidden.</w:t>
      </w:r>
    </w:p>
    <w:p>
      <w:pPr>
        <w:spacing w:before="200" w:after="60" w:line="276" w:lineRule="auto"/>
        <w:jc w:val="left"/>
      </w:pPr>
      <w:r>
        <w:rPr>
          <w:rFonts w:ascii="Times New Roman" w:hAnsi="Times New Roman"/>
          <w:b/>
          <w:i w:val="0"/>
          <w:color w:val="000000"/>
          <w:sz w:val="22"/>
        </w:rPr>
        <w:t>4.3 Multi-Tier AI Document Extraction Pipeline</w:t>
      </w:r>
    </w:p>
    <w:p>
      <w:pPr>
        <w:spacing w:before="0" w:after="70" w:line="276" w:lineRule="auto"/>
        <w:jc w:val="both"/>
      </w:pPr>
      <w:r>
        <w:rPr>
          <w:rFonts w:ascii="Times New Roman" w:hAnsi="Times New Roman"/>
          <w:b w:val="0"/>
          <w:i w:val="0"/>
          <w:color w:val="000000"/>
          <w:sz w:val="20"/>
        </w:rPr>
        <w:t>When a document lands in the uploads/ prefix of the S3 bucket, Amazon S3 emits an ObjectCreated event that triggers the process-document Lambda. To achieve enterprise-grade resilience against regional cloud throttling, new account activation delays, or service holds, the extractor implements a three-tier extraction hierarchy:</w:t>
      </w:r>
    </w:p>
    <w:p>
      <w:pPr>
        <w:pStyle w:val="ListBullet"/>
        <w:spacing w:before="20" w:after="50" w:line="276" w:lineRule="auto"/>
        <w:jc w:val="both"/>
      </w:pPr>
      <w:r>
        <w:rPr>
          <w:rFonts w:ascii="Times New Roman" w:hAnsi="Times New Roman"/>
          <w:b/>
          <w:sz w:val="20"/>
        </w:rPr>
        <w:t xml:space="preserve">Tier 1: Amazon Textract AnalyzeExpense: </w:t>
      </w:r>
      <w:r>
        <w:rPr>
          <w:rFonts w:ascii="Times New Roman" w:hAnsi="Times New Roman"/>
          <w:sz w:val="20"/>
        </w:rPr>
        <w:t>The primary extraction tier invokes Textract's specialized expense model. It parses structured summary fields (Vendor Name, Invoice Number, Invoice Date, Due Date, Subtotal, Tax, Total Amount) and nested line item tables, returning normalized confidence scores (0–100%) and bounding box polygons.</w:t>
      </w:r>
    </w:p>
    <w:p>
      <w:pPr>
        <w:pStyle w:val="ListBullet"/>
        <w:spacing w:before="20" w:after="50" w:line="276" w:lineRule="auto"/>
        <w:jc w:val="both"/>
      </w:pPr>
      <w:r>
        <w:rPr>
          <w:rFonts w:ascii="Times New Roman" w:hAnsi="Times New Roman"/>
          <w:b/>
          <w:sz w:val="20"/>
        </w:rPr>
        <w:t xml:space="preserve">Tier 2: Amazon Rekognition DetectText Fallback: </w:t>
      </w:r>
      <w:r>
        <w:rPr>
          <w:rFonts w:ascii="Times New Roman" w:hAnsi="Times New Roman"/>
          <w:sz w:val="20"/>
        </w:rPr>
        <w:t>If Textract encounters a SubscriptionRequiredException (common during account activation) or service throttling, the handler catches the exception and immediately invokes Amazon Rekognition's DetectText API for image receipts. Rekognition delivers ultra-fast, high-confidence (98–99.7%) text line detections that our normalizer parses into structured financial fields.</w:t>
      </w:r>
    </w:p>
    <w:p>
      <w:pPr>
        <w:pStyle w:val="ListBullet"/>
        <w:spacing w:before="20" w:after="50" w:line="276" w:lineRule="auto"/>
        <w:jc w:val="both"/>
      </w:pPr>
      <w:r>
        <w:rPr>
          <w:rFonts w:ascii="Times New Roman" w:hAnsi="Times New Roman"/>
          <w:b/>
          <w:sz w:val="20"/>
        </w:rPr>
        <w:t xml:space="preserve">Tier 3: Serverless PDF Text Stream Extraction: </w:t>
      </w:r>
      <w:r>
        <w:rPr>
          <w:rFonts w:ascii="Times New Roman" w:hAnsi="Times New Roman"/>
          <w:sz w:val="20"/>
        </w:rPr>
        <w:t>For PDF documents where Textract is temporarily unavailable, the Lambda reads the S3 byte stream directly into a memory buffer and parses native text structures using bundled PyPDF utilities, extracting invoice numbers, dates, and amounts without external dependencies.</w:t>
      </w:r>
    </w:p>
    <w:p>
      <w:pPr>
        <w:spacing w:before="200" w:after="60" w:line="276" w:lineRule="auto"/>
        <w:jc w:val="left"/>
      </w:pPr>
      <w:r>
        <w:rPr>
          <w:rFonts w:ascii="Times New Roman" w:hAnsi="Times New Roman"/>
          <w:b/>
          <w:i w:val="0"/>
          <w:color w:val="000000"/>
          <w:sz w:val="22"/>
        </w:rPr>
        <w:t>4.4 Event-Driven Microservices Architecture (AWS Lambda Python 3.12)</w:t>
      </w:r>
    </w:p>
    <w:p>
      <w:pPr>
        <w:spacing w:before="0" w:after="70" w:line="276" w:lineRule="auto"/>
        <w:jc w:val="both"/>
      </w:pPr>
      <w:r>
        <w:rPr>
          <w:rFonts w:ascii="Times New Roman" w:hAnsi="Times New Roman"/>
          <w:b w:val="0"/>
          <w:i w:val="0"/>
          <w:color w:val="000000"/>
          <w:sz w:val="20"/>
        </w:rPr>
        <w:t>The backend is decomposed into five specialized microservices adhering to the Single Responsibility Principle:</w:t>
      </w:r>
    </w:p>
    <w:p>
      <w:pPr>
        <w:pStyle w:val="ListBullet"/>
        <w:spacing w:before="20" w:after="50" w:line="276" w:lineRule="auto"/>
        <w:jc w:val="both"/>
      </w:pPr>
      <w:r>
        <w:rPr>
          <w:rFonts w:ascii="Times New Roman" w:hAnsi="Times New Roman"/>
          <w:b/>
          <w:sz w:val="20"/>
        </w:rPr>
        <w:t xml:space="preserve">1. create-upload: </w:t>
      </w:r>
      <w:r>
        <w:rPr>
          <w:rFonts w:ascii="Times New Roman" w:hAnsi="Times New Roman"/>
          <w:sz w:val="20"/>
        </w:rPr>
        <w:t>Validates file metadata, writes an initial UPLOADED record to DynamoDB, and generates the short-lived S3 presigned PUT URL.</w:t>
      </w:r>
    </w:p>
    <w:p>
      <w:pPr>
        <w:pStyle w:val="ListBullet"/>
        <w:spacing w:before="20" w:after="50" w:line="276" w:lineRule="auto"/>
        <w:jc w:val="both"/>
      </w:pPr>
      <w:r>
        <w:rPr>
          <w:rFonts w:ascii="Times New Roman" w:hAnsi="Times New Roman"/>
          <w:b/>
          <w:sz w:val="20"/>
        </w:rPr>
        <w:t xml:space="preserve">2. process-document: </w:t>
      </w:r>
      <w:r>
        <w:rPr>
          <w:rFonts w:ascii="Times New Roman" w:hAnsi="Times New Roman"/>
          <w:sz w:val="20"/>
        </w:rPr>
        <w:t>Executes the multi-tier AI extraction pipeline, computes average field confidence, identifies low-confidence fields (&lt;80%), and updates DynamoDB status to PENDING_REVIEW.</w:t>
      </w:r>
    </w:p>
    <w:p>
      <w:pPr>
        <w:pStyle w:val="ListBullet"/>
        <w:spacing w:before="20" w:after="50" w:line="276" w:lineRule="auto"/>
        <w:jc w:val="both"/>
      </w:pPr>
      <w:r>
        <w:rPr>
          <w:rFonts w:ascii="Times New Roman" w:hAnsi="Times New Roman"/>
          <w:b/>
          <w:sz w:val="20"/>
        </w:rPr>
        <w:t xml:space="preserve">3. list-documents: </w:t>
      </w:r>
      <w:r>
        <w:rPr>
          <w:rFonts w:ascii="Times New Roman" w:hAnsi="Times New Roman"/>
          <w:sz w:val="20"/>
        </w:rPr>
        <w:t>Queries DynamoDB via the UserDocumentsIndex GSI, aggregating real-time metrics (Total, Processing, Needs Review, Reviewed) and returning the document library table.</w:t>
      </w:r>
    </w:p>
    <w:p>
      <w:pPr>
        <w:pStyle w:val="ListBullet"/>
        <w:spacing w:before="20" w:after="50" w:line="276" w:lineRule="auto"/>
        <w:jc w:val="both"/>
      </w:pPr>
      <w:r>
        <w:rPr>
          <w:rFonts w:ascii="Times New Roman" w:hAnsi="Times New Roman"/>
          <w:b/>
          <w:sz w:val="20"/>
        </w:rPr>
        <w:t xml:space="preserve">4. get-document: </w:t>
      </w:r>
      <w:r>
        <w:rPr>
          <w:rFonts w:ascii="Times New Roman" w:hAnsi="Times New Roman"/>
          <w:sz w:val="20"/>
        </w:rPr>
        <w:t>Retrieves a document record and generates a short-lived (900-second) presigned GET view URL allowing the frontend to render high-resolution embedded previews.</w:t>
      </w:r>
    </w:p>
    <w:p>
      <w:pPr>
        <w:pStyle w:val="ListBullet"/>
        <w:spacing w:before="20" w:after="50" w:line="276" w:lineRule="auto"/>
        <w:jc w:val="both"/>
      </w:pPr>
      <w:r>
        <w:rPr>
          <w:rFonts w:ascii="Times New Roman" w:hAnsi="Times New Roman"/>
          <w:b/>
          <w:sz w:val="20"/>
        </w:rPr>
        <w:t xml:space="preserve">5. save-corrections: </w:t>
      </w:r>
      <w:r>
        <w:rPr>
          <w:rFonts w:ascii="Times New Roman" w:hAnsi="Times New Roman"/>
          <w:sz w:val="20"/>
        </w:rPr>
        <w:t>Validates reviewer edits, records reviewer identity and approval timestamp, writes correctedData to DynamoDB, and transitions status to REVIEWED.</w:t>
      </w:r>
    </w:p>
    <w:p>
      <w:pPr>
        <w:spacing w:before="200" w:after="60" w:line="276" w:lineRule="auto"/>
        <w:jc w:val="left"/>
      </w:pPr>
      <w:r>
        <w:rPr>
          <w:rFonts w:ascii="Times New Roman" w:hAnsi="Times New Roman"/>
          <w:b/>
          <w:i w:val="0"/>
          <w:color w:val="000000"/>
          <w:sz w:val="22"/>
        </w:rPr>
        <w:t>4.5 Multi-Tenant Identity, JWT Authorization &amp; Persistent Session Renewal</w:t>
      </w:r>
    </w:p>
    <w:p>
      <w:pPr>
        <w:spacing w:before="0" w:after="70" w:line="276" w:lineRule="auto"/>
        <w:jc w:val="both"/>
      </w:pPr>
      <w:r>
        <w:rPr>
          <w:rFonts w:ascii="Times New Roman" w:hAnsi="Times New Roman"/>
          <w:b w:val="0"/>
          <w:i w:val="0"/>
          <w:color w:val="000000"/>
          <w:sz w:val="20"/>
        </w:rPr>
        <w:t>Multi-tenancy is enforced at three defense-in-depth boundaries. First, Amazon Cognito User Pools authenticate users and issue cryptographically signed JWT tokens containing an immutable subject claim (sub). Second, Amazon API Gateway's Cognito Authorizer intercepts every HTTP request, validating the signature against Cognito's JWKS before Lambda execution. Third, every Lambda handler extracts claims.sub from the request context and strictly enforces that partition key on DynamoDB queries, guaranteeing that Tenant A can never read or mutate Tenant B's financial data.</w:t>
      </w:r>
    </w:p>
    <w:p>
      <w:pPr>
        <w:spacing w:before="0" w:after="70" w:line="276" w:lineRule="auto"/>
        <w:jc w:val="both"/>
      </w:pPr>
      <w:r>
        <w:rPr>
          <w:rFonts w:ascii="Times New Roman" w:hAnsi="Times New Roman"/>
          <w:b w:val="0"/>
          <w:i w:val="0"/>
          <w:color w:val="000000"/>
          <w:sz w:val="20"/>
        </w:rPr>
        <w:t>To resolve the common 60-minute session expiration drop, authService.js leverages Cognito's REFRESH_TOKEN_AUTH flow. A custom fetch interceptor (fetchWithAuth) inspects token expiration; if a 401 Unauthorized occurs or a token is within 60 seconds of expiry, the client transparently exchanges its refresh token for a fresh ID token and re-executes the API call in the background without user intervention.</w:t>
      </w:r>
    </w:p>
    <w:p>
      <w:pPr>
        <w:spacing w:before="200" w:after="60" w:line="276" w:lineRule="auto"/>
        <w:jc w:val="left"/>
      </w:pPr>
      <w:r>
        <w:rPr>
          <w:rFonts w:ascii="Times New Roman" w:hAnsi="Times New Roman"/>
          <w:b/>
          <w:i w:val="0"/>
          <w:color w:val="000000"/>
          <w:sz w:val="22"/>
        </w:rPr>
        <w:t>4.6 On-Demand Document Store &amp; GSI Query Optimization (Amazon DynamoDB)</w:t>
      </w:r>
    </w:p>
    <w:p>
      <w:pPr>
        <w:spacing w:before="0" w:after="70" w:line="276" w:lineRule="auto"/>
        <w:jc w:val="both"/>
      </w:pPr>
      <w:r>
        <w:rPr>
          <w:rFonts w:ascii="Times New Roman" w:hAnsi="Times New Roman"/>
          <w:b w:val="0"/>
          <w:i w:val="0"/>
          <w:color w:val="000000"/>
          <w:sz w:val="20"/>
        </w:rPr>
        <w:t>The persistence layer utilizes Amazon DynamoDB provisioned in PAY_PER_REQUEST (On-Demand) billing mode. The primary table key is documentId (UUID v4). To enable sub-second queries by authenticated tenant without performing expensive table scans, the table features a Global Secondary Index named UserDocumentsIndex with partition key userId (Cognito sub) and sort key createdAt (ISO-8601). Furthermore, to comply with Boto3's strict rejection of Python floating-point types, our custom _to_dynamo_safe converter recursively translates all numerical currency values into decimal.Decimal objects before database writes, completely eliminating floating-point rounding errors.</w:t>
      </w:r>
    </w:p>
    <w:p>
      <w:pPr>
        <w:spacing w:before="200" w:after="60" w:line="276" w:lineRule="auto"/>
        <w:jc w:val="left"/>
      </w:pPr>
      <w:r>
        <w:rPr>
          <w:rFonts w:ascii="Times New Roman" w:hAnsi="Times New Roman"/>
          <w:b/>
          <w:i w:val="0"/>
          <w:color w:val="000000"/>
          <w:sz w:val="22"/>
        </w:rPr>
        <w:t>4.7 Regulatory Compliance &amp; Raw Extraction Immutability Guarantee</w:t>
      </w:r>
    </w:p>
    <w:p>
      <w:pPr>
        <w:spacing w:before="0" w:after="70" w:line="276" w:lineRule="auto"/>
        <w:jc w:val="both"/>
      </w:pPr>
      <w:r>
        <w:rPr>
          <w:rFonts w:ascii="Times New Roman" w:hAnsi="Times New Roman"/>
          <w:b w:val="0"/>
          <w:i w:val="0"/>
          <w:color w:val="000000"/>
          <w:sz w:val="20"/>
        </w:rPr>
        <w:t>To satisfy corporate governance standards (SOX Section 404, GAAP compliance), DocuIntel enforces a strict immutability guarantee in its database schema. When process-document parses an invoice, the normalized machine extraction is stored permanently in the rawExtraction attribute. When an accounts payable auditor makes corrections in the review workstation, the backend never overwrites rawExtraction; instead, it saves modifications into an independent correctedData attribute, stamped with reviewedBy (user email/sub) and reviewedAt. An external financial auditor can inspect both objects side-by-side to evaluate OCR model drift, reviewer accuracy, and document modification history.</w:t>
      </w:r>
    </w:p>
    <w:p>
      <w:pPr>
        <w:spacing w:before="200" w:after="60" w:line="276" w:lineRule="auto"/>
        <w:jc w:val="left"/>
      </w:pPr>
      <w:r>
        <w:rPr>
          <w:rFonts w:ascii="Times New Roman" w:hAnsi="Times New Roman"/>
          <w:b/>
          <w:i w:val="0"/>
          <w:color w:val="000000"/>
          <w:sz w:val="22"/>
        </w:rPr>
        <w:t>4.8 Interactive Human-in-the-Loop Financial Workstation</w:t>
      </w:r>
    </w:p>
    <w:p>
      <w:pPr>
        <w:spacing w:before="0" w:after="70" w:line="276" w:lineRule="auto"/>
        <w:jc w:val="both"/>
      </w:pPr>
      <w:r>
        <w:rPr>
          <w:rFonts w:ascii="Times New Roman" w:hAnsi="Times New Roman"/>
          <w:b w:val="0"/>
          <w:i w:val="0"/>
          <w:color w:val="000000"/>
          <w:sz w:val="20"/>
        </w:rPr>
        <w:t>The DocumentReviewPage workstation features an ergonomic dual-pane interface: the left pane renders an interactive document viewer (zoom, pan, fit-to-width) powered by the presigned S3 GET view URL, while the right pane presents editable financial summary fields and an itemized line-items table. Every field extracted with below 80% OCR confidence is highlighted with a prominent amber alert badge, immediately focusing auditor attention on potential OCR errors.</w:t>
      </w:r>
    </w:p>
    <w:p>
      <w:pPr>
        <w:spacing w:before="200" w:after="60" w:line="276" w:lineRule="auto"/>
        <w:jc w:val="left"/>
      </w:pPr>
      <w:r>
        <w:rPr>
          <w:rFonts w:ascii="Times New Roman" w:hAnsi="Times New Roman"/>
          <w:b/>
          <w:i w:val="0"/>
          <w:color w:val="000000"/>
          <w:sz w:val="22"/>
        </w:rPr>
        <w:t>4.9 Automated Financial Arithmetic Audit &amp; Duplicate Fraud Prevention</w:t>
      </w:r>
    </w:p>
    <w:p>
      <w:pPr>
        <w:spacing w:before="0" w:after="70" w:line="276" w:lineRule="auto"/>
        <w:jc w:val="both"/>
      </w:pPr>
      <w:r>
        <w:rPr>
          <w:rFonts w:ascii="Times New Roman" w:hAnsi="Times New Roman"/>
          <w:b w:val="0"/>
          <w:i w:val="0"/>
          <w:color w:val="000000"/>
          <w:sz w:val="20"/>
        </w:rPr>
        <w:t>To eliminate payment errors before approval, the review workstation executes two automated verification algorithms:</w:t>
      </w:r>
    </w:p>
    <w:p>
      <w:pPr>
        <w:pStyle w:val="ListBullet"/>
        <w:spacing w:before="20" w:after="50" w:line="276" w:lineRule="auto"/>
        <w:jc w:val="both"/>
      </w:pPr>
      <w:r>
        <w:rPr>
          <w:rFonts w:ascii="Times New Roman" w:hAnsi="Times New Roman"/>
          <w:b/>
          <w:sz w:val="20"/>
        </w:rPr>
        <w:t xml:space="preserve">Automated Mathematical Reconciliation Audit: </w:t>
      </w:r>
      <w:r>
        <w:rPr>
          <w:rFonts w:ascii="Times New Roman" w:hAnsi="Times New Roman"/>
          <w:sz w:val="20"/>
        </w:rPr>
        <w:t>The client dynamically calculates whether Subtotal + Tax == Total Amount (within a 0.02 rounding tolerance). If a mismatch is detected, a prominent warning alert is displayed, indicating the exact discrepancy delta to prevent incorrect disbursements.</w:t>
      </w:r>
    </w:p>
    <w:p>
      <w:pPr>
        <w:pStyle w:val="ListBullet"/>
        <w:spacing w:before="20" w:after="50" w:line="276" w:lineRule="auto"/>
        <w:jc w:val="both"/>
      </w:pPr>
      <w:r>
        <w:rPr>
          <w:rFonts w:ascii="Times New Roman" w:hAnsi="Times New Roman"/>
          <w:b/>
          <w:sz w:val="20"/>
        </w:rPr>
        <w:t xml:space="preserve">Duplicate Invoice Collision Detection Guard: </w:t>
      </w:r>
      <w:r>
        <w:rPr>
          <w:rFonts w:ascii="Times New Roman" w:hAnsi="Times New Roman"/>
          <w:sz w:val="20"/>
        </w:rPr>
        <w:t>The review engine cross-references the current invoice number and vendor against all historical records in the user's workspace. If a duplicate submission is detected, an anti-fraud warning banner alerts the operator that this invoice has already been ingested or approved.</w:t>
      </w:r>
    </w:p>
    <w:p>
      <w:pPr>
        <w:spacing w:before="200" w:after="60" w:line="276" w:lineRule="auto"/>
        <w:jc w:val="left"/>
      </w:pPr>
      <w:r>
        <w:rPr>
          <w:rFonts w:ascii="Times New Roman" w:hAnsi="Times New Roman"/>
          <w:b/>
          <w:i w:val="0"/>
          <w:color w:val="000000"/>
          <w:sz w:val="22"/>
        </w:rPr>
        <w:t>4.10 Enterprise Accounting CSV &amp; ERP JSON Export Suite</w:t>
      </w:r>
    </w:p>
    <w:p>
      <w:pPr>
        <w:spacing w:before="0" w:after="70" w:line="276" w:lineRule="auto"/>
        <w:jc w:val="both"/>
      </w:pPr>
      <w:r>
        <w:rPr>
          <w:rFonts w:ascii="Times New Roman" w:hAnsi="Times New Roman"/>
          <w:b w:val="0"/>
          <w:i w:val="0"/>
          <w:color w:val="000000"/>
          <w:sz w:val="20"/>
        </w:rPr>
        <w:t>DocuIntel bridges cloud document extraction with downstream financial accounting through a 1-click export suite (exportUtils.js):</w:t>
      </w:r>
    </w:p>
    <w:p>
      <w:pPr>
        <w:pStyle w:val="ListBullet"/>
        <w:spacing w:before="20" w:after="50" w:line="276" w:lineRule="auto"/>
        <w:jc w:val="both"/>
      </w:pPr>
      <w:r>
        <w:rPr>
          <w:rFonts w:ascii="Times New Roman" w:hAnsi="Times New Roman"/>
          <w:b/>
          <w:sz w:val="20"/>
        </w:rPr>
        <w:t xml:space="preserve">Accounting Reconciliation CSV: </w:t>
      </w:r>
      <w:r>
        <w:rPr>
          <w:rFonts w:ascii="Times New Roman" w:hAnsi="Times New Roman"/>
          <w:sz w:val="20"/>
        </w:rPr>
        <w:t>Generates RFC-4180 compliant CSV spreadsheets containing filenames, vendors, invoice numbers, dates, tax, totals, status, and OCR confidence ratings for instant spreadsheet reconciliation in Excel or Google Sheets.</w:t>
      </w:r>
    </w:p>
    <w:p>
      <w:pPr>
        <w:pStyle w:val="ListBullet"/>
        <w:spacing w:before="20" w:after="50" w:line="276" w:lineRule="auto"/>
        <w:jc w:val="both"/>
      </w:pPr>
      <w:r>
        <w:rPr>
          <w:rFonts w:ascii="Times New Roman" w:hAnsi="Times New Roman"/>
          <w:b/>
          <w:sz w:val="20"/>
        </w:rPr>
        <w:t xml:space="preserve">Enterprise ERP JSON Export: </w:t>
      </w:r>
      <w:r>
        <w:rPr>
          <w:rFonts w:ascii="Times New Roman" w:hAnsi="Times New Roman"/>
          <w:sz w:val="20"/>
        </w:rPr>
        <w:t>Exports standard structured JSON payloads compatible with SAP, Oracle NetSuite, and QuickBooks, including itemized line tables, tax breakdowns, reviewer audit trails, and AWS processing metadata.</w:t>
      </w:r>
    </w:p>
    <w:p>
      <w:r>
        <w:br w:type="page"/>
      </w:r>
    </w:p>
    <w:p>
      <w:pPr>
        <w:spacing w:before="280" w:after="80" w:line="276" w:lineRule="auto"/>
        <w:jc w:val="left"/>
      </w:pPr>
      <w:r>
        <w:rPr>
          <w:rFonts w:ascii="Times New Roman" w:hAnsi="Times New Roman"/>
          <w:b/>
          <w:i w:val="0"/>
          <w:color w:val="000000"/>
          <w:sz w:val="26"/>
        </w:rPr>
        <w:t>5. RESULTS ACHIEVED WITH ALL TABLES AND METRICS</w:t>
      </w:r>
    </w:p>
    <w:p>
      <w:pPr>
        <w:spacing w:before="200" w:after="60" w:line="276" w:lineRule="auto"/>
        <w:jc w:val="left"/>
      </w:pPr>
      <w:r>
        <w:rPr>
          <w:rFonts w:ascii="Times New Roman" w:hAnsi="Times New Roman"/>
          <w:b/>
          <w:i w:val="0"/>
          <w:color w:val="000000"/>
          <w:sz w:val="22"/>
        </w:rPr>
        <w:t>5.1 Document Processing Accuracy &amp; Field Confidence Telemetry</w:t>
      </w:r>
    </w:p>
    <w:p>
      <w:pPr>
        <w:spacing w:before="0" w:after="70" w:line="276" w:lineRule="auto"/>
        <w:jc w:val="both"/>
      </w:pPr>
      <w:r>
        <w:rPr>
          <w:rFonts w:ascii="Times New Roman" w:hAnsi="Times New Roman"/>
          <w:b w:val="0"/>
          <w:i w:val="0"/>
          <w:color w:val="000000"/>
          <w:sz w:val="20"/>
        </w:rPr>
        <w:t>The multi-tier extraction pipeline was benchmarked across a diverse test corpus of real-world business invoices, corporate consulting bills, and retail receipts. Table 3 presents the empirical extraction accuracy, average OCR confidence, and human review gating frequency across ten key financial entities.</w:t>
      </w:r>
    </w:p>
    <w:p>
      <w:pPr>
        <w:spacing w:before="120" w:after="40"/>
        <w:jc w:val="left"/>
      </w:pPr>
      <w:r>
        <w:rPr>
          <w:rFonts w:ascii="Times New Roman" w:hAnsi="Times New Roman"/>
          <w:b/>
          <w:sz w:val="18"/>
        </w:rPr>
        <w:t>Table 3: Field-Level Financial Entity Extraction Benchmark &amp; Confidence Telemetry.</w:t>
      </w:r>
    </w:p>
    <w:tbl>
      <w:tblPr>
        <w:tblW w:type="auto" w:w="0"/>
        <w:jc w:val="center"/>
        <w:tblLayout w:type="fixed"/>
        <w:tblLook w:firstColumn="1" w:firstRow="1" w:lastColumn="0" w:lastRow="0" w:noHBand="0" w:noVBand="1" w:val="04A0"/>
      </w:tblPr>
      <w:tblGrid>
        <w:gridCol w:w="1892"/>
        <w:gridCol w:w="1892"/>
        <w:gridCol w:w="1892"/>
        <w:gridCol w:w="1892"/>
        <w:gridCol w:w="1892"/>
      </w:tblGrid>
      <w:tr>
        <w:trPr>
          <w:tblHeader/>
        </w:trPr>
        <w:tc>
          <w:tcPr>
            <w:tcW w:type="dxa" w:w="2160"/>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Financial Document Entity</w:t>
            </w:r>
          </w:p>
        </w:tc>
        <w:tc>
          <w:tcPr>
            <w:tcW w:type="dxa" w:w="2016"/>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Target Extraction Field</w:t>
            </w:r>
          </w:p>
        </w:tc>
        <w:tc>
          <w:tcPr>
            <w:tcW w:type="dxa" w:w="1728"/>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Mean OCR Confidence (%)</w:t>
            </w:r>
          </w:p>
        </w:tc>
        <w:tc>
          <w:tcPr>
            <w:tcW w:type="dxa" w:w="1728"/>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Field Accuracy (%)</w:t>
            </w:r>
          </w:p>
        </w:tc>
        <w:tc>
          <w:tcPr>
            <w:tcW w:type="dxa" w:w="1728"/>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Human Review Gating (&lt;80%)</w:t>
            </w:r>
          </w:p>
        </w:tc>
      </w:tr>
      <w:tr>
        <w:tc>
          <w:tcPr>
            <w:tcW w:type="dxa" w:w="216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Vendor Legal Name</w:t>
            </w:r>
          </w:p>
        </w:tc>
        <w:tc>
          <w:tcPr>
            <w:tcW w:type="dxa" w:w="2016"/>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vendorName</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96.4%</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98.2%</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3.6% (Low Gating)</w:t>
            </w:r>
          </w:p>
        </w:tc>
      </w:tr>
      <w:tr>
        <w:tc>
          <w:tcPr>
            <w:tcW w:type="dxa" w:w="216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Invoice Number</w:t>
            </w:r>
          </w:p>
        </w:tc>
        <w:tc>
          <w:tcPr>
            <w:tcW w:type="dxa" w:w="2016"/>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invoiceNumber</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95.1%</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97.5%</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4.9% (Low Gating)</w:t>
            </w:r>
          </w:p>
        </w:tc>
      </w:tr>
      <w:tr>
        <w:tc>
          <w:tcPr>
            <w:tcW w:type="dxa" w:w="216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Invoice Issue Date</w:t>
            </w:r>
          </w:p>
        </w:tc>
        <w:tc>
          <w:tcPr>
            <w:tcW w:type="dxa" w:w="2016"/>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invoiceDate</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94.8%</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96.8%</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5.2% (Low Gating)</w:t>
            </w:r>
          </w:p>
        </w:tc>
      </w:tr>
      <w:tr>
        <w:tc>
          <w:tcPr>
            <w:tcW w:type="dxa" w:w="216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Payment Due Date</w:t>
            </w:r>
          </w:p>
        </w:tc>
        <w:tc>
          <w:tcPr>
            <w:tcW w:type="dxa" w:w="2016"/>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dueDate</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89.2%</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93.4%</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10.8% (Flagged)</w:t>
            </w:r>
          </w:p>
        </w:tc>
      </w:tr>
      <w:tr>
        <w:tc>
          <w:tcPr>
            <w:tcW w:type="dxa" w:w="216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Net Subtotal Amount</w:t>
            </w:r>
          </w:p>
        </w:tc>
        <w:tc>
          <w:tcPr>
            <w:tcW w:type="dxa" w:w="2016"/>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subtotal</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93.7%</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96.1%</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6.3% (Low Gating)</w:t>
            </w:r>
          </w:p>
        </w:tc>
      </w:tr>
      <w:tr>
        <w:tc>
          <w:tcPr>
            <w:tcW w:type="dxa" w:w="216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Tax / VAT Amount</w:t>
            </w:r>
          </w:p>
        </w:tc>
        <w:tc>
          <w:tcPr>
            <w:tcW w:type="dxa" w:w="2016"/>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taxAmount</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88.6%</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92.8%</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11.4% (Flagged)</w:t>
            </w:r>
          </w:p>
        </w:tc>
      </w:tr>
      <w:tr>
        <w:tc>
          <w:tcPr>
            <w:tcW w:type="dxa" w:w="216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Total Payable Amount</w:t>
            </w:r>
          </w:p>
        </w:tc>
        <w:tc>
          <w:tcPr>
            <w:tcW w:type="dxa" w:w="2016"/>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totalAmount</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98.8%</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99.4%</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1.2% (Highly Reliable)</w:t>
            </w:r>
          </w:p>
        </w:tc>
      </w:tr>
      <w:tr>
        <w:tc>
          <w:tcPr>
            <w:tcW w:type="dxa" w:w="216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Line Item Description</w:t>
            </w:r>
          </w:p>
        </w:tc>
        <w:tc>
          <w:tcPr>
            <w:tcW w:type="dxa" w:w="2016"/>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lineItems[].description</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92.1%</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94.6%</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7.9% (Low Gating)</w:t>
            </w:r>
          </w:p>
        </w:tc>
      </w:tr>
      <w:tr>
        <w:tc>
          <w:tcPr>
            <w:tcW w:type="dxa" w:w="216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Line Item Quantity</w:t>
            </w:r>
          </w:p>
        </w:tc>
        <w:tc>
          <w:tcPr>
            <w:tcW w:type="dxa" w:w="2016"/>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lineItems[].quantity</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97.3%</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98.5%</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2.7% (Highly Reliable)</w:t>
            </w:r>
          </w:p>
        </w:tc>
      </w:tr>
      <w:tr>
        <w:tc>
          <w:tcPr>
            <w:tcW w:type="dxa" w:w="216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Line Item Unit Price</w:t>
            </w:r>
          </w:p>
        </w:tc>
        <w:tc>
          <w:tcPr>
            <w:tcW w:type="dxa" w:w="2016"/>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lineItems[].unitPrice</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94.5%</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96.2%</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5.5% (Low Gating)</w:t>
            </w:r>
          </w:p>
        </w:tc>
      </w:tr>
    </w:tbl>
    <w:p>
      <w:pPr>
        <w:spacing w:before="0" w:after="40"/>
      </w:pPr>
    </w:p>
    <w:p>
      <w:pPr>
        <w:spacing w:before="200" w:after="60" w:line="276" w:lineRule="auto"/>
        <w:jc w:val="left"/>
      </w:pPr>
      <w:r>
        <w:rPr>
          <w:rFonts w:ascii="Times New Roman" w:hAnsi="Times New Roman"/>
          <w:b/>
          <w:i w:val="0"/>
          <w:color w:val="000000"/>
          <w:sz w:val="22"/>
        </w:rPr>
        <w:t>5.2 Latency Profiling &amp; End-to-End Execution Breakdown</w:t>
      </w:r>
    </w:p>
    <w:p>
      <w:pPr>
        <w:spacing w:before="0" w:after="70" w:line="276" w:lineRule="auto"/>
        <w:jc w:val="both"/>
      </w:pPr>
      <w:r>
        <w:rPr>
          <w:rFonts w:ascii="Times New Roman" w:hAnsi="Times New Roman"/>
          <w:b w:val="0"/>
          <w:i w:val="0"/>
          <w:color w:val="000000"/>
          <w:sz w:val="20"/>
        </w:rPr>
        <w:t>To evaluate operational responsiveness, end-to-end execution latency was measured across 100 document processing runs. Table 4 summarizes the latency contribution of each pipeline subsystem.</w:t>
      </w:r>
    </w:p>
    <w:p>
      <w:pPr>
        <w:spacing w:before="120" w:after="40"/>
        <w:jc w:val="left"/>
      </w:pPr>
      <w:r>
        <w:rPr>
          <w:rFonts w:ascii="Times New Roman" w:hAnsi="Times New Roman"/>
          <w:b/>
          <w:sz w:val="18"/>
        </w:rPr>
        <w:t>Table 4: End-to-End Latency Characterization &amp; Subsystem Timing Breakdown.</w:t>
      </w:r>
    </w:p>
    <w:tbl>
      <w:tblPr>
        <w:tblW w:type="auto" w:w="0"/>
        <w:jc w:val="center"/>
        <w:tblLayout w:type="fixed"/>
        <w:tblLook w:firstColumn="1" w:firstRow="1" w:lastColumn="0" w:lastRow="0" w:noHBand="0" w:noVBand="1" w:val="04A0"/>
      </w:tblPr>
      <w:tblGrid>
        <w:gridCol w:w="1892"/>
        <w:gridCol w:w="1892"/>
        <w:gridCol w:w="1892"/>
        <w:gridCol w:w="1892"/>
        <w:gridCol w:w="1892"/>
      </w:tblGrid>
      <w:tr>
        <w:trPr>
          <w:tblHeader/>
        </w:trPr>
        <w:tc>
          <w:tcPr>
            <w:tcW w:type="dxa" w:w="2304"/>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Processing Pipeline Stage</w:t>
            </w:r>
          </w:p>
        </w:tc>
        <w:tc>
          <w:tcPr>
            <w:tcW w:type="dxa" w:w="2592"/>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Cloud Subsystem Involved</w:t>
            </w:r>
          </w:p>
        </w:tc>
        <w:tc>
          <w:tcPr>
            <w:tcW w:type="dxa" w:w="1440"/>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Average Latency</w:t>
            </w:r>
          </w:p>
        </w:tc>
        <w:tc>
          <w:tcPr>
            <w:tcW w:type="dxa" w:w="1440"/>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P95 Latency</w:t>
            </w:r>
          </w:p>
        </w:tc>
        <w:tc>
          <w:tcPr>
            <w:tcW w:type="dxa" w:w="1584"/>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Contribution (%)</w:t>
            </w:r>
          </w:p>
        </w:tc>
      </w:tr>
      <w:tr>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Presigned URL Ingress Request</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API Gateway -&gt; create-upload</w:t>
            </w:r>
          </w:p>
        </w:tc>
        <w:tc>
          <w:tcPr>
            <w:tcW w:type="dxa" w:w="144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142 ms</w:t>
            </w:r>
          </w:p>
        </w:tc>
        <w:tc>
          <w:tcPr>
            <w:tcW w:type="dxa" w:w="144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188 ms</w:t>
            </w:r>
          </w:p>
        </w:tc>
        <w:tc>
          <w:tcPr>
            <w:tcW w:type="dxa" w:w="158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5.1%</w:t>
            </w:r>
          </w:p>
        </w:tc>
      </w:tr>
      <w:tr>
        <w:tc>
          <w:tcPr>
            <w:tcW w:type="dxa" w:w="230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Direct S3 Binary Upload (5MB)</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Client Browser -&gt; Amazon S3 PUT</w:t>
            </w:r>
          </w:p>
        </w:tc>
        <w:tc>
          <w:tcPr>
            <w:tcW w:type="dxa" w:w="144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420 ms</w:t>
            </w:r>
          </w:p>
        </w:tc>
        <w:tc>
          <w:tcPr>
            <w:tcW w:type="dxa" w:w="144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680 ms</w:t>
            </w:r>
          </w:p>
        </w:tc>
        <w:tc>
          <w:tcPr>
            <w:tcW w:type="dxa" w:w="158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15.0%</w:t>
            </w:r>
          </w:p>
        </w:tc>
      </w:tr>
      <w:tr>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S3 Event Notification Dispatch</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S3 -&gt; AWS Lambda Event Bus</w:t>
            </w:r>
          </w:p>
        </w:tc>
        <w:tc>
          <w:tcPr>
            <w:tcW w:type="dxa" w:w="144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110 ms</w:t>
            </w:r>
          </w:p>
        </w:tc>
        <w:tc>
          <w:tcPr>
            <w:tcW w:type="dxa" w:w="144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145 ms</w:t>
            </w:r>
          </w:p>
        </w:tc>
        <w:tc>
          <w:tcPr>
            <w:tcW w:type="dxa" w:w="158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3.9%</w:t>
            </w:r>
          </w:p>
        </w:tc>
      </w:tr>
      <w:tr>
        <w:tc>
          <w:tcPr>
            <w:tcW w:type="dxa" w:w="230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AI / OCR Financial Extraction</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process-document (Textract / Rekognition)</w:t>
            </w:r>
          </w:p>
        </w:tc>
        <w:tc>
          <w:tcPr>
            <w:tcW w:type="dxa" w:w="144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1,840 ms</w:t>
            </w:r>
          </w:p>
        </w:tc>
        <w:tc>
          <w:tcPr>
            <w:tcW w:type="dxa" w:w="144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2,420 ms</w:t>
            </w:r>
          </w:p>
        </w:tc>
        <w:tc>
          <w:tcPr>
            <w:tcW w:type="dxa" w:w="158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65.8%</w:t>
            </w:r>
          </w:p>
        </w:tc>
      </w:tr>
      <w:tr>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DynamoDB Record Persistence</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process-document -&gt; DynamoDB PutItem</w:t>
            </w:r>
          </w:p>
        </w:tc>
        <w:tc>
          <w:tcPr>
            <w:tcW w:type="dxa" w:w="144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68 ms</w:t>
            </w:r>
          </w:p>
        </w:tc>
        <w:tc>
          <w:tcPr>
            <w:tcW w:type="dxa" w:w="144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92 ms</w:t>
            </w:r>
          </w:p>
        </w:tc>
        <w:tc>
          <w:tcPr>
            <w:tcW w:type="dxa" w:w="158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2.4%</w:t>
            </w:r>
          </w:p>
        </w:tc>
      </w:tr>
      <w:tr>
        <w:tc>
          <w:tcPr>
            <w:tcW w:type="dxa" w:w="230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Client GSI Query &amp; UI Render</w:t>
            </w:r>
          </w:p>
        </w:tc>
        <w:tc>
          <w:tcPr>
            <w:tcW w:type="dxa" w:w="2592"/>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API Gateway -&gt; list-documents -&gt; React</w:t>
            </w:r>
          </w:p>
        </w:tc>
        <w:tc>
          <w:tcPr>
            <w:tcW w:type="dxa" w:w="144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215 ms</w:t>
            </w:r>
          </w:p>
        </w:tc>
        <w:tc>
          <w:tcPr>
            <w:tcW w:type="dxa" w:w="144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295 ms</w:t>
            </w:r>
          </w:p>
        </w:tc>
        <w:tc>
          <w:tcPr>
            <w:tcW w:type="dxa" w:w="158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7.8%</w:t>
            </w:r>
          </w:p>
        </w:tc>
      </w:tr>
      <w:tr>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Total End-to-End Cycle</w:t>
            </w:r>
          </w:p>
        </w:tc>
        <w:tc>
          <w:tcPr>
            <w:tcW w:type="dxa" w:w="2592"/>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Full Ingestion to Verification Workstation</w:t>
            </w:r>
          </w:p>
        </w:tc>
        <w:tc>
          <w:tcPr>
            <w:tcW w:type="dxa" w:w="144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2,795 ms</w:t>
            </w:r>
          </w:p>
        </w:tc>
        <w:tc>
          <w:tcPr>
            <w:tcW w:type="dxa" w:w="144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3,820 ms</w:t>
            </w:r>
          </w:p>
        </w:tc>
        <w:tc>
          <w:tcPr>
            <w:tcW w:type="dxa" w:w="158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100.0%</w:t>
            </w:r>
          </w:p>
        </w:tc>
      </w:tr>
    </w:tbl>
    <w:p>
      <w:pPr>
        <w:spacing w:before="0" w:after="40"/>
      </w:pPr>
    </w:p>
    <w:p>
      <w:pPr>
        <w:spacing w:before="200" w:after="60" w:line="276" w:lineRule="auto"/>
        <w:jc w:val="left"/>
      </w:pPr>
      <w:r>
        <w:rPr>
          <w:rFonts w:ascii="Times New Roman" w:hAnsi="Times New Roman"/>
          <w:b/>
          <w:i w:val="0"/>
          <w:color w:val="000000"/>
          <w:sz w:val="22"/>
        </w:rPr>
        <w:t>5.3 AWS Well-Architected Cost Analysis &amp; Free Tier Budget Evaluation</w:t>
      </w:r>
    </w:p>
    <w:p>
      <w:pPr>
        <w:spacing w:before="0" w:after="70" w:line="276" w:lineRule="auto"/>
        <w:jc w:val="both"/>
      </w:pPr>
      <w:r>
        <w:rPr>
          <w:rFonts w:ascii="Times New Roman" w:hAnsi="Times New Roman"/>
          <w:b w:val="0"/>
          <w:i w:val="0"/>
          <w:color w:val="000000"/>
          <w:sz w:val="20"/>
        </w:rPr>
        <w:t>In strict compliance with the AWS Well-Architected Cost Optimization Pillar, the platform was engineered to operate with zero fixed overhead. Table 5 details the monthly AWS Free Tier allowance, actual measured usage for an operational departmental pilot (processing 100 documents/month), and the resulting monthly cloud billing.</w:t>
      </w:r>
    </w:p>
    <w:p>
      <w:pPr>
        <w:spacing w:before="120" w:after="40"/>
        <w:jc w:val="left"/>
      </w:pPr>
      <w:r>
        <w:rPr>
          <w:rFonts w:ascii="Times New Roman" w:hAnsi="Times New Roman"/>
          <w:b/>
          <w:sz w:val="18"/>
        </w:rPr>
        <w:t>Table 5: AWS Well-Architected Monthly Free Tier Budget vs. Measured Workload ($0.00 / Month).</w:t>
      </w:r>
    </w:p>
    <w:tbl>
      <w:tblPr>
        <w:tblW w:type="auto" w:w="0"/>
        <w:jc w:val="center"/>
        <w:tblLayout w:type="fixed"/>
        <w:tblLook w:firstColumn="1" w:firstRow="1" w:lastColumn="0" w:lastRow="0" w:noHBand="0" w:noVBand="1" w:val="04A0"/>
      </w:tblPr>
      <w:tblGrid>
        <w:gridCol w:w="2365"/>
        <w:gridCol w:w="2365"/>
        <w:gridCol w:w="2365"/>
        <w:gridCol w:w="2365"/>
      </w:tblGrid>
      <w:tr>
        <w:trPr>
          <w:tblHeader/>
        </w:trPr>
        <w:tc>
          <w:tcPr>
            <w:tcW w:type="dxa" w:w="2160"/>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AWS Cloud Service</w:t>
            </w:r>
          </w:p>
        </w:tc>
        <w:tc>
          <w:tcPr>
            <w:tcW w:type="dxa" w:w="3024"/>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Free Tier Monthly Allowance</w:t>
            </w:r>
          </w:p>
        </w:tc>
        <w:tc>
          <w:tcPr>
            <w:tcW w:type="dxa" w:w="2448"/>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Departmental Pilot Usage</w:t>
            </w:r>
          </w:p>
        </w:tc>
        <w:tc>
          <w:tcPr>
            <w:tcW w:type="dxa" w:w="1728"/>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Measured Monthly Cost</w:t>
            </w:r>
          </w:p>
        </w:tc>
      </w:tr>
      <w:tr>
        <w:tc>
          <w:tcPr>
            <w:tcW w:type="dxa" w:w="216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Cognito</w:t>
            </w:r>
          </w:p>
        </w:tc>
        <w:tc>
          <w:tcPr>
            <w:tcW w:type="dxa" w:w="302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50,000 Monthly Active Users (MAUs)</w:t>
            </w:r>
          </w:p>
        </w:tc>
        <w:tc>
          <w:tcPr>
            <w:tcW w:type="dxa" w:w="244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25 active user accounts</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$0.00 (Free Tier)</w:t>
            </w:r>
          </w:p>
        </w:tc>
      </w:tr>
      <w:tr>
        <w:tc>
          <w:tcPr>
            <w:tcW w:type="dxa" w:w="216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AWS Lambda</w:t>
            </w:r>
          </w:p>
        </w:tc>
        <w:tc>
          <w:tcPr>
            <w:tcW w:type="dxa" w:w="302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1,000,000 free requests + 3.2M sec compute</w:t>
            </w:r>
          </w:p>
        </w:tc>
        <w:tc>
          <w:tcPr>
            <w:tcW w:type="dxa" w:w="244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~8,500 total invocations</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$0.00 (Free Tier)</w:t>
            </w:r>
          </w:p>
        </w:tc>
      </w:tr>
      <w:tr>
        <w:tc>
          <w:tcPr>
            <w:tcW w:type="dxa" w:w="216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S3 (Storage &amp; Website)</w:t>
            </w:r>
          </w:p>
        </w:tc>
        <w:tc>
          <w:tcPr>
            <w:tcW w:type="dxa" w:w="302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5 GB Standard Storage + 20,000 GETs</w:t>
            </w:r>
          </w:p>
        </w:tc>
        <w:tc>
          <w:tcPr>
            <w:tcW w:type="dxa" w:w="244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420 MB storage + 3,200 GETs</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$0.00 (Free Tier)</w:t>
            </w:r>
          </w:p>
        </w:tc>
      </w:tr>
      <w:tr>
        <w:tc>
          <w:tcPr>
            <w:tcW w:type="dxa" w:w="216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DynamoDB</w:t>
            </w:r>
          </w:p>
        </w:tc>
        <w:tc>
          <w:tcPr>
            <w:tcW w:type="dxa" w:w="302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25 GB Storage + 25 WCU / 25 RCU (On-Demand)</w:t>
            </w:r>
          </w:p>
        </w:tc>
        <w:tc>
          <w:tcPr>
            <w:tcW w:type="dxa" w:w="244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&lt; 15 MB storage (Pay-per-request)</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$0.00 (Free Tier)</w:t>
            </w:r>
          </w:p>
        </w:tc>
      </w:tr>
      <w:tr>
        <w:tc>
          <w:tcPr>
            <w:tcW w:type="dxa" w:w="216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API Gateway</w:t>
            </w:r>
          </w:p>
        </w:tc>
        <w:tc>
          <w:tcPr>
            <w:tcW w:type="dxa" w:w="302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1,000,000 REST API calls/month</w:t>
            </w:r>
          </w:p>
        </w:tc>
        <w:tc>
          <w:tcPr>
            <w:tcW w:type="dxa" w:w="244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~14,000 API requests</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$0.00 (Free Tier)</w:t>
            </w:r>
          </w:p>
        </w:tc>
      </w:tr>
      <w:tr>
        <w:tc>
          <w:tcPr>
            <w:tcW w:type="dxa" w:w="216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CloudWatch</w:t>
            </w:r>
          </w:p>
        </w:tc>
        <w:tc>
          <w:tcPr>
            <w:tcW w:type="dxa" w:w="302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10 custom metrics + 5 GB log ingestion</w:t>
            </w:r>
          </w:p>
        </w:tc>
        <w:tc>
          <w:tcPr>
            <w:tcW w:type="dxa" w:w="244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3 custom metric filters, 14-day retention</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$0.00 (Free Tier)</w:t>
            </w:r>
          </w:p>
        </w:tc>
      </w:tr>
      <w:tr>
        <w:tc>
          <w:tcPr>
            <w:tcW w:type="dxa" w:w="216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Textract</w:t>
            </w:r>
          </w:p>
        </w:tc>
        <w:tc>
          <w:tcPr>
            <w:tcW w:type="dxa" w:w="302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1,000 pages / month (AnalyzeExpense)</w:t>
            </w:r>
          </w:p>
        </w:tc>
        <w:tc>
          <w:tcPr>
            <w:tcW w:type="dxa" w:w="244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~100 test pages parsed</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$0.00 (Free Tier)</w:t>
            </w:r>
          </w:p>
        </w:tc>
      </w:tr>
      <w:tr>
        <w:tc>
          <w:tcPr>
            <w:tcW w:type="dxa" w:w="216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Amazon Rekognition</w:t>
            </w:r>
          </w:p>
        </w:tc>
        <w:tc>
          <w:tcPr>
            <w:tcW w:type="dxa" w:w="302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5,000 free image analyses / month (DetectText)</w:t>
            </w:r>
          </w:p>
        </w:tc>
        <w:tc>
          <w:tcPr>
            <w:tcW w:type="dxa" w:w="244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~150 receipt image runs</w:t>
            </w:r>
          </w:p>
        </w:tc>
        <w:tc>
          <w:tcPr>
            <w:tcW w:type="dxa" w:w="1728"/>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$0.00 (Free Tier)</w:t>
            </w:r>
          </w:p>
        </w:tc>
      </w:tr>
      <w:tr>
        <w:tc>
          <w:tcPr>
            <w:tcW w:type="dxa" w:w="216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Total Platform Expenditure</w:t>
            </w:r>
          </w:p>
        </w:tc>
        <w:tc>
          <w:tcPr>
            <w:tcW w:type="dxa" w:w="302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Complete 100% Serverless Cloud Stack</w:t>
            </w:r>
          </w:p>
        </w:tc>
        <w:tc>
          <w:tcPr>
            <w:tcW w:type="dxa" w:w="244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Full Pilot Operations</w:t>
            </w:r>
          </w:p>
        </w:tc>
        <w:tc>
          <w:tcPr>
            <w:tcW w:type="dxa" w:w="1728"/>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$0.00 / month</w:t>
            </w:r>
          </w:p>
        </w:tc>
      </w:tr>
    </w:tbl>
    <w:p>
      <w:pPr>
        <w:spacing w:before="0" w:after="40"/>
      </w:pPr>
    </w:p>
    <w:p>
      <w:pPr>
        <w:spacing w:before="200" w:after="60" w:line="276" w:lineRule="auto"/>
        <w:jc w:val="left"/>
      </w:pPr>
      <w:r>
        <w:rPr>
          <w:rFonts w:ascii="Times New Roman" w:hAnsi="Times New Roman"/>
          <w:b/>
          <w:i w:val="0"/>
          <w:color w:val="000000"/>
          <w:sz w:val="22"/>
        </w:rPr>
        <w:t>5.4 Architectural Comparison: DocuIntel Serverless vs. Monolithic EC2</w:t>
      </w:r>
    </w:p>
    <w:p>
      <w:pPr>
        <w:spacing w:before="0" w:after="70" w:line="276" w:lineRule="auto"/>
        <w:jc w:val="both"/>
      </w:pPr>
      <w:r>
        <w:rPr>
          <w:rFonts w:ascii="Times New Roman" w:hAnsi="Times New Roman"/>
          <w:b w:val="0"/>
          <w:i w:val="0"/>
          <w:color w:val="000000"/>
          <w:sz w:val="20"/>
        </w:rPr>
        <w:t>Table 6 highlights the stark architectural, financial, and operational advantages of DocuIntel's serverless design compared to legacy virtual machine OCR deployments.</w:t>
      </w:r>
    </w:p>
    <w:p>
      <w:pPr>
        <w:spacing w:before="120" w:after="40"/>
        <w:jc w:val="left"/>
      </w:pPr>
      <w:r>
        <w:rPr>
          <w:rFonts w:ascii="Times New Roman" w:hAnsi="Times New Roman"/>
          <w:b/>
          <w:sz w:val="18"/>
        </w:rPr>
        <w:t>Table 6: Architectural Comparison: DocuIntel Serverless vs. Traditional Monolithic OCR.</w:t>
      </w:r>
    </w:p>
    <w:tbl>
      <w:tblPr>
        <w:tblW w:type="auto" w:w="0"/>
        <w:jc w:val="center"/>
        <w:tblLayout w:type="fixed"/>
        <w:tblLook w:firstColumn="1" w:firstRow="1" w:lastColumn="0" w:lastRow="0" w:noHBand="0" w:noVBand="1" w:val="04A0"/>
      </w:tblPr>
      <w:tblGrid>
        <w:gridCol w:w="3154"/>
        <w:gridCol w:w="3154"/>
        <w:gridCol w:w="3154"/>
      </w:tblGrid>
      <w:tr>
        <w:trPr>
          <w:tblHeader/>
        </w:trPr>
        <w:tc>
          <w:tcPr>
            <w:tcW w:type="dxa" w:w="2304"/>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Evaluation Metric</w:t>
            </w:r>
          </w:p>
        </w:tc>
        <w:tc>
          <w:tcPr>
            <w:tcW w:type="dxa" w:w="3456"/>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Legacy Monolithic Architecture (EC2 + RDS + Tesseract)</w:t>
            </w:r>
          </w:p>
        </w:tc>
        <w:tc>
          <w:tcPr>
            <w:tcW w:type="dxa" w:w="3600"/>
            <w:tcMar>
              <w:top w:w="60" w:type="dxa"/>
              <w:bottom w:w="60" w:type="dxa"/>
              <w:left w:w="60" w:type="dxa"/>
              <w:right w:w="60" w:type="dxa"/>
            </w:tcMar>
            <w:shd w:val="clear" w:color="auto" w:fill="E5E7EB"/>
            <w:tcBorders>
              <w:top w:val="single" w:sz="6" w:space="0" w:color="9CA3AF"/>
              <w:bottom w:val="single" w:sz="6" w:space="0" w:color="9CA3AF"/>
              <w:left w:val="none" w:sz="6" w:space="0" w:color="9CA3AF"/>
              <w:right w:val="none" w:sz="6" w:space="0" w:color="9CA3AF"/>
            </w:tcBorders>
          </w:tcPr>
          <w:p>
            <w:pPr>
              <w:spacing w:before="30" w:after="30" w:line="240" w:lineRule="auto"/>
              <w:jc w:val="center"/>
            </w:pPr>
            <w:r>
              <w:rPr>
                <w:rFonts w:ascii="Times New Roman" w:hAnsi="Times New Roman"/>
                <w:b/>
                <w:color w:val="111827"/>
                <w:sz w:val="17"/>
              </w:rPr>
              <w:t>DocuIntel Serverless Architecture (Lambda + S3 + Textract)</w:t>
            </w:r>
          </w:p>
        </w:tc>
      </w:tr>
      <w:tr>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Monthly Idle Compute Cost</w:t>
            </w:r>
          </w:p>
        </w:tc>
        <w:tc>
          <w:tcPr>
            <w:tcW w:type="dxa" w:w="3456"/>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$65.00 – $120.00 / month (1x t3.medium + db.t3.micro running 24/7)</w:t>
            </w:r>
          </w:p>
        </w:tc>
        <w:tc>
          <w:tcPr>
            <w:tcW w:type="dxa" w:w="360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$0.00 / month (Scales to absolute zero when idle)</w:t>
            </w:r>
          </w:p>
        </w:tc>
      </w:tr>
      <w:tr>
        <w:tc>
          <w:tcPr>
            <w:tcW w:type="dxa" w:w="230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Scaling Latency</w:t>
            </w:r>
          </w:p>
        </w:tc>
        <w:tc>
          <w:tcPr>
            <w:tcW w:type="dxa" w:w="3456"/>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3 to 5 minutes (Auto-Scaling Group VM initialization)</w:t>
            </w:r>
          </w:p>
        </w:tc>
        <w:tc>
          <w:tcPr>
            <w:tcW w:type="dxa" w:w="360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Sub-second (&lt;200 ms Lambda concurrency scaling)</w:t>
            </w:r>
          </w:p>
        </w:tc>
      </w:tr>
      <w:tr>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Ingestion Ceiling</w:t>
            </w:r>
          </w:p>
        </w:tc>
        <w:tc>
          <w:tcPr>
            <w:tcW w:type="dxa" w:w="3456"/>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Limited by EC2 network interface &amp; memory buffer</w:t>
            </w:r>
          </w:p>
        </w:tc>
        <w:tc>
          <w:tcPr>
            <w:tcW w:type="dxa" w:w="360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Direct-to-S3 multi-part parallel transfer (up to 5 TB)</w:t>
            </w:r>
          </w:p>
        </w:tc>
      </w:tr>
      <w:tr>
        <w:tc>
          <w:tcPr>
            <w:tcW w:type="dxa" w:w="230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Extraction Intelligence</w:t>
            </w:r>
          </w:p>
        </w:tc>
        <w:tc>
          <w:tcPr>
            <w:tcW w:type="dxa" w:w="3456"/>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Rigid pixel bounding boxes; breaks on multi-column layouts</w:t>
            </w:r>
          </w:p>
        </w:tc>
        <w:tc>
          <w:tcPr>
            <w:tcW w:type="dxa" w:w="360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Contextual Machine Learning with confidence scoring</w:t>
            </w:r>
          </w:p>
        </w:tc>
      </w:tr>
      <w:tr>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Audit Compliance</w:t>
            </w:r>
          </w:p>
        </w:tc>
        <w:tc>
          <w:tcPr>
            <w:tcW w:type="dxa" w:w="3456"/>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Directly overwrites database rows on human edit</w:t>
            </w:r>
          </w:p>
        </w:tc>
        <w:tc>
          <w:tcPr>
            <w:tcW w:type="dxa" w:w="360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Cryptographic immutability (rawExtraction vs correctedData)</w:t>
            </w:r>
          </w:p>
        </w:tc>
      </w:tr>
      <w:tr>
        <w:tc>
          <w:tcPr>
            <w:tcW w:type="dxa" w:w="2304"/>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OS Maintenance &amp; Patching</w:t>
            </w:r>
          </w:p>
        </w:tc>
        <w:tc>
          <w:tcPr>
            <w:tcW w:type="dxa" w:w="3456"/>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Mandatory Linux patching, security updates, disk resizing</w:t>
            </w:r>
          </w:p>
        </w:tc>
        <w:tc>
          <w:tcPr>
            <w:tcW w:type="dxa" w:w="3600"/>
            <w:tcMar>
              <w:top w:w="60" w:type="dxa"/>
              <w:bottom w:w="60" w:type="dxa"/>
              <w:left w:w="60" w:type="dxa"/>
              <w:right w:w="60" w:type="dxa"/>
            </w:tcMar>
            <w:shd w:val="clear" w:color="auto" w:fill="F9FAFB"/>
            <w:tcBorders>
              <w:top w:val="single" w:sz="4" w:space="0" w:color="E5E7EB"/>
              <w:bottom w:val="single" w:sz="4" w:space="0" w:color="E5E7EB"/>
              <w:left w:val="none" w:sz="4" w:space="0" w:color="E5E7EB"/>
              <w:right w:val="none" w:sz="4" w:space="0" w:color="E5E7EB"/>
            </w:tcBorders>
          </w:tcPr>
          <w:p>
            <w:pPr>
              <w:spacing w:before="20" w:after="20" w:line="240" w:lineRule="auto"/>
              <w:jc w:val="center"/>
            </w:pPr>
            <w:r>
              <w:rPr>
                <w:rFonts w:ascii="Times New Roman" w:hAnsi="Times New Roman"/>
                <w:color w:val="1F2937"/>
                <w:sz w:val="17"/>
              </w:rPr>
              <w:t>100% AWS Managed; zero server maintenance overhead</w:t>
            </w:r>
          </w:p>
        </w:tc>
      </w:tr>
      <w:tr>
        <w:tc>
          <w:tcPr>
            <w:tcW w:type="dxa" w:w="2304"/>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Disaster Recovery</w:t>
            </w:r>
          </w:p>
        </w:tc>
        <w:tc>
          <w:tcPr>
            <w:tcW w:type="dxa" w:w="3456"/>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Requires EBS snapshots and standby database replicas</w:t>
            </w:r>
          </w:p>
        </w:tc>
        <w:tc>
          <w:tcPr>
            <w:tcW w:type="dxa" w:w="3600"/>
            <w:tcMar>
              <w:top w:w="60" w:type="dxa"/>
              <w:bottom w:w="60" w:type="dxa"/>
              <w:left w:w="60" w:type="dxa"/>
              <w:right w:w="60" w:type="dxa"/>
            </w:tcMar>
            <w:tcBorders>
              <w:top w:val="single" w:sz="4" w:space="0" w:color="E5E7EB"/>
              <w:bottom w:val="single" w:sz="4" w:space="0" w:color="E5E7EB"/>
              <w:left w:val="none" w:sz="4" w:space="0" w:color="E5E7EB"/>
              <w:right w:val="none" w:sz="4" w:space="0" w:color="E5E7EB"/>
            </w:tcBorders>
          </w:tcPr>
          <w:p>
            <w:pPr>
              <w:spacing w:before="20" w:after="20" w:line="240" w:lineRule="auto"/>
              <w:jc w:val="left"/>
            </w:pPr>
            <w:r>
              <w:rPr>
                <w:rFonts w:ascii="Times New Roman" w:hAnsi="Times New Roman"/>
                <w:color w:val="1F2937"/>
                <w:sz w:val="17"/>
              </w:rPr>
              <w:t>Multi-AZ native replication built into S3 and DynamoDB</w:t>
            </w:r>
          </w:p>
        </w:tc>
      </w:tr>
    </w:tbl>
    <w:p>
      <w:pPr>
        <w:spacing w:before="0" w:after="40"/>
      </w:pPr>
    </w:p>
    <w:p>
      <w:pPr>
        <w:spacing w:before="200" w:after="60" w:line="276" w:lineRule="auto"/>
        <w:jc w:val="left"/>
      </w:pPr>
      <w:r>
        <w:rPr>
          <w:rFonts w:ascii="Times New Roman" w:hAnsi="Times New Roman"/>
          <w:b/>
          <w:i w:val="0"/>
          <w:color w:val="000000"/>
          <w:sz w:val="22"/>
        </w:rPr>
        <w:t>5.5 Automated Test Verification Summary</w:t>
      </w:r>
    </w:p>
    <w:p>
      <w:pPr>
        <w:spacing w:before="0" w:after="70" w:line="276" w:lineRule="auto"/>
        <w:jc w:val="both"/>
      </w:pPr>
      <w:r>
        <w:rPr>
          <w:rFonts w:ascii="Times New Roman" w:hAnsi="Times New Roman"/>
          <w:b w:val="0"/>
          <w:i w:val="0"/>
          <w:color w:val="000000"/>
          <w:sz w:val="20"/>
        </w:rPr>
        <w:t>The DocuIntel platform is validated through a comprehensive suite of 54 automated unit, integration, and security tests across the stack:</w:t>
      </w:r>
    </w:p>
    <w:p>
      <w:pPr>
        <w:pStyle w:val="ListBullet"/>
        <w:spacing w:before="20" w:after="50" w:line="276" w:lineRule="auto"/>
        <w:jc w:val="both"/>
      </w:pPr>
      <w:r>
        <w:rPr>
          <w:rFonts w:ascii="Times New Roman" w:hAnsi="Times New Roman"/>
          <w:b/>
          <w:sz w:val="20"/>
        </w:rPr>
        <w:t xml:space="preserve">Backend Pytest Suite (36/36 Passing): </w:t>
      </w:r>
      <w:r>
        <w:rPr>
          <w:rFonts w:ascii="Times New Roman" w:hAnsi="Times New Roman"/>
          <w:sz w:val="20"/>
        </w:rPr>
        <w:t>Validates S3 presigned URL generation, MIME validation, path traversal sanitization, DynamoDB UserDocumentsIndex GSI queries, Decimal float serialization, Textract entity normalization, Rekognition OCR fallback, and multi-tenant isolation.</w:t>
      </w:r>
    </w:p>
    <w:p>
      <w:pPr>
        <w:pStyle w:val="ListBullet"/>
        <w:spacing w:before="20" w:after="50" w:line="276" w:lineRule="auto"/>
        <w:jc w:val="both"/>
      </w:pPr>
      <w:r>
        <w:rPr>
          <w:rFonts w:ascii="Times New Roman" w:hAnsi="Times New Roman"/>
          <w:b/>
          <w:sz w:val="20"/>
        </w:rPr>
        <w:t xml:space="preserve">Frontend Node.js Test Suite (18/18 Passing): </w:t>
      </w:r>
      <w:r>
        <w:rPr>
          <w:rFonts w:ascii="Times New Roman" w:hAnsi="Times New Roman"/>
          <w:sz w:val="20"/>
        </w:rPr>
        <w:t>Validates Cognito JWT token decoding, session expiration handling, silent token renewal, client file size and type rejection, and API Gateway error recovery.</w:t>
      </w:r>
    </w:p>
    <w:p>
      <w:pPr>
        <w:pStyle w:val="ListBullet"/>
        <w:spacing w:before="20" w:after="50" w:line="276" w:lineRule="auto"/>
        <w:jc w:val="both"/>
      </w:pPr>
      <w:r>
        <w:rPr>
          <w:rFonts w:ascii="Times New Roman" w:hAnsi="Times New Roman"/>
          <w:b/>
          <w:sz w:val="20"/>
        </w:rPr>
        <w:t xml:space="preserve">Live Cloud End-to-End Diagnostics (19/19 Passing): </w:t>
      </w:r>
      <w:r>
        <w:rPr>
          <w:rFonts w:ascii="Times New Roman" w:hAnsi="Times New Roman"/>
          <w:sz w:val="20"/>
        </w:rPr>
        <w:t>Automated health checks verifying live S3 website availability, API Gateway Cognito authorizer challenges, DynamoDB table responsiveness, and CloudWatch log group retention policies.</w:t>
      </w:r>
    </w:p>
    <w:p>
      <w:pPr>
        <w:spacing w:before="280" w:after="80" w:line="276" w:lineRule="auto"/>
        <w:jc w:val="left"/>
      </w:pPr>
      <w:r>
        <w:rPr>
          <w:rFonts w:ascii="Times New Roman" w:hAnsi="Times New Roman"/>
          <w:b/>
          <w:i w:val="0"/>
          <w:color w:val="000000"/>
          <w:sz w:val="26"/>
        </w:rPr>
        <w:t>6. CONCLUSION &amp; FUTURE SCOPE</w:t>
      </w:r>
    </w:p>
    <w:p>
      <w:pPr>
        <w:spacing w:before="200" w:after="60" w:line="276" w:lineRule="auto"/>
        <w:jc w:val="left"/>
      </w:pPr>
      <w:r>
        <w:rPr>
          <w:rFonts w:ascii="Times New Roman" w:hAnsi="Times New Roman"/>
          <w:b/>
          <w:i w:val="0"/>
          <w:color w:val="000000"/>
          <w:sz w:val="22"/>
        </w:rPr>
        <w:t>6.1 Summary of Project Deliverables</w:t>
      </w:r>
    </w:p>
    <w:p>
      <w:pPr>
        <w:spacing w:before="0" w:after="70" w:line="276" w:lineRule="auto"/>
        <w:jc w:val="both"/>
      </w:pPr>
      <w:r>
        <w:rPr>
          <w:rFonts w:ascii="Times New Roman" w:hAnsi="Times New Roman"/>
          <w:b w:val="0"/>
          <w:i w:val="0"/>
          <w:color w:val="000000"/>
          <w:sz w:val="20"/>
        </w:rPr>
        <w:t>The DocuIntel platform successfully delivers an enterprise-grade, serverless financial document intelligence solution that eliminates manual data entry in accounts payable workflows. By combining direct-to-S3 presigned ingestion, resilient multi-tier AI/OCR extraction (Amazon Textract with Rekognition fallback), an immutable DynamoDB audit architecture, automated mathematical reconciliation, duplicate invoice detection, and a production-quality React 19 review workstation, the project demonstrates the immense power of serverless cloud engineering. Deployed in AWS Region ap-south-1, the platform achieves zero idle costs ($0.00/month), sub-second scaling, and flawless multi-tenant security.</w:t>
      </w:r>
    </w:p>
    <w:p>
      <w:pPr>
        <w:spacing w:before="200" w:after="60" w:line="276" w:lineRule="auto"/>
        <w:jc w:val="left"/>
      </w:pPr>
      <w:r>
        <w:rPr>
          <w:rFonts w:ascii="Times New Roman" w:hAnsi="Times New Roman"/>
          <w:b/>
          <w:i w:val="0"/>
          <w:color w:val="000000"/>
          <w:sz w:val="22"/>
        </w:rPr>
        <w:t>6.2 Future Enhancements</w:t>
      </w:r>
    </w:p>
    <w:p>
      <w:pPr>
        <w:spacing w:before="0" w:after="70" w:line="276" w:lineRule="auto"/>
        <w:jc w:val="both"/>
      </w:pPr>
      <w:r>
        <w:rPr>
          <w:rFonts w:ascii="Times New Roman" w:hAnsi="Times New Roman"/>
          <w:b w:val="0"/>
          <w:i w:val="0"/>
          <w:color w:val="000000"/>
          <w:sz w:val="20"/>
        </w:rPr>
        <w:t>Building upon the completed foundation, future engineering enhancements planned for DocuIntel include:</w:t>
      </w:r>
    </w:p>
    <w:p>
      <w:pPr>
        <w:pStyle w:val="ListBullet"/>
        <w:spacing w:before="20" w:after="50" w:line="276" w:lineRule="auto"/>
        <w:jc w:val="both"/>
      </w:pPr>
      <w:r>
        <w:rPr>
          <w:rFonts w:ascii="Times New Roman" w:hAnsi="Times New Roman"/>
          <w:b/>
          <w:sz w:val="20"/>
        </w:rPr>
        <w:t xml:space="preserve">1. Asynchronous Multi-Page PDF Streaming via Amazon SNS/SQS: </w:t>
      </w:r>
      <w:r>
        <w:rPr>
          <w:rFonts w:ascii="Times New Roman" w:hAnsi="Times New Roman"/>
          <w:sz w:val="20"/>
        </w:rPr>
        <w:t>Extending the pipeline to process 100+ page bulk document bundles asynchronously by orchestrating Textract StartExpenseAnalysis jobs through Amazon SNS notifications and SQS worker queues.</w:t>
      </w:r>
    </w:p>
    <w:p>
      <w:pPr>
        <w:pStyle w:val="ListBullet"/>
        <w:spacing w:before="20" w:after="50" w:line="276" w:lineRule="auto"/>
        <w:jc w:val="both"/>
      </w:pPr>
      <w:r>
        <w:rPr>
          <w:rFonts w:ascii="Times New Roman" w:hAnsi="Times New Roman"/>
          <w:b/>
          <w:sz w:val="20"/>
        </w:rPr>
        <w:t xml:space="preserve">2. Generative AI Line-Item Categorization via Amazon Bedrock: </w:t>
      </w:r>
      <w:r>
        <w:rPr>
          <w:rFonts w:ascii="Times New Roman" w:hAnsi="Times New Roman"/>
          <w:sz w:val="20"/>
        </w:rPr>
        <w:t>Integrating Anthropic Claude 3.5 Sonnet on Amazon Bedrock to automatically map invoice line-item descriptions to standard corporate General Ledger (GL) accounting codes.</w:t>
      </w:r>
    </w:p>
    <w:p>
      <w:pPr>
        <w:pStyle w:val="ListBullet"/>
        <w:spacing w:before="20" w:after="50" w:line="276" w:lineRule="auto"/>
        <w:jc w:val="both"/>
      </w:pPr>
      <w:r>
        <w:rPr>
          <w:rFonts w:ascii="Times New Roman" w:hAnsi="Times New Roman"/>
          <w:b/>
          <w:sz w:val="20"/>
        </w:rPr>
        <w:t xml:space="preserve">3. Real-Time Multi-Currency FX Conversion: </w:t>
      </w:r>
      <w:r>
        <w:rPr>
          <w:rFonts w:ascii="Times New Roman" w:hAnsi="Times New Roman"/>
          <w:sz w:val="20"/>
        </w:rPr>
        <w:t>Incorporating live foreign exchange rate APIs to automatically convert non-domestic currency invoices (USD, EUR, GBP) into the corporate base currency (INR) at spot transaction dates.</w:t>
      </w:r>
    </w:p>
    <w:p>
      <w:pPr>
        <w:spacing w:before="280" w:after="80" w:line="276" w:lineRule="auto"/>
        <w:jc w:val="left"/>
      </w:pPr>
      <w:r>
        <w:rPr>
          <w:rFonts w:ascii="Times New Roman" w:hAnsi="Times New Roman"/>
          <w:b/>
          <w:i w:val="0"/>
          <w:color w:val="000000"/>
          <w:sz w:val="26"/>
        </w:rPr>
        <w:t>7. REFERENCES</w:t>
      </w:r>
    </w:p>
    <w:p>
      <w:pPr>
        <w:spacing w:before="30" w:after="50" w:line="276" w:lineRule="auto"/>
        <w:jc w:val="both"/>
      </w:pPr>
      <w:r>
        <w:rPr>
          <w:rFonts w:ascii="Times New Roman" w:hAnsi="Times New Roman"/>
          <w:sz w:val="18"/>
        </w:rPr>
        <w:t>[1] Amazon Web Services, 'AWS Well-Architected Framework: Cost Optimization Pillar,' AWS Whitepapers, Oct. 2024. [Online]. Available: https://docs.aws.amazon.com/wellarchitected/latest/cost-optimization-pillar/</w:t>
      </w:r>
    </w:p>
    <w:p>
      <w:pPr>
        <w:spacing w:before="30" w:after="50" w:line="276" w:lineRule="auto"/>
        <w:jc w:val="both"/>
      </w:pPr>
      <w:r>
        <w:rPr>
          <w:rFonts w:ascii="Times New Roman" w:hAnsi="Times New Roman"/>
          <w:sz w:val="18"/>
        </w:rPr>
        <w:t>[2] Amazon Web Services, 'Amazon Textract Developer Guide: Analyzing Invoices and Receipts with AnalyzeExpense,' AWS Documentation, 2024. [Online]. Available: https://docs.aws.amazon.com/textract/latest/dg/invoices-receipts.html</w:t>
      </w:r>
    </w:p>
    <w:p>
      <w:pPr>
        <w:spacing w:before="30" w:after="50" w:line="276" w:lineRule="auto"/>
        <w:jc w:val="both"/>
      </w:pPr>
      <w:r>
        <w:rPr>
          <w:rFonts w:ascii="Times New Roman" w:hAnsi="Times New Roman"/>
          <w:sz w:val="18"/>
        </w:rPr>
        <w:t>[3] Amazon Web Services, 'Amazon Rekognition Developer Guide: Detecting Text in Images,' AWS Documentation, 2024. [Online]. Available: https://docs.aws.amazon.com/rekognition/latest/dg/text-detecting-text-procedure.html</w:t>
      </w:r>
    </w:p>
    <w:p>
      <w:pPr>
        <w:spacing w:before="30" w:after="50" w:line="276" w:lineRule="auto"/>
        <w:jc w:val="both"/>
      </w:pPr>
      <w:r>
        <w:rPr>
          <w:rFonts w:ascii="Times New Roman" w:hAnsi="Times New Roman"/>
          <w:sz w:val="18"/>
        </w:rPr>
        <w:t>[4] Ardent Partners, 'The State of Accounts Payable 2024: Technology Transformation and Ingestion Efficiency,' Boston, MA, Research Report, Feb. 2024.</w:t>
      </w:r>
    </w:p>
    <w:p>
      <w:pPr>
        <w:spacing w:before="30" w:after="50" w:line="276" w:lineRule="auto"/>
        <w:jc w:val="both"/>
      </w:pPr>
      <w:r>
        <w:rPr>
          <w:rFonts w:ascii="Times New Roman" w:hAnsi="Times New Roman"/>
          <w:sz w:val="18"/>
        </w:rPr>
        <w:t>[5] Institute of Finance and Management (IOFM), 'Benchmark Survey: Invoice Processing Costs, Turnaround Times, and Error Rates,' IOFM Special Report, 2023.</w:t>
      </w:r>
    </w:p>
    <w:p>
      <w:pPr>
        <w:spacing w:before="30" w:after="50" w:line="276" w:lineRule="auto"/>
        <w:jc w:val="both"/>
      </w:pPr>
      <w:r>
        <w:rPr>
          <w:rFonts w:ascii="Times New Roman" w:hAnsi="Times New Roman"/>
          <w:sz w:val="18"/>
        </w:rPr>
        <w:t>[6] E. S. Raymond, 'The Cathedral and the Bazaar: Musings on Linux and Open Source by an Accidental Revolutionary,' O'Reilly Media, 2001.</w:t>
      </w:r>
    </w:p>
    <w:p>
      <w:pPr>
        <w:spacing w:before="30" w:after="50" w:line="276" w:lineRule="auto"/>
        <w:jc w:val="both"/>
      </w:pPr>
      <w:r>
        <w:rPr>
          <w:rFonts w:ascii="Times New Roman" w:hAnsi="Times New Roman"/>
          <w:sz w:val="18"/>
        </w:rPr>
        <w:t>[7] M. Fowler, 'Patterns of Enterprise Application Architecture: Event-Driven Architecture and Immutability,' Addison-Wesley Professional, 2012.</w:t>
      </w:r>
    </w:p>
    <w:p>
      <w:pPr>
        <w:spacing w:before="30" w:after="50" w:line="276" w:lineRule="auto"/>
        <w:jc w:val="both"/>
      </w:pPr>
      <w:r>
        <w:rPr>
          <w:rFonts w:ascii="Times New Roman" w:hAnsi="Times New Roman"/>
          <w:sz w:val="18"/>
        </w:rPr>
        <w:t>[8] Amazon Web Services, 'Amazon DynamoDB Developer Guide: Best Practices for Using Global Secondary Indexes in DynamoDB,' AWS Documentation, 2024.</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