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jbhi-major-revision-action-plan"/>
    <w:p>
      <w:pPr>
        <w:pStyle w:val="Heading1"/>
      </w:pPr>
      <w:r>
        <w:t xml:space="preserve">JBHI Major Revision Action Plan</w:t>
      </w:r>
    </w:p>
    <w:bookmarkStart w:id="9" w:name="Xd29cf1048c6c349a03145a84a2e0ed7f15fbc73"/>
    <w:p>
      <w:pPr>
        <w:pStyle w:val="Heading2"/>
      </w:pPr>
      <w:r>
        <w:t xml:space="preserve">Phase 1 — Fix the Highest-Risk Scientific Issues First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Reconsider the title and all privacy-related claims.</w:t>
      </w:r>
    </w:p>
    <w:p>
      <w:pPr>
        <w:pStyle w:val="Compact"/>
        <w:numPr>
          <w:ilvl w:val="1"/>
          <w:numId w:val="1002"/>
        </w:numPr>
      </w:pPr>
      <w:r>
        <w:t xml:space="preserve">Remove or substantially revise “privacy-preserving” from the title.</w:t>
      </w:r>
    </w:p>
    <w:p>
      <w:pPr>
        <w:pStyle w:val="Compact"/>
        <w:numPr>
          <w:ilvl w:val="1"/>
          <w:numId w:val="1002"/>
        </w:numPr>
      </w:pPr>
      <w:r>
        <w:t xml:space="preserve">Remove phrases such as “robust privacy guarantees” unless you actually provide formal privacy guarantees.</w:t>
      </w:r>
    </w:p>
    <w:p>
      <w:pPr>
        <w:pStyle w:val="Compact"/>
        <w:numPr>
          <w:ilvl w:val="1"/>
          <w:numId w:val="1002"/>
        </w:numPr>
      </w:pPr>
      <w:r>
        <w:t xml:space="preserve">Replace them with more defensible wording such as “empirical privacy-risk assessment,” “privacy-aware evaluation,” or “proximity-based disclosure-risk assessment.”</w:t>
      </w:r>
    </w:p>
    <w:p>
      <w:pPr>
        <w:pStyle w:val="Compact"/>
        <w:numPr>
          <w:ilvl w:val="1"/>
          <w:numId w:val="1002"/>
        </w:numPr>
      </w:pPr>
      <w:r>
        <w:t xml:space="preserve">Clearly state that DISCO-TAB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 differential privacy.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every privacy-related sentence in the manuscript.</w:t>
      </w:r>
    </w:p>
    <w:p>
      <w:pPr>
        <w:pStyle w:val="Compact"/>
        <w:numPr>
          <w:ilvl w:val="1"/>
          <w:numId w:val="1004"/>
        </w:numPr>
      </w:pPr>
      <w:r>
        <w:t xml:space="preserve">Abstract.</w:t>
      </w:r>
    </w:p>
    <w:p>
      <w:pPr>
        <w:pStyle w:val="Compact"/>
        <w:numPr>
          <w:ilvl w:val="1"/>
          <w:numId w:val="1004"/>
        </w:numPr>
      </w:pPr>
      <w:r>
        <w:t xml:space="preserve">Introduction.</w:t>
      </w:r>
    </w:p>
    <w:p>
      <w:pPr>
        <w:pStyle w:val="Compact"/>
        <w:numPr>
          <w:ilvl w:val="1"/>
          <w:numId w:val="1004"/>
        </w:numPr>
      </w:pPr>
      <w:r>
        <w:t xml:space="preserve">Contributions.</w:t>
      </w:r>
    </w:p>
    <w:p>
      <w:pPr>
        <w:pStyle w:val="Compact"/>
        <w:numPr>
          <w:ilvl w:val="1"/>
          <w:numId w:val="1004"/>
        </w:numPr>
      </w:pPr>
      <w:r>
        <w:t xml:space="preserve">Methodology.</w:t>
      </w:r>
    </w:p>
    <w:p>
      <w:pPr>
        <w:pStyle w:val="Compact"/>
        <w:numPr>
          <w:ilvl w:val="1"/>
          <w:numId w:val="1004"/>
        </w:numPr>
      </w:pPr>
      <w:r>
        <w:t xml:space="preserve">Results.</w:t>
      </w:r>
    </w:p>
    <w:p>
      <w:pPr>
        <w:pStyle w:val="Compact"/>
        <w:numPr>
          <w:ilvl w:val="1"/>
          <w:numId w:val="1004"/>
        </w:numPr>
      </w:pPr>
      <w:r>
        <w:t xml:space="preserve">Discussion.</w:t>
      </w:r>
    </w:p>
    <w:p>
      <w:pPr>
        <w:pStyle w:val="Compact"/>
        <w:numPr>
          <w:ilvl w:val="1"/>
          <w:numId w:val="1004"/>
        </w:numPr>
      </w:pPr>
      <w:r>
        <w:t xml:space="preserve">Conclusion.</w:t>
      </w:r>
    </w:p>
    <w:p>
      <w:pPr>
        <w:pStyle w:val="Compact"/>
        <w:numPr>
          <w:ilvl w:val="1"/>
          <w:numId w:val="1004"/>
        </w:numPr>
      </w:pPr>
      <w:r>
        <w:t xml:space="preserve">Ensure no sentence implies formal privacy protection unless supported.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Fully verify the DCR implementation.</w:t>
      </w:r>
    </w:p>
    <w:p>
      <w:pPr>
        <w:pStyle w:val="Compact"/>
        <w:numPr>
          <w:ilvl w:val="1"/>
          <w:numId w:val="1006"/>
        </w:numPr>
      </w:pPr>
      <w:r>
        <w:t xml:space="preserve">Check how numerical variables are scaled.</w:t>
      </w:r>
    </w:p>
    <w:p>
      <w:pPr>
        <w:pStyle w:val="Compact"/>
        <w:numPr>
          <w:ilvl w:val="1"/>
          <w:numId w:val="1006"/>
        </w:numPr>
      </w:pPr>
      <w:r>
        <w:t xml:space="preserve">Check how categorical variables are encoded.</w:t>
      </w:r>
    </w:p>
    <w:p>
      <w:pPr>
        <w:pStyle w:val="Compact"/>
        <w:numPr>
          <w:ilvl w:val="1"/>
          <w:numId w:val="1006"/>
        </w:numPr>
      </w:pPr>
      <w:r>
        <w:t xml:space="preserve">Check what distance metric is used.</w:t>
      </w:r>
    </w:p>
    <w:p>
      <w:pPr>
        <w:pStyle w:val="Compact"/>
        <w:numPr>
          <w:ilvl w:val="1"/>
          <w:numId w:val="1006"/>
        </w:numPr>
      </w:pPr>
      <w:r>
        <w:t xml:space="preserve">Check whether distance is normalized.</w:t>
      </w:r>
    </w:p>
    <w:p>
      <w:pPr>
        <w:pStyle w:val="Compact"/>
        <w:numPr>
          <w:ilvl w:val="1"/>
          <w:numId w:val="1006"/>
        </w:numPr>
      </w:pPr>
      <w:r>
        <w:t xml:space="preserve">Check which real records are used as the nearest-neighbor reference set.</w:t>
      </w:r>
    </w:p>
    <w:p>
      <w:pPr>
        <w:pStyle w:val="Compact"/>
        <w:numPr>
          <w:ilvl w:val="1"/>
          <w:numId w:val="1006"/>
        </w:numPr>
      </w:pPr>
      <w:r>
        <w:t xml:space="preserve">Check whether train/test information is mixed.</w:t>
      </w:r>
    </w:p>
    <w:p>
      <w:pPr>
        <w:pStyle w:val="Compact"/>
        <w:numPr>
          <w:ilvl w:val="1"/>
          <w:numId w:val="1006"/>
        </w:numPr>
      </w:pPr>
      <w:r>
        <w:t xml:space="preserve">Verify whether DCR values are directly comparable across datasets.</w:t>
      </w:r>
    </w:p>
    <w:p>
      <w:pPr>
        <w:pStyle w:val="Compact"/>
        <w:numPr>
          <w:ilvl w:val="1"/>
          <w:numId w:val="1006"/>
        </w:numPr>
      </w:pPr>
      <w:r>
        <w:t xml:space="preserve">Document the exact implementation from the code.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Rerun the DCR experiment if the original protocol is not defensible.</w:t>
      </w:r>
    </w:p>
    <w:p>
      <w:pPr>
        <w:pStyle w:val="Compact"/>
        <w:numPr>
          <w:ilvl w:val="1"/>
          <w:numId w:val="1008"/>
        </w:numPr>
      </w:pPr>
      <w:r>
        <w:t xml:space="preserve">Use a consistent scaling strategy.</w:t>
      </w:r>
    </w:p>
    <w:p>
      <w:pPr>
        <w:pStyle w:val="Compact"/>
        <w:numPr>
          <w:ilvl w:val="1"/>
          <w:numId w:val="1008"/>
        </w:numPr>
      </w:pPr>
      <w:r>
        <w:t xml:space="preserve">Use a defensible mixed-type distance or carefully justified representation.</w:t>
      </w:r>
    </w:p>
    <w:p>
      <w:pPr>
        <w:pStyle w:val="Compact"/>
        <w:numPr>
          <w:ilvl w:val="1"/>
          <w:numId w:val="1008"/>
        </w:numPr>
      </w:pPr>
      <w:r>
        <w:t xml:space="preserve">Recompute DCR for</w:t>
      </w:r>
      <w:r>
        <w:t xml:space="preserve"> </w:t>
      </w:r>
      <w:r>
        <w:rPr>
          <w:b/>
          <w:bCs/>
        </w:rPr>
        <w:t xml:space="preserve">all methods</w:t>
      </w:r>
      <w:r>
        <w:t xml:space="preserve">, not only DISCO-TAB.</w:t>
      </w:r>
    </w:p>
    <w:p>
      <w:pPr>
        <w:pStyle w:val="Compact"/>
        <w:numPr>
          <w:ilvl w:val="1"/>
          <w:numId w:val="1008"/>
        </w:numPr>
      </w:pPr>
      <w:r>
        <w:t xml:space="preserve">Revise Table III accordingly.</w:t>
      </w:r>
    </w:p>
    <w:p>
      <w:pPr>
        <w:pStyle w:val="Compact"/>
        <w:numPr>
          <w:ilvl w:val="1"/>
          <w:numId w:val="1008"/>
        </w:numPr>
      </w:pPr>
      <w:r>
        <w:t xml:space="preserve">Rewrite the interpretation so higher/lower DCR is not overinterpreted as a formal privacy guarantee.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Investigate the F1 = 1.000 Heart Failure result.</w:t>
      </w:r>
    </w:p>
    <w:p>
      <w:pPr>
        <w:pStyle w:val="Compact"/>
        <w:numPr>
          <w:ilvl w:val="1"/>
          <w:numId w:val="1010"/>
        </w:numPr>
      </w:pPr>
      <w:r>
        <w:t xml:space="preserve">Verify the train/test split.</w:t>
      </w:r>
    </w:p>
    <w:p>
      <w:pPr>
        <w:pStyle w:val="Compact"/>
        <w:numPr>
          <w:ilvl w:val="1"/>
          <w:numId w:val="1010"/>
        </w:numPr>
      </w:pPr>
      <w:r>
        <w:t xml:space="preserve">Check for duplicated patients/records.</w:t>
      </w:r>
    </w:p>
    <w:p>
      <w:pPr>
        <w:pStyle w:val="Compact"/>
        <w:numPr>
          <w:ilvl w:val="1"/>
          <w:numId w:val="1010"/>
        </w:numPr>
      </w:pPr>
      <w:r>
        <w:t xml:space="preserve">Check for target leakage.</w:t>
      </w:r>
    </w:p>
    <w:p>
      <w:pPr>
        <w:pStyle w:val="Compact"/>
        <w:numPr>
          <w:ilvl w:val="1"/>
          <w:numId w:val="1010"/>
        </w:numPr>
      </w:pPr>
      <w:r>
        <w:t xml:space="preserve">Check preprocessing leakage.</w:t>
      </w:r>
    </w:p>
    <w:p>
      <w:pPr>
        <w:pStyle w:val="Compact"/>
        <w:numPr>
          <w:ilvl w:val="1"/>
          <w:numId w:val="1010"/>
        </w:numPr>
      </w:pPr>
      <w:r>
        <w:t xml:space="preserve">Confirm target columns are excluded from predictors.</w:t>
      </w:r>
    </w:p>
    <w:p>
      <w:pPr>
        <w:pStyle w:val="Compact"/>
        <w:numPr>
          <w:ilvl w:val="1"/>
          <w:numId w:val="1010"/>
        </w:numPr>
      </w:pPr>
      <w:r>
        <w:t xml:space="preserve">Confirm synthetic training data are not inadvertently contaminated by test data.</w:t>
      </w:r>
    </w:p>
    <w:p>
      <w:pPr>
        <w:pStyle w:val="Compact"/>
        <w:numPr>
          <w:ilvl w:val="1"/>
          <w:numId w:val="1010"/>
        </w:numPr>
      </w:pPr>
      <w:r>
        <w:t xml:space="preserve">Examine test-set size and class distribution.</w:t>
      </w:r>
    </w:p>
    <w:p>
      <w:pPr>
        <w:pStyle w:val="Compact"/>
        <w:numPr>
          <w:ilvl w:val="1"/>
          <w:numId w:val="1010"/>
        </w:numPr>
      </w:pPr>
      <w:r>
        <w:t xml:space="preserve">Repeat the experiment across multiple random seeds.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Replace single-run Heart Failure results with repeated-run statistics.</w:t>
      </w:r>
    </w:p>
    <w:p>
      <w:pPr>
        <w:pStyle w:val="Compact"/>
        <w:numPr>
          <w:ilvl w:val="1"/>
          <w:numId w:val="1012"/>
        </w:numPr>
      </w:pPr>
      <w:r>
        <w:t xml:space="preserve">Prefer at least 5 seeds; 10 is stronger if computationally feasible.</w:t>
      </w:r>
    </w:p>
    <w:p>
      <w:pPr>
        <w:pStyle w:val="Compact"/>
        <w:numPr>
          <w:ilvl w:val="1"/>
          <w:numId w:val="1012"/>
        </w:numPr>
      </w:pPr>
      <w:r>
        <w:t xml:space="preserve">Report mean ± standard deviation.</w:t>
      </w:r>
    </w:p>
    <w:p>
      <w:pPr>
        <w:pStyle w:val="Compact"/>
        <w:numPr>
          <w:ilvl w:val="1"/>
          <w:numId w:val="1012"/>
        </w:numPr>
      </w:pPr>
      <w:r>
        <w:t xml:space="preserve">If F1 = 1.000 persists, explicitly explain why.</w:t>
      </w:r>
    </w:p>
    <w:p>
      <w:pPr>
        <w:pStyle w:val="Compact"/>
        <w:numPr>
          <w:ilvl w:val="1"/>
          <w:numId w:val="1012"/>
        </w:numPr>
      </w:pPr>
      <w:r>
        <w:t xml:space="preserve">If it does not persist, report the corrected repeated-run estimate without trying to preserve the original 1.000 result.</w:t>
      </w:r>
    </w:p>
    <w:p>
      <w:r>
        <w:pict>
          <v:rect style="width:0;height:1.5pt" o:hralign="center" o:hrstd="t" o:hr="t"/>
        </w:pict>
      </w:r>
    </w:p>
    <w:bookmarkEnd w:id="9"/>
    <w:bookmarkStart w:id="10" w:name="phase-2-strengthen-statistical-rigor"/>
    <w:p>
      <w:pPr>
        <w:pStyle w:val="Heading2"/>
      </w:pPr>
      <w:r>
        <w:t xml:space="preserve">Phase 2 — Strengthen Statistical Rigor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Repeat the main experiments across multiple random seeds.</w:t>
      </w:r>
    </w:p>
    <w:p>
      <w:pPr>
        <w:pStyle w:val="Compact"/>
        <w:numPr>
          <w:ilvl w:val="1"/>
          <w:numId w:val="1014"/>
        </w:numPr>
      </w:pPr>
      <w:r>
        <w:t xml:space="preserve">DISCO-TAB.</w:t>
      </w:r>
    </w:p>
    <w:p>
      <w:pPr>
        <w:pStyle w:val="Compact"/>
        <w:numPr>
          <w:ilvl w:val="1"/>
          <w:numId w:val="1014"/>
        </w:numPr>
      </w:pPr>
      <w:r>
        <w:t xml:space="preserve">Key baselines where feasible.</w:t>
      </w:r>
    </w:p>
    <w:p>
      <w:pPr>
        <w:pStyle w:val="Compact"/>
        <w:numPr>
          <w:ilvl w:val="1"/>
          <w:numId w:val="1014"/>
        </w:numPr>
      </w:pPr>
      <w:r>
        <w:t xml:space="preserve">Especially TSTR downstream utility results.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Report variability.</w:t>
      </w:r>
    </w:p>
    <w:p>
      <w:pPr>
        <w:pStyle w:val="Compact"/>
        <w:numPr>
          <w:ilvl w:val="1"/>
          <w:numId w:val="1016"/>
        </w:numPr>
      </w:pPr>
      <w:r>
        <w:t xml:space="preserve">Mean.</w:t>
      </w:r>
    </w:p>
    <w:p>
      <w:pPr>
        <w:pStyle w:val="Compact"/>
        <w:numPr>
          <w:ilvl w:val="1"/>
          <w:numId w:val="1016"/>
        </w:numPr>
      </w:pPr>
      <w:r>
        <w:t xml:space="preserve">Standard deviation.</w:t>
      </w:r>
    </w:p>
    <w:p>
      <w:pPr>
        <w:pStyle w:val="Compact"/>
        <w:numPr>
          <w:ilvl w:val="1"/>
          <w:numId w:val="1016"/>
        </w:numPr>
      </w:pPr>
      <w:r>
        <w:t xml:space="preserve">Preferably 95% confidence intervals for important metrics.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 an appropriate statistical significance framework.</w:t>
      </w:r>
    </w:p>
    <w:p>
      <w:pPr>
        <w:pStyle w:val="Compact"/>
        <w:numPr>
          <w:ilvl w:val="1"/>
          <w:numId w:val="1018"/>
        </w:numPr>
      </w:pPr>
      <w:r>
        <w:t xml:space="preserve">Determine this only after seeing the experimental structure.</w:t>
      </w:r>
    </w:p>
    <w:p>
      <w:pPr>
        <w:pStyle w:val="Compact"/>
        <w:numPr>
          <w:ilvl w:val="1"/>
          <w:numId w:val="1018"/>
        </w:numPr>
      </w:pPr>
      <w:r>
        <w:t xml:space="preserve">Consider paired tests if methods are evaluated under identical splits/seeds.</w:t>
      </w:r>
    </w:p>
    <w:p>
      <w:pPr>
        <w:pStyle w:val="Compact"/>
        <w:numPr>
          <w:ilvl w:val="1"/>
          <w:numId w:val="1018"/>
        </w:numPr>
      </w:pPr>
      <w:r>
        <w:t xml:space="preserve">Consider Wilcoxon signed-rank when normality is questionable.</w:t>
      </w:r>
    </w:p>
    <w:p>
      <w:pPr>
        <w:pStyle w:val="Compact"/>
        <w:numPr>
          <w:ilvl w:val="1"/>
          <w:numId w:val="1018"/>
        </w:numPr>
      </w:pPr>
      <w:r>
        <w:t xml:space="preserve">Consider Friedman + post-hoc analysis for multiple algorithms across multiple datasets.</w:t>
      </w:r>
    </w:p>
    <w:p>
      <w:pPr>
        <w:pStyle w:val="Compact"/>
        <w:numPr>
          <w:ilvl w:val="1"/>
          <w:numId w:val="1018"/>
        </w:numPr>
      </w:pPr>
      <w:r>
        <w:t xml:space="preserve">Report effect sizes where meaningful.</w:t>
      </w:r>
    </w:p>
    <w:p>
      <w:pPr>
        <w:pStyle w:val="Compact"/>
        <w:numPr>
          <w:ilvl w:val="1"/>
          <w:numId w:val="1018"/>
        </w:numPr>
      </w:pPr>
      <w:r>
        <w:t xml:space="preserve">Avoid presenting p-values without practical effect sizes.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Add statistical significance information to the Results.</w:t>
      </w:r>
    </w:p>
    <w:p>
      <w:pPr>
        <w:pStyle w:val="Compact"/>
        <w:numPr>
          <w:ilvl w:val="1"/>
          <w:numId w:val="1020"/>
        </w:numPr>
      </w:pPr>
      <w:r>
        <w:t xml:space="preserve">Clearly state the null hypothesis.</w:t>
      </w:r>
    </w:p>
    <w:p>
      <w:pPr>
        <w:pStyle w:val="Compact"/>
        <w:numPr>
          <w:ilvl w:val="1"/>
          <w:numId w:val="1020"/>
        </w:numPr>
      </w:pPr>
      <w:r>
        <w:t xml:space="preserve">State the test used.</w:t>
      </w:r>
    </w:p>
    <w:p>
      <w:pPr>
        <w:pStyle w:val="Compact"/>
        <w:numPr>
          <w:ilvl w:val="1"/>
          <w:numId w:val="1020"/>
        </w:numPr>
      </w:pPr>
      <w:r>
        <w:t xml:space="preserve">State significance threshold.</w:t>
      </w:r>
    </w:p>
    <w:p>
      <w:pPr>
        <w:pStyle w:val="Compact"/>
        <w:numPr>
          <w:ilvl w:val="1"/>
          <w:numId w:val="1020"/>
        </w:numPr>
      </w:pPr>
      <w:r>
        <w:t xml:space="preserve">State whether multiple-comparison correction is used.</w:t>
      </w:r>
    </w:p>
    <w:p>
      <w:pPr>
        <w:pStyle w:val="Compact"/>
        <w:numPr>
          <w:ilvl w:val="1"/>
          <w:numId w:val="1020"/>
        </w:numPr>
      </w:pPr>
      <w:r>
        <w:t xml:space="preserve">Do not overclaim nonsignificant numerical gains.</w:t>
      </w:r>
    </w:p>
    <w:p>
      <w:r>
        <w:pict>
          <v:rect style="width:0;height:1.5pt" o:hralign="center" o:hrstd="t" o:hr="t"/>
        </w:pict>
      </w:r>
    </w:p>
    <w:bookmarkEnd w:id="10"/>
    <w:bookmarkStart w:id="11" w:name="Xcfe9a447f1fefecc011f66f88ca235ee45565d6"/>
    <w:p>
      <w:pPr>
        <w:pStyle w:val="Heading2"/>
      </w:pPr>
      <w:r>
        <w:t xml:space="preserve">Phase 3 — Fix All Quantitative Inconsistencies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Audit every number in the Abstract against the final tables.</w:t>
      </w:r>
    </w:p>
    <w:p>
      <w:pPr>
        <w:pStyle w:val="Compact"/>
        <w:numPr>
          <w:ilvl w:val="1"/>
          <w:numId w:val="1022"/>
        </w:numPr>
      </w:pPr>
      <w:r>
        <w:t xml:space="preserve">Especially the “JSD &lt; 0.01” claim.</w:t>
      </w:r>
    </w:p>
    <w:p>
      <w:pPr>
        <w:pStyle w:val="Compact"/>
        <w:numPr>
          <w:ilvl w:val="1"/>
          <w:numId w:val="1022"/>
        </w:numPr>
      </w:pPr>
      <w:r>
        <w:t xml:space="preserve">Remove or revise any unsupported statement.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Standardize how improvement is reported.</w:t>
      </w:r>
    </w:p>
    <w:p>
      <w:pPr>
        <w:pStyle w:val="Compact"/>
        <w:numPr>
          <w:ilvl w:val="1"/>
          <w:numId w:val="1024"/>
        </w:numPr>
      </w:pPr>
      <w:r>
        <w:t xml:space="preserve">Choose either absolute F1 gain or relative percentage improvement.</w:t>
      </w:r>
    </w:p>
    <w:p>
      <w:pPr>
        <w:pStyle w:val="Compact"/>
        <w:numPr>
          <w:ilvl w:val="1"/>
          <w:numId w:val="1024"/>
        </w:numPr>
      </w:pPr>
      <w:r>
        <w:t xml:space="preserve">Do not mix “+0.382 F1” with “38.2% improvement” unless clearly explained.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Check dataset counts everywhere.</w:t>
      </w:r>
    </w:p>
    <w:p>
      <w:pPr>
        <w:pStyle w:val="Compact"/>
        <w:numPr>
          <w:ilvl w:val="1"/>
          <w:numId w:val="1026"/>
        </w:numPr>
      </w:pPr>
      <w:r>
        <w:t xml:space="preserve">Abstract.</w:t>
      </w:r>
    </w:p>
    <w:p>
      <w:pPr>
        <w:pStyle w:val="Compact"/>
        <w:numPr>
          <w:ilvl w:val="1"/>
          <w:numId w:val="1026"/>
        </w:numPr>
      </w:pPr>
      <w:r>
        <w:t xml:space="preserve">Introduction.</w:t>
      </w:r>
    </w:p>
    <w:p>
      <w:pPr>
        <w:pStyle w:val="Compact"/>
        <w:numPr>
          <w:ilvl w:val="1"/>
          <w:numId w:val="1026"/>
        </w:numPr>
      </w:pPr>
      <w:r>
        <w:t xml:space="preserve">Contributions.</w:t>
      </w:r>
    </w:p>
    <w:p>
      <w:pPr>
        <w:pStyle w:val="Compact"/>
        <w:numPr>
          <w:ilvl w:val="1"/>
          <w:numId w:val="1026"/>
        </w:numPr>
      </w:pPr>
      <w:r>
        <w:t xml:space="preserve">Experimental setup.</w:t>
      </w:r>
    </w:p>
    <w:p>
      <w:pPr>
        <w:pStyle w:val="Compact"/>
        <w:numPr>
          <w:ilvl w:val="1"/>
          <w:numId w:val="1026"/>
        </w:numPr>
      </w:pPr>
      <w:r>
        <w:t xml:space="preserve">Discussion.</w:t>
      </w:r>
    </w:p>
    <w:p>
      <w:pPr>
        <w:pStyle w:val="Compact"/>
        <w:numPr>
          <w:ilvl w:val="1"/>
          <w:numId w:val="1026"/>
        </w:numPr>
      </w:pPr>
      <w:r>
        <w:t xml:space="preserve">Conclusion.</w:t>
      </w:r>
    </w:p>
    <w:p>
      <w:pPr>
        <w:pStyle w:val="Compact"/>
        <w:numPr>
          <w:ilvl w:val="1"/>
          <w:numId w:val="1026"/>
        </w:numPr>
      </w:pPr>
      <w:r>
        <w:t xml:space="preserve">Ensure “nine datasets,” “ten benchmarks,” etc. are consistent.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Check baseline counts everywhere.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Verify all table values against the raw experiment files.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Check that narrative interpretations match the actual values.</w:t>
      </w:r>
    </w:p>
    <w:p>
      <w:r>
        <w:pict>
          <v:rect style="width:0;height:1.5pt" o:hralign="center" o:hrstd="t" o:hr="t"/>
        </w:pict>
      </w:r>
    </w:p>
    <w:bookmarkEnd w:id="11"/>
    <w:bookmarkStart w:id="12" w:name="Xff281f26014cfedc1d130d7d7af7b46c83bfddd"/>
    <w:p>
      <w:pPr>
        <w:pStyle w:val="Heading2"/>
      </w:pPr>
      <w:r>
        <w:t xml:space="preserve">Phase 4 — Improve Experimental Reproducibility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Create a comprehensive dataset table.</w:t>
      </w:r>
      <w:r>
        <w:t xml:space="preserve"> </w:t>
      </w:r>
      <w:r>
        <w:t xml:space="preserve">Include:</w:t>
      </w:r>
    </w:p>
    <w:p>
      <w:pPr>
        <w:pStyle w:val="Compact"/>
        <w:numPr>
          <w:ilvl w:val="1"/>
          <w:numId w:val="1031"/>
        </w:numPr>
      </w:pPr>
      <w:r>
        <w:t xml:space="preserve">Dataset name.</w:t>
      </w:r>
    </w:p>
    <w:p>
      <w:pPr>
        <w:pStyle w:val="Compact"/>
        <w:numPr>
          <w:ilvl w:val="1"/>
          <w:numId w:val="1031"/>
        </w:numPr>
      </w:pPr>
      <w:r>
        <w:t xml:space="preserve">Data source.</w:t>
      </w:r>
    </w:p>
    <w:p>
      <w:pPr>
        <w:pStyle w:val="Compact"/>
        <w:numPr>
          <w:ilvl w:val="1"/>
          <w:numId w:val="1031"/>
        </w:numPr>
      </w:pPr>
      <w:r>
        <w:t xml:space="preserve">Number of records.</w:t>
      </w:r>
    </w:p>
    <w:p>
      <w:pPr>
        <w:pStyle w:val="Compact"/>
        <w:numPr>
          <w:ilvl w:val="1"/>
          <w:numId w:val="1031"/>
        </w:numPr>
      </w:pPr>
      <w:r>
        <w:t xml:space="preserve">Number of features.</w:t>
      </w:r>
    </w:p>
    <w:p>
      <w:pPr>
        <w:pStyle w:val="Compact"/>
        <w:numPr>
          <w:ilvl w:val="1"/>
          <w:numId w:val="1031"/>
        </w:numPr>
      </w:pPr>
      <w:r>
        <w:t xml:space="preserve">Numerical/categorical feature counts.</w:t>
      </w:r>
    </w:p>
    <w:p>
      <w:pPr>
        <w:pStyle w:val="Compact"/>
        <w:numPr>
          <w:ilvl w:val="1"/>
          <w:numId w:val="1031"/>
        </w:numPr>
      </w:pPr>
      <w:r>
        <w:t xml:space="preserve">Target variable.</w:t>
      </w:r>
    </w:p>
    <w:p>
      <w:pPr>
        <w:pStyle w:val="Compact"/>
        <w:numPr>
          <w:ilvl w:val="1"/>
          <w:numId w:val="1031"/>
        </w:numPr>
      </w:pPr>
      <w:r>
        <w:t xml:space="preserve">Number of classes.</w:t>
      </w:r>
    </w:p>
    <w:p>
      <w:pPr>
        <w:pStyle w:val="Compact"/>
        <w:numPr>
          <w:ilvl w:val="1"/>
          <w:numId w:val="1031"/>
        </w:numPr>
      </w:pPr>
      <w:r>
        <w:t xml:space="preserve">Class distribution.</w:t>
      </w:r>
    </w:p>
    <w:p>
      <w:pPr>
        <w:pStyle w:val="Compact"/>
        <w:numPr>
          <w:ilvl w:val="1"/>
          <w:numId w:val="1031"/>
        </w:numPr>
      </w:pPr>
      <w:r>
        <w:t xml:space="preserve">Imbalance ratio.</w:t>
      </w:r>
    </w:p>
    <w:p>
      <w:pPr>
        <w:pStyle w:val="Compact"/>
        <w:numPr>
          <w:ilvl w:val="1"/>
          <w:numId w:val="1031"/>
        </w:numPr>
      </w:pPr>
      <w:r>
        <w:t xml:space="preserve">Missing-data characteristics.</w:t>
      </w:r>
    </w:p>
    <w:p>
      <w:pPr>
        <w:pStyle w:val="Compact"/>
        <w:numPr>
          <w:ilvl w:val="1"/>
          <w:numId w:val="1031"/>
        </w:numPr>
      </w:pPr>
      <w:r>
        <w:t xml:space="preserve">Train/validation/test split.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Expand the preprocessing description.</w:t>
      </w:r>
    </w:p>
    <w:p>
      <w:pPr>
        <w:pStyle w:val="Compact"/>
        <w:numPr>
          <w:ilvl w:val="1"/>
          <w:numId w:val="1033"/>
        </w:numPr>
      </w:pPr>
      <w:r>
        <w:t xml:space="preserve">Missing-value handling.</w:t>
      </w:r>
    </w:p>
    <w:p>
      <w:pPr>
        <w:pStyle w:val="Compact"/>
        <w:numPr>
          <w:ilvl w:val="1"/>
          <w:numId w:val="1033"/>
        </w:numPr>
      </w:pPr>
      <w:r>
        <w:t xml:space="preserve">Categorical encoding.</w:t>
      </w:r>
    </w:p>
    <w:p>
      <w:pPr>
        <w:pStyle w:val="Compact"/>
        <w:numPr>
          <w:ilvl w:val="1"/>
          <w:numId w:val="1033"/>
        </w:numPr>
      </w:pPr>
      <w:r>
        <w:t xml:space="preserve">Numerical scaling.</w:t>
      </w:r>
    </w:p>
    <w:p>
      <w:pPr>
        <w:pStyle w:val="Compact"/>
        <w:numPr>
          <w:ilvl w:val="1"/>
          <w:numId w:val="1033"/>
        </w:numPr>
      </w:pPr>
      <w:r>
        <w:t xml:space="preserve">Feature ordering.</w:t>
      </w:r>
    </w:p>
    <w:p>
      <w:pPr>
        <w:pStyle w:val="Compact"/>
        <w:numPr>
          <w:ilvl w:val="1"/>
          <w:numId w:val="1033"/>
        </w:numPr>
      </w:pPr>
      <w:r>
        <w:t xml:space="preserve">Target handling.</w:t>
      </w:r>
    </w:p>
    <w:p>
      <w:pPr>
        <w:pStyle w:val="Compact"/>
        <w:numPr>
          <w:ilvl w:val="1"/>
          <w:numId w:val="1033"/>
        </w:numPr>
      </w:pPr>
      <w:r>
        <w:t xml:space="preserve">Serialization format.</w:t>
      </w:r>
    </w:p>
    <w:p>
      <w:pPr>
        <w:pStyle w:val="Compact"/>
        <w:numPr>
          <w:ilvl w:val="1"/>
          <w:numId w:val="1033"/>
        </w:numPr>
      </w:pPr>
      <w:r>
        <w:t xml:space="preserve">Whether scaling parameters are estimated only on training data.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Document generator configuration.</w:t>
      </w:r>
    </w:p>
    <w:p>
      <w:pPr>
        <w:pStyle w:val="Compact"/>
        <w:numPr>
          <w:ilvl w:val="1"/>
          <w:numId w:val="1035"/>
        </w:numPr>
      </w:pPr>
      <w:r>
        <w:t xml:space="preserve">Backbone/model.</w:t>
      </w:r>
    </w:p>
    <w:p>
      <w:pPr>
        <w:pStyle w:val="Compact"/>
        <w:numPr>
          <w:ilvl w:val="1"/>
          <w:numId w:val="1035"/>
        </w:numPr>
      </w:pPr>
      <w:r>
        <w:t xml:space="preserve">Model size.</w:t>
      </w:r>
    </w:p>
    <w:p>
      <w:pPr>
        <w:pStyle w:val="Compact"/>
        <w:numPr>
          <w:ilvl w:val="1"/>
          <w:numId w:val="1035"/>
        </w:numPr>
      </w:pPr>
      <w:r>
        <w:t xml:space="preserve">Context length.</w:t>
      </w:r>
    </w:p>
    <w:p>
      <w:pPr>
        <w:pStyle w:val="Compact"/>
        <w:numPr>
          <w:ilvl w:val="1"/>
          <w:numId w:val="1035"/>
        </w:numPr>
      </w:pPr>
      <w:r>
        <w:t xml:space="preserve">Tokenizer.</w:t>
      </w:r>
    </w:p>
    <w:p>
      <w:pPr>
        <w:pStyle w:val="Compact"/>
        <w:numPr>
          <w:ilvl w:val="1"/>
          <w:numId w:val="1035"/>
        </w:numPr>
      </w:pPr>
      <w:r>
        <w:t xml:space="preserve">Learning rate.</w:t>
      </w:r>
    </w:p>
    <w:p>
      <w:pPr>
        <w:pStyle w:val="Compact"/>
        <w:numPr>
          <w:ilvl w:val="1"/>
          <w:numId w:val="1035"/>
        </w:numPr>
      </w:pPr>
      <w:r>
        <w:t xml:space="preserve">Batch size.</w:t>
      </w:r>
    </w:p>
    <w:p>
      <w:pPr>
        <w:pStyle w:val="Compact"/>
        <w:numPr>
          <w:ilvl w:val="1"/>
          <w:numId w:val="1035"/>
        </w:numPr>
      </w:pPr>
      <w:r>
        <w:t xml:space="preserve">Number of epochs/steps.</w:t>
      </w:r>
    </w:p>
    <w:p>
      <w:pPr>
        <w:pStyle w:val="Compact"/>
        <w:numPr>
          <w:ilvl w:val="1"/>
          <w:numId w:val="1035"/>
        </w:numPr>
      </w:pPr>
      <w:r>
        <w:t xml:space="preserve">Optimizer.</w:t>
      </w:r>
    </w:p>
    <w:p>
      <w:pPr>
        <w:pStyle w:val="Compact"/>
        <w:numPr>
          <w:ilvl w:val="1"/>
          <w:numId w:val="1035"/>
        </w:numPr>
      </w:pPr>
      <w:r>
        <w:t xml:space="preserve">Stopping criteria.</w:t>
      </w:r>
    </w:p>
    <w:p>
      <w:pPr>
        <w:pStyle w:val="Compact"/>
        <w:numPr>
          <w:ilvl w:val="1"/>
          <w:numId w:val="1035"/>
        </w:numPr>
      </w:pPr>
      <w:r>
        <w:t xml:space="preserve">Random seeds.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Document PPO configuration completely.</w:t>
      </w:r>
    </w:p>
    <w:p>
      <w:pPr>
        <w:pStyle w:val="Compact"/>
        <w:numPr>
          <w:ilvl w:val="1"/>
          <w:numId w:val="1037"/>
        </w:numPr>
      </w:pPr>
      <w:r>
        <w:t xml:space="preserve">Learning rate.</w:t>
      </w:r>
    </w:p>
    <w:p>
      <w:pPr>
        <w:pStyle w:val="Compact"/>
        <w:numPr>
          <w:ilvl w:val="1"/>
          <w:numId w:val="1037"/>
        </w:numPr>
      </w:pPr>
      <w:r>
        <w:t xml:space="preserve">Batch size.</w:t>
      </w:r>
    </w:p>
    <w:p>
      <w:pPr>
        <w:pStyle w:val="Compact"/>
        <w:numPr>
          <w:ilvl w:val="1"/>
          <w:numId w:val="1037"/>
        </w:numPr>
      </w:pPr>
      <w:r>
        <w:t xml:space="preserve">Number of PPO epochs.</w:t>
      </w:r>
    </w:p>
    <w:p>
      <w:pPr>
        <w:pStyle w:val="Compact"/>
        <w:numPr>
          <w:ilvl w:val="1"/>
          <w:numId w:val="1037"/>
        </w:numPr>
      </w:pPr>
      <w:r>
        <w:t xml:space="preserve">Clipping parameter.</w:t>
      </w:r>
    </w:p>
    <w:p>
      <w:pPr>
        <w:pStyle w:val="Compact"/>
        <w:numPr>
          <w:ilvl w:val="1"/>
          <w:numId w:val="1037"/>
        </w:numPr>
      </w:pPr>
      <w:r>
        <w:t xml:space="preserve">KL coefficient/constraint.</w:t>
      </w:r>
    </w:p>
    <w:p>
      <w:pPr>
        <w:pStyle w:val="Compact"/>
        <w:numPr>
          <w:ilvl w:val="1"/>
          <w:numId w:val="1037"/>
        </w:numPr>
      </w:pPr>
      <w:r>
        <w:t xml:space="preserve">Discount factor.</w:t>
      </w:r>
    </w:p>
    <w:p>
      <w:pPr>
        <w:pStyle w:val="Compact"/>
        <w:numPr>
          <w:ilvl w:val="1"/>
          <w:numId w:val="1037"/>
        </w:numPr>
      </w:pPr>
      <w:r>
        <w:t xml:space="preserve">Advantage calculation.</w:t>
      </w:r>
    </w:p>
    <w:p>
      <w:pPr>
        <w:pStyle w:val="Compact"/>
        <w:numPr>
          <w:ilvl w:val="1"/>
          <w:numId w:val="1037"/>
        </w:numPr>
      </w:pPr>
      <w:r>
        <w:t xml:space="preserve">Reward normalization.</w:t>
      </w:r>
    </w:p>
    <w:p>
      <w:pPr>
        <w:pStyle w:val="Compact"/>
        <w:numPr>
          <w:ilvl w:val="1"/>
          <w:numId w:val="1037"/>
        </w:numPr>
      </w:pPr>
      <w:r>
        <w:t xml:space="preserve">Generation parameters.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Document every discriminator.</w:t>
      </w:r>
    </w:p>
    <w:p>
      <w:pPr>
        <w:pStyle w:val="Compact"/>
        <w:numPr>
          <w:ilvl w:val="1"/>
          <w:numId w:val="1039"/>
        </w:numPr>
      </w:pPr>
      <w:r>
        <w:t xml:space="preserve">Architecture.</w:t>
      </w:r>
    </w:p>
    <w:p>
      <w:pPr>
        <w:pStyle w:val="Compact"/>
        <w:numPr>
          <w:ilvl w:val="1"/>
          <w:numId w:val="1039"/>
        </w:numPr>
      </w:pPr>
      <w:r>
        <w:t xml:space="preserve">Inputs.</w:t>
      </w:r>
    </w:p>
    <w:p>
      <w:pPr>
        <w:pStyle w:val="Compact"/>
        <w:numPr>
          <w:ilvl w:val="1"/>
          <w:numId w:val="1039"/>
        </w:numPr>
      </w:pPr>
      <w:r>
        <w:t xml:space="preserve">Labels.</w:t>
      </w:r>
    </w:p>
    <w:p>
      <w:pPr>
        <w:pStyle w:val="Compact"/>
        <w:numPr>
          <w:ilvl w:val="1"/>
          <w:numId w:val="1039"/>
        </w:numPr>
      </w:pPr>
      <w:r>
        <w:t xml:space="preserve">Training-set construction.</w:t>
      </w:r>
    </w:p>
    <w:p>
      <w:pPr>
        <w:pStyle w:val="Compact"/>
        <w:numPr>
          <w:ilvl w:val="1"/>
          <w:numId w:val="1039"/>
        </w:numPr>
      </w:pPr>
      <w:r>
        <w:t xml:space="preserve">Hidden sizes.</w:t>
      </w:r>
    </w:p>
    <w:p>
      <w:pPr>
        <w:pStyle w:val="Compact"/>
        <w:numPr>
          <w:ilvl w:val="1"/>
          <w:numId w:val="1039"/>
        </w:numPr>
      </w:pPr>
      <w:r>
        <w:t xml:space="preserve">Loss function.</w:t>
      </w:r>
    </w:p>
    <w:p>
      <w:pPr>
        <w:pStyle w:val="Compact"/>
        <w:numPr>
          <w:ilvl w:val="1"/>
          <w:numId w:val="1039"/>
        </w:numPr>
      </w:pPr>
      <w:r>
        <w:t xml:space="preserve">Optimizer.</w:t>
      </w:r>
    </w:p>
    <w:p>
      <w:pPr>
        <w:pStyle w:val="Compact"/>
        <w:numPr>
          <w:ilvl w:val="1"/>
          <w:numId w:val="1039"/>
        </w:numPr>
      </w:pPr>
      <w:r>
        <w:t xml:space="preserve">Epochs.</w:t>
      </w:r>
    </w:p>
    <w:p>
      <w:pPr>
        <w:pStyle w:val="Compact"/>
        <w:numPr>
          <w:ilvl w:val="1"/>
          <w:numId w:val="1039"/>
        </w:numPr>
      </w:pPr>
      <w:r>
        <w:t xml:space="preserve">Validation procedure.</w:t>
      </w:r>
    </w:p>
    <w:p>
      <w:pPr>
        <w:pStyle w:val="Compact"/>
        <w:numPr>
          <w:ilvl w:val="1"/>
          <w:numId w:val="1039"/>
        </w:numPr>
      </w:pPr>
      <w:r>
        <w:t xml:space="preserve">Performance of the discriminator itself, if available.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Clarify the sentence-level discriminator.</w:t>
      </w:r>
    </w:p>
    <w:p>
      <w:pPr>
        <w:pStyle w:val="Compact"/>
        <w:numPr>
          <w:ilvl w:val="1"/>
          <w:numId w:val="1041"/>
        </w:numPr>
      </w:pPr>
      <w:r>
        <w:t xml:space="preserve">Explain exactly what constitutes a “sentence.”</w:t>
      </w:r>
    </w:p>
    <w:p>
      <w:pPr>
        <w:pStyle w:val="Compact"/>
        <w:numPr>
          <w:ilvl w:val="1"/>
          <w:numId w:val="1041"/>
        </w:numPr>
      </w:pPr>
      <w:r>
        <w:t xml:space="preserve">Explain how cross-feature contradictions are detected.</w:t>
      </w:r>
    </w:p>
    <w:p>
      <w:pPr>
        <w:pStyle w:val="Compact"/>
        <w:numPr>
          <w:ilvl w:val="1"/>
          <w:numId w:val="1041"/>
        </w:numPr>
      </w:pPr>
      <w:r>
        <w:t xml:space="preserve">Ensure examples such as sex–pregnancy contradictions are logically consistent with what the discriminator actually sees.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Clarify token-level validation.</w:t>
      </w:r>
    </w:p>
    <w:p>
      <w:pPr>
        <w:pStyle w:val="Compact"/>
        <w:numPr>
          <w:ilvl w:val="1"/>
          <w:numId w:val="1043"/>
        </w:numPr>
      </w:pPr>
      <w:r>
        <w:t xml:space="preserve">Explain why this is learned rather than deterministic.</w:t>
      </w:r>
    </w:p>
    <w:p>
      <w:pPr>
        <w:pStyle w:val="Compact"/>
        <w:numPr>
          <w:ilvl w:val="1"/>
          <w:numId w:val="1043"/>
        </w:numPr>
      </w:pPr>
      <w:r>
        <w:t xml:space="preserve">If possible, compare learned versus rule-based validation.</w:t>
      </w:r>
    </w:p>
    <w:p>
      <w:pPr>
        <w:pStyle w:val="Compact"/>
        <w:numPr>
          <w:ilvl w:val="1"/>
          <w:numId w:val="1043"/>
        </w:numPr>
      </w:pPr>
      <w:r>
        <w:t xml:space="preserve">At minimum, acknowledge this design choice as a limitation.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Document automated constraint discovery.</w:t>
      </w:r>
    </w:p>
    <w:p>
      <w:pPr>
        <w:pStyle w:val="Compact"/>
        <w:numPr>
          <w:ilvl w:val="1"/>
          <w:numId w:val="1045"/>
        </w:numPr>
      </w:pPr>
      <w:r>
        <w:t xml:space="preserve">Pearson correlation threshold.</w:t>
      </w:r>
    </w:p>
    <w:p>
      <w:pPr>
        <w:pStyle w:val="Compact"/>
        <w:numPr>
          <w:ilvl w:val="1"/>
          <w:numId w:val="1045"/>
        </w:numPr>
      </w:pPr>
      <w:r>
        <w:t xml:space="preserve">Cramér’s V threshold.</w:t>
      </w:r>
    </w:p>
    <w:p>
      <w:pPr>
        <w:pStyle w:val="Compact"/>
        <w:numPr>
          <w:ilvl w:val="1"/>
          <w:numId w:val="1045"/>
        </w:numPr>
      </w:pPr>
      <w:r>
        <w:t xml:space="preserve">Correlation ratio threshold.</w:t>
      </w:r>
    </w:p>
    <w:p>
      <w:pPr>
        <w:pStyle w:val="Compact"/>
        <w:numPr>
          <w:ilvl w:val="1"/>
          <w:numId w:val="1045"/>
        </w:numPr>
      </w:pPr>
      <w:r>
        <w:t xml:space="preserve">Top-k procedure.</w:t>
      </w:r>
    </w:p>
    <w:p>
      <w:pPr>
        <w:pStyle w:val="Compact"/>
        <w:numPr>
          <w:ilvl w:val="1"/>
          <w:numId w:val="1045"/>
        </w:numPr>
      </w:pPr>
      <w:r>
        <w:t xml:space="preserve">How redundant constraints are removed.</w:t>
      </w:r>
    </w:p>
    <w:p>
      <w:pPr>
        <w:pStyle w:val="Compact"/>
        <w:numPr>
          <w:ilvl w:val="1"/>
          <w:numId w:val="1045"/>
        </w:numPr>
      </w:pPr>
      <w:r>
        <w:t xml:space="preserve">Whether thresholds are fixed across datasets.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Document reward weights.</w:t>
      </w:r>
    </w:p>
    <w:p>
      <w:pPr>
        <w:pStyle w:val="Compact"/>
        <w:numPr>
          <w:ilvl w:val="1"/>
          <w:numId w:val="1047"/>
        </w:numPr>
      </w:pPr>
      <w:r>
        <w:t xml:space="preserve">Exact values.</w:t>
      </w:r>
    </w:p>
    <w:p>
      <w:pPr>
        <w:pStyle w:val="Compact"/>
        <w:numPr>
          <w:ilvl w:val="1"/>
          <w:numId w:val="1047"/>
        </w:numPr>
      </w:pPr>
      <w:r>
        <w:t xml:space="preserve">How chosen.</w:t>
      </w:r>
    </w:p>
    <w:p>
      <w:pPr>
        <w:pStyle w:val="Compact"/>
        <w:numPr>
          <w:ilvl w:val="1"/>
          <w:numId w:val="1047"/>
        </w:numPr>
      </w:pPr>
      <w:r>
        <w:t xml:space="preserve">Whether tuned.</w:t>
      </w:r>
    </w:p>
    <w:p>
      <w:pPr>
        <w:pStyle w:val="Compact"/>
        <w:numPr>
          <w:ilvl w:val="1"/>
          <w:numId w:val="1047"/>
        </w:numPr>
      </w:pPr>
      <w:r>
        <w:t xml:space="preserve">Sensitivity analysis if feasible.</w:t>
      </w:r>
    </w:p>
    <w:p>
      <w:r>
        <w:pict>
          <v:rect style="width:0;height:1.5pt" o:hralign="center" o:hrstd="t" o:hr="t"/>
        </w:pict>
      </w:r>
    </w:p>
    <w:bookmarkEnd w:id="12"/>
    <w:bookmarkStart w:id="13" w:name="X595ca8dd5bfe69d66d44bdb71a8a862c117c704"/>
    <w:p>
      <w:pPr>
        <w:pStyle w:val="Heading2"/>
      </w:pPr>
      <w:r>
        <w:t xml:space="preserve">Phase 5 — Fix the Reward-Mechanism Explanation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Stop calling the reward temporally “dense” unless it really is.</w:t>
      </w:r>
    </w:p>
    <w:p>
      <w:pPr>
        <w:pStyle w:val="Compact"/>
        <w:numPr>
          <w:ilvl w:val="1"/>
          <w:numId w:val="1049"/>
        </w:numPr>
      </w:pPr>
      <w:r>
        <w:t xml:space="preserve">Reviewer 3 correctly noticed that Eq. (8) creates a single terminal reward.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Explain the distinction clearly.</w:t>
      </w:r>
    </w:p>
    <w:p>
      <w:pPr>
        <w:pStyle w:val="Compact"/>
        <w:numPr>
          <w:ilvl w:val="1"/>
          <w:numId w:val="1051"/>
        </w:numPr>
      </w:pPr>
      <w:r>
        <w:t xml:space="preserve">Multi-granular = reward comes from multiple levels of evaluation.</w:t>
      </w:r>
    </w:p>
    <w:p>
      <w:pPr>
        <w:pStyle w:val="Compact"/>
        <w:numPr>
          <w:ilvl w:val="1"/>
          <w:numId w:val="1051"/>
        </w:numPr>
      </w:pPr>
      <w:r>
        <w:t xml:space="preserve">Terminal = those signals are aggregated after sequence completion.</w:t>
      </w:r>
    </w:p>
    <w:p>
      <w:pPr>
        <w:pStyle w:val="Compact"/>
        <w:numPr>
          <w:ilvl w:val="1"/>
          <w:numId w:val="1051"/>
        </w:numPr>
      </w:pPr>
      <w:r>
        <w:t xml:space="preserve">The same sequence-level reward is then used in PPO credit assignment.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Revise terminology throughout the paper.</w:t>
      </w:r>
      <w:r>
        <w:t xml:space="preserve"> </w:t>
      </w:r>
      <w:r>
        <w:t xml:space="preserve">Prefer:</w:t>
      </w:r>
    </w:p>
    <w:p>
      <w:pPr>
        <w:pStyle w:val="Compact"/>
        <w:numPr>
          <w:ilvl w:val="1"/>
          <w:numId w:val="1053"/>
        </w:numPr>
      </w:pPr>
      <w:r>
        <w:t xml:space="preserve">“hierarchical multi-granular feedback.”</w:t>
      </w:r>
    </w:p>
    <w:p>
      <w:pPr>
        <w:pStyle w:val="Compact"/>
        <w:numPr>
          <w:ilvl w:val="1"/>
          <w:numId w:val="1053"/>
        </w:numPr>
      </w:pPr>
      <w:r>
        <w:t xml:space="preserve">“multi-source evaluative feedback.”</w:t>
      </w:r>
    </w:p>
    <w:p>
      <w:pPr>
        <w:pStyle w:val="Compact"/>
        <w:numPr>
          <w:ilvl w:val="1"/>
          <w:numId w:val="1053"/>
        </w:numPr>
      </w:pPr>
      <w:r>
        <w:t xml:space="preserve">“hierarchically structured reward.”</w:t>
      </w:r>
    </w:p>
    <w:p>
      <w:pPr>
        <w:numPr>
          <w:ilvl w:val="0"/>
          <w:numId w:val="1000"/>
        </w:numPr>
      </w:pPr>
      <w:r>
        <w:t xml:space="preserve">Avoid:</w:t>
      </w:r>
    </w:p>
    <w:p>
      <w:pPr>
        <w:pStyle w:val="Compact"/>
        <w:numPr>
          <w:ilvl w:val="1"/>
          <w:numId w:val="1054"/>
        </w:numPr>
      </w:pPr>
      <w:r>
        <w:t xml:space="preserve">“dense token-level feedback,” unless mathematically true.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Add this limitation explicitly.</w:t>
      </w:r>
    </w:p>
    <w:p>
      <w:pPr>
        <w:pStyle w:val="Compact"/>
        <w:numPr>
          <w:ilvl w:val="1"/>
          <w:numId w:val="1056"/>
        </w:numPr>
      </w:pPr>
      <w:r>
        <w:t xml:space="preserve">Current implementation does not provide step-specific discriminator rewards.</w:t>
      </w:r>
    </w:p>
    <w:p>
      <w:pPr>
        <w:pStyle w:val="Compact"/>
        <w:numPr>
          <w:ilvl w:val="1"/>
          <w:numId w:val="1056"/>
        </w:numPr>
      </w:pPr>
      <w:r>
        <w:t xml:space="preserve">Future work may explore intermediate or token-specific credit assignment.</w:t>
      </w:r>
    </w:p>
    <w:p>
      <w:r>
        <w:pict>
          <v:rect style="width:0;height:1.5pt" o:hralign="center" o:hrstd="t" o:hr="t"/>
        </w:pict>
      </w:r>
    </w:p>
    <w:bookmarkEnd w:id="13"/>
    <w:bookmarkStart w:id="14" w:name="phase-6-strengthen-the-novelty-argument"/>
    <w:p>
      <w:pPr>
        <w:pStyle w:val="Heading2"/>
      </w:pPr>
      <w:r>
        <w:t xml:space="preserve">Phase 6 — Strengthen the Novelty Argument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Rewrite the contribution statement.</w:t>
      </w:r>
      <w:r>
        <w:t xml:space="preserve"> </w:t>
      </w:r>
      <w:r>
        <w:t xml:space="preserve">Avoid claiming novelty simply from using:</w:t>
      </w:r>
    </w:p>
    <w:p>
      <w:pPr>
        <w:pStyle w:val="Compact"/>
        <w:numPr>
          <w:ilvl w:val="1"/>
          <w:numId w:val="1058"/>
        </w:numPr>
      </w:pPr>
      <w:r>
        <w:t xml:space="preserve">RL.</w:t>
      </w:r>
    </w:p>
    <w:p>
      <w:pPr>
        <w:pStyle w:val="Compact"/>
        <w:numPr>
          <w:ilvl w:val="1"/>
          <w:numId w:val="1058"/>
        </w:numPr>
      </w:pPr>
      <w:r>
        <w:t xml:space="preserve">PPO.</w:t>
      </w:r>
    </w:p>
    <w:p>
      <w:pPr>
        <w:pStyle w:val="Compact"/>
        <w:numPr>
          <w:ilvl w:val="1"/>
          <w:numId w:val="1058"/>
        </w:numPr>
      </w:pPr>
      <w:r>
        <w:t xml:space="preserve">an autoregressive model.</w:t>
      </w:r>
    </w:p>
    <w:p>
      <w:pPr>
        <w:pStyle w:val="Compact"/>
        <w:numPr>
          <w:ilvl w:val="1"/>
          <w:numId w:val="1058"/>
        </w:numPr>
      </w:pPr>
      <w:r>
        <w:t xml:space="preserve">discriminators.</w:t>
      </w:r>
    </w:p>
    <w:p>
      <w:pPr>
        <w:pStyle w:val="Compact"/>
        <w:numPr>
          <w:ilvl w:val="1"/>
          <w:numId w:val="1058"/>
        </w:numPr>
      </w:pPr>
      <w:r>
        <w:t xml:space="preserve">correlation metrics.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Define the actual novelty as the integration of:</w:t>
      </w:r>
    </w:p>
    <w:p>
      <w:pPr>
        <w:pStyle w:val="Compact"/>
        <w:numPr>
          <w:ilvl w:val="1"/>
          <w:numId w:val="1060"/>
        </w:numPr>
      </w:pPr>
      <w:r>
        <w:t xml:space="preserve">hierarchical multi-granular discriminator feedback;</w:t>
      </w:r>
    </w:p>
    <w:p>
      <w:pPr>
        <w:pStyle w:val="Compact"/>
        <w:numPr>
          <w:ilvl w:val="1"/>
          <w:numId w:val="1060"/>
        </w:numPr>
      </w:pPr>
      <w:r>
        <w:t xml:space="preserve">RL-based optimization of synthetic clinical records;</w:t>
      </w:r>
    </w:p>
    <w:p>
      <w:pPr>
        <w:pStyle w:val="Compact"/>
        <w:numPr>
          <w:ilvl w:val="1"/>
          <w:numId w:val="1060"/>
        </w:numPr>
      </w:pPr>
      <w:r>
        <w:t xml:space="preserve">automated dependency discovery;</w:t>
      </w:r>
    </w:p>
    <w:p>
      <w:pPr>
        <w:pStyle w:val="Compact"/>
        <w:numPr>
          <w:ilvl w:val="1"/>
          <w:numId w:val="1060"/>
        </w:numPr>
      </w:pPr>
      <w:r>
        <w:t xml:space="preserve">minority-aware/inverse-frequency reward shaping.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Explain how DISCO-TAB differs from each major competing family.</w:t>
      </w:r>
    </w:p>
    <w:p>
      <w:pPr>
        <w:pStyle w:val="Compact"/>
        <w:numPr>
          <w:ilvl w:val="1"/>
          <w:numId w:val="1062"/>
        </w:numPr>
      </w:pPr>
      <w:r>
        <w:t xml:space="preserve">GANs.</w:t>
      </w:r>
    </w:p>
    <w:p>
      <w:pPr>
        <w:pStyle w:val="Compact"/>
        <w:numPr>
          <w:ilvl w:val="1"/>
          <w:numId w:val="1062"/>
        </w:numPr>
      </w:pPr>
      <w:r>
        <w:t xml:space="preserve">VAEs.</w:t>
      </w:r>
    </w:p>
    <w:p>
      <w:pPr>
        <w:pStyle w:val="Compact"/>
        <w:numPr>
          <w:ilvl w:val="1"/>
          <w:numId w:val="1062"/>
        </w:numPr>
      </w:pPr>
      <w:r>
        <w:t xml:space="preserve">Diffusion.</w:t>
      </w:r>
    </w:p>
    <w:p>
      <w:pPr>
        <w:pStyle w:val="Compact"/>
        <w:numPr>
          <w:ilvl w:val="1"/>
          <w:numId w:val="1062"/>
        </w:numPr>
      </w:pPr>
      <w:r>
        <w:t xml:space="preserve">LLM-based tabular synthesis.</w:t>
      </w:r>
    </w:p>
    <w:p>
      <w:pPr>
        <w:pStyle w:val="Compact"/>
        <w:numPr>
          <w:ilvl w:val="1"/>
          <w:numId w:val="1062"/>
        </w:numPr>
      </w:pPr>
      <w:r>
        <w:t xml:space="preserve">RL/feedback-based methods.</w:t>
      </w:r>
    </w:p>
    <w:p>
      <w:pPr>
        <w:pStyle w:val="Compact"/>
        <w:numPr>
          <w:ilvl w:val="1"/>
          <w:numId w:val="1062"/>
        </w:numPr>
      </w:pPr>
      <w:r>
        <w:t xml:space="preserve">Constraint-based generators.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Tone down “state-of-the-art” language unless supported statistically.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Remove phrases such as “new standard” unless absolutely justified.</w:t>
      </w:r>
    </w:p>
    <w:p>
      <w:r>
        <w:pict>
          <v:rect style="width:0;height:1.5pt" o:hralign="center" o:hrstd="t" o:hr="t"/>
        </w:pict>
      </w:r>
    </w:p>
    <w:bookmarkEnd w:id="14"/>
    <w:bookmarkStart w:id="15" w:name="phase-7-strengthen-the-literature-review"/>
    <w:p>
      <w:pPr>
        <w:pStyle w:val="Heading2"/>
      </w:pPr>
      <w:r>
        <w:t xml:space="preserve">Phase 7 — Strengthen the Literature Review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Add recent literature from approximately 2022–2026.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Include recent work in:</w:t>
      </w:r>
    </w:p>
    <w:p>
      <w:pPr>
        <w:pStyle w:val="Compact"/>
        <w:numPr>
          <w:ilvl w:val="1"/>
          <w:numId w:val="1067"/>
        </w:numPr>
      </w:pPr>
      <w:r>
        <w:t xml:space="preserve">synthetic clinical tabular data;</w:t>
      </w:r>
    </w:p>
    <w:p>
      <w:pPr>
        <w:pStyle w:val="Compact"/>
        <w:numPr>
          <w:ilvl w:val="1"/>
          <w:numId w:val="1067"/>
        </w:numPr>
      </w:pPr>
      <w:r>
        <w:t xml:space="preserve">diffusion-based tabular synthesis;</w:t>
      </w:r>
    </w:p>
    <w:p>
      <w:pPr>
        <w:pStyle w:val="Compact"/>
        <w:numPr>
          <w:ilvl w:val="1"/>
          <w:numId w:val="1067"/>
        </w:numPr>
      </w:pPr>
      <w:r>
        <w:t xml:space="preserve">LLM/tabular synthesis;</w:t>
      </w:r>
    </w:p>
    <w:p>
      <w:pPr>
        <w:pStyle w:val="Compact"/>
        <w:numPr>
          <w:ilvl w:val="1"/>
          <w:numId w:val="1067"/>
        </w:numPr>
      </w:pPr>
      <w:r>
        <w:t xml:space="preserve">synthetic-data privacy;</w:t>
      </w:r>
    </w:p>
    <w:p>
      <w:pPr>
        <w:pStyle w:val="Compact"/>
        <w:numPr>
          <w:ilvl w:val="1"/>
          <w:numId w:val="1067"/>
        </w:numPr>
      </w:pPr>
      <w:r>
        <w:t xml:space="preserve">membership inference/disclosure risk;</w:t>
      </w:r>
    </w:p>
    <w:p>
      <w:pPr>
        <w:pStyle w:val="Compact"/>
        <w:numPr>
          <w:ilvl w:val="1"/>
          <w:numId w:val="1067"/>
        </w:numPr>
      </w:pPr>
      <w:r>
        <w:t xml:space="preserve">class-imbalanced synthetic data;</w:t>
      </w:r>
    </w:p>
    <w:p>
      <w:pPr>
        <w:pStyle w:val="Compact"/>
        <w:numPr>
          <w:ilvl w:val="1"/>
          <w:numId w:val="1067"/>
        </w:numPr>
      </w:pPr>
      <w:r>
        <w:t xml:space="preserve">constraint-aware generation.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Critically compare papers rather than list them.</w:t>
      </w:r>
      <w:r>
        <w:t xml:space="preserve"> </w:t>
      </w:r>
      <w:r>
        <w:t xml:space="preserve">For each family, discuss:</w:t>
      </w:r>
    </w:p>
    <w:p>
      <w:pPr>
        <w:pStyle w:val="Compact"/>
        <w:numPr>
          <w:ilvl w:val="1"/>
          <w:numId w:val="1069"/>
        </w:numPr>
      </w:pPr>
      <w:r>
        <w:t xml:space="preserve">what it optimizes;</w:t>
      </w:r>
    </w:p>
    <w:p>
      <w:pPr>
        <w:pStyle w:val="Compact"/>
        <w:numPr>
          <w:ilvl w:val="1"/>
          <w:numId w:val="1069"/>
        </w:numPr>
      </w:pPr>
      <w:r>
        <w:t xml:space="preserve">whether it handles mixed-type data;</w:t>
      </w:r>
    </w:p>
    <w:p>
      <w:pPr>
        <w:pStyle w:val="Compact"/>
        <w:numPr>
          <w:ilvl w:val="1"/>
          <w:numId w:val="1069"/>
        </w:numPr>
      </w:pPr>
      <w:r>
        <w:t xml:space="preserve">whether it handles class imbalance;</w:t>
      </w:r>
    </w:p>
    <w:p>
      <w:pPr>
        <w:pStyle w:val="Compact"/>
        <w:numPr>
          <w:ilvl w:val="1"/>
          <w:numId w:val="1069"/>
        </w:numPr>
      </w:pPr>
      <w:r>
        <w:t xml:space="preserve">whether it enforces constraints;</w:t>
      </w:r>
    </w:p>
    <w:p>
      <w:pPr>
        <w:pStyle w:val="Compact"/>
        <w:numPr>
          <w:ilvl w:val="1"/>
          <w:numId w:val="1069"/>
        </w:numPr>
      </w:pPr>
      <w:r>
        <w:t xml:space="preserve">what privacy evidence it provides;</w:t>
      </w:r>
    </w:p>
    <w:p>
      <w:pPr>
        <w:pStyle w:val="Compact"/>
        <w:numPr>
          <w:ilvl w:val="1"/>
          <w:numId w:val="1069"/>
        </w:numPr>
      </w:pPr>
      <w:r>
        <w:t xml:space="preserve">what limitations remain.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Review DOI 10.1038/s41598-024-80448-5.</w:t>
      </w:r>
    </w:p>
    <w:p>
      <w:pPr>
        <w:pStyle w:val="Compact"/>
        <w:numPr>
          <w:ilvl w:val="1"/>
          <w:numId w:val="1071"/>
        </w:numPr>
      </w:pPr>
      <w:r>
        <w:t xml:space="preserve">Cite it only if genuinely relevant.</w:t>
      </w:r>
    </w:p>
    <w:p>
      <w:pPr>
        <w:pStyle w:val="Compact"/>
        <w:numPr>
          <w:ilvl w:val="1"/>
          <w:numId w:val="1071"/>
        </w:numPr>
      </w:pPr>
      <w:r>
        <w:t xml:space="preserve">Do not add it automatically simply because the reviewer suggested it.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Remove duplicate references.</w:t>
      </w:r>
    </w:p>
    <w:p>
      <w:pPr>
        <w:pStyle w:val="Compact"/>
        <w:numPr>
          <w:ilvl w:val="1"/>
          <w:numId w:val="1073"/>
        </w:numPr>
      </w:pPr>
      <w:r>
        <w:t xml:space="preserve">Especially the duplicated Kamino/reference issue we previously identified.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Verify every citation against the bibliography.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Bring all references into consistent IEEE formatting.</w:t>
      </w:r>
    </w:p>
    <w:p>
      <w:r>
        <w:pict>
          <v:rect style="width:0;height:1.5pt" o:hralign="center" o:hrstd="t" o:hr="t"/>
        </w:pict>
      </w:r>
    </w:p>
    <w:bookmarkEnd w:id="15"/>
    <w:bookmarkStart w:id="16" w:name="phase-8-addimprove-baselines"/>
    <w:p>
      <w:pPr>
        <w:pStyle w:val="Heading2"/>
      </w:pPr>
      <w:r>
        <w:t xml:space="preserve">Phase 8 — Add/Improve Baselines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Review whether additional recent baselines are feasible.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Prioritize strong, reproducible baselines rather than adding many weak ones.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Ensure fair evaluation.</w:t>
      </w:r>
    </w:p>
    <w:p>
      <w:pPr>
        <w:pStyle w:val="Compact"/>
        <w:numPr>
          <w:ilvl w:val="1"/>
          <w:numId w:val="1079"/>
        </w:numPr>
      </w:pPr>
      <w:r>
        <w:t xml:space="preserve">Same splits.</w:t>
      </w:r>
    </w:p>
    <w:p>
      <w:pPr>
        <w:pStyle w:val="Compact"/>
        <w:numPr>
          <w:ilvl w:val="1"/>
          <w:numId w:val="1079"/>
        </w:numPr>
      </w:pPr>
      <w:r>
        <w:t xml:space="preserve">Same generated sample count.</w:t>
      </w:r>
    </w:p>
    <w:p>
      <w:pPr>
        <w:pStyle w:val="Compact"/>
        <w:numPr>
          <w:ilvl w:val="1"/>
          <w:numId w:val="1079"/>
        </w:numPr>
      </w:pPr>
      <w:r>
        <w:t xml:space="preserve">Same downstream classifiers.</w:t>
      </w:r>
    </w:p>
    <w:p>
      <w:pPr>
        <w:pStyle w:val="Compact"/>
        <w:numPr>
          <w:ilvl w:val="1"/>
          <w:numId w:val="1079"/>
        </w:numPr>
      </w:pPr>
      <w:r>
        <w:t xml:space="preserve">Same preprocessing wherever possible.</w:t>
      </w:r>
    </w:p>
    <w:p>
      <w:pPr>
        <w:pStyle w:val="Compact"/>
        <w:numPr>
          <w:ilvl w:val="1"/>
          <w:numId w:val="1079"/>
        </w:numPr>
      </w:pPr>
      <w:r>
        <w:t xml:space="preserve">Reasonable tuning for every method.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Describe baseline versions/configurations.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Do not compare against proprietary systems without explaining the exact configuration and access conditions.</w:t>
      </w:r>
    </w:p>
    <w:p>
      <w:r>
        <w:pict>
          <v:rect style="width:0;height:1.5pt" o:hralign="center" o:hrstd="t" o:hr="t"/>
        </w:pict>
      </w:r>
    </w:p>
    <w:bookmarkEnd w:id="16"/>
    <w:bookmarkStart w:id="17" w:name="phase-9-improve-tables-and-figures"/>
    <w:p>
      <w:pPr>
        <w:pStyle w:val="Heading2"/>
      </w:pPr>
      <w:r>
        <w:t xml:space="preserve">Phase 9 — Improve Tables and Figures</w:t>
      </w:r>
    </w:p>
    <w:p>
      <w:pPr>
        <w:numPr>
          <w:ilvl w:val="0"/>
          <w:numId w:val="1082"/>
        </w:numPr>
      </w:pPr>
      <w:r>
        <w:rPr>
          <w:b/>
          <w:bCs/>
        </w:rPr>
        <w:t xml:space="preserve">Fix “Table ??” immediately.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Define Jensen–Shannon divergence (JSD).</w:t>
      </w:r>
    </w:p>
    <w:p>
      <w:pPr>
        <w:pStyle w:val="Compact"/>
        <w:numPr>
          <w:ilvl w:val="1"/>
          <w:numId w:val="1084"/>
        </w:numPr>
      </w:pPr>
      <w:r>
        <w:t xml:space="preserve">Full name.</w:t>
      </w:r>
    </w:p>
    <w:p>
      <w:pPr>
        <w:pStyle w:val="Compact"/>
        <w:numPr>
          <w:ilvl w:val="1"/>
          <w:numId w:val="1084"/>
        </w:numPr>
      </w:pPr>
      <w:r>
        <w:t xml:space="preserve">Formula.</w:t>
      </w:r>
    </w:p>
    <w:p>
      <w:pPr>
        <w:pStyle w:val="Compact"/>
        <w:numPr>
          <w:ilvl w:val="1"/>
          <w:numId w:val="1084"/>
        </w:numPr>
      </w:pPr>
      <w:r>
        <w:t xml:space="preserve">Interpretation.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Add a utility visualization across datasets.</w:t>
      </w:r>
    </w:p>
    <w:p>
      <w:pPr>
        <w:pStyle w:val="Compact"/>
        <w:numPr>
          <w:ilvl w:val="1"/>
          <w:numId w:val="1086"/>
        </w:numPr>
      </w:pPr>
      <w:r>
        <w:t xml:space="preserve">ΔF1 or your chosen utility margin.</w:t>
      </w:r>
    </w:p>
    <w:p>
      <w:pPr>
        <w:pStyle w:val="Compact"/>
        <w:numPr>
          <w:ilvl w:val="1"/>
          <w:numId w:val="1086"/>
        </w:numPr>
      </w:pPr>
      <w:r>
        <w:t xml:space="preserve">If repeated runs exist, use boxplots/error bars.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Add a statistical-fidelity visualization.</w:t>
      </w:r>
    </w:p>
    <w:p>
      <w:pPr>
        <w:pStyle w:val="Compact"/>
        <w:numPr>
          <w:ilvl w:val="1"/>
          <w:numId w:val="1088"/>
        </w:numPr>
      </w:pPr>
      <w:r>
        <w:t xml:space="preserve">JSD by dataset/method.</w:t>
      </w:r>
    </w:p>
    <w:p>
      <w:pPr>
        <w:pStyle w:val="Compact"/>
        <w:numPr>
          <w:ilvl w:val="1"/>
          <w:numId w:val="1088"/>
        </w:numPr>
      </w:pPr>
      <w:r>
        <w:t xml:space="preserve">Use error bars/boxplots if repeated runs permit.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Improve all captions.</w:t>
      </w:r>
      <w:r>
        <w:t xml:space="preserve"> </w:t>
      </w:r>
      <w:r>
        <w:t xml:space="preserve">Each caption should explain:</w:t>
      </w:r>
    </w:p>
    <w:p>
      <w:pPr>
        <w:pStyle w:val="Compact"/>
        <w:numPr>
          <w:ilvl w:val="1"/>
          <w:numId w:val="1090"/>
        </w:numPr>
      </w:pPr>
      <w:r>
        <w:t xml:space="preserve">what is shown;</w:t>
      </w:r>
    </w:p>
    <w:p>
      <w:pPr>
        <w:pStyle w:val="Compact"/>
        <w:numPr>
          <w:ilvl w:val="1"/>
          <w:numId w:val="1090"/>
        </w:numPr>
      </w:pPr>
      <w:r>
        <w:t xml:space="preserve">what ↑/↓ means;</w:t>
      </w:r>
    </w:p>
    <w:p>
      <w:pPr>
        <w:pStyle w:val="Compact"/>
        <w:numPr>
          <w:ilvl w:val="1"/>
          <w:numId w:val="1090"/>
        </w:numPr>
      </w:pPr>
      <w:r>
        <w:t xml:space="preserve">whether values are mean ± SD;</w:t>
      </w:r>
    </w:p>
    <w:p>
      <w:pPr>
        <w:pStyle w:val="Compact"/>
        <w:numPr>
          <w:ilvl w:val="1"/>
          <w:numId w:val="1090"/>
        </w:numPr>
      </w:pPr>
      <w:r>
        <w:t xml:space="preserve">number of runs where relevant;</w:t>
      </w:r>
    </w:p>
    <w:p>
      <w:pPr>
        <w:pStyle w:val="Compact"/>
        <w:numPr>
          <w:ilvl w:val="1"/>
          <w:numId w:val="1090"/>
        </w:numPr>
      </w:pPr>
      <w:r>
        <w:t xml:space="preserve">abbreviations.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Check figure readability at JBHI column width.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Make typography and naming consistent across figures.</w:t>
      </w:r>
    </w:p>
    <w:p>
      <w:r>
        <w:pict>
          <v:rect style="width:0;height:1.5pt" o:hralign="center" o:hrstd="t" o:hr="t"/>
        </w:pict>
      </w:r>
    </w:p>
    <w:bookmarkEnd w:id="17"/>
    <w:bookmarkStart w:id="18" w:name="phase-10-rewrite-the-discussion"/>
    <w:p>
      <w:pPr>
        <w:pStyle w:val="Heading2"/>
      </w:pPr>
      <w:r>
        <w:t xml:space="preserve">Phase 10 — Rewrite the Discussion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Do not repeat table values.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Explain why DISCO-TAB performs differently across datasets.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Discuss class imbalance explicitly.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Discuss small-sample behavior.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Discuss when hierarchical feedback helps most.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Discuss failure cases and weaker results, not only successes.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Separate evidence from interpretation.</w:t>
      </w:r>
      <w:r>
        <w:t xml:space="preserve"> </w:t>
      </w:r>
      <w:r>
        <w:t xml:space="preserve">Use language such as:</w:t>
      </w:r>
    </w:p>
    <w:p>
      <w:pPr>
        <w:pStyle w:val="Compact"/>
        <w:numPr>
          <w:ilvl w:val="1"/>
          <w:numId w:val="1100"/>
        </w:numPr>
      </w:pPr>
      <w:r>
        <w:t xml:space="preserve">“These results suggest…”</w:t>
      </w:r>
    </w:p>
    <w:p>
      <w:pPr>
        <w:pStyle w:val="Compact"/>
        <w:numPr>
          <w:ilvl w:val="1"/>
          <w:numId w:val="1100"/>
        </w:numPr>
      </w:pPr>
      <w:r>
        <w:t xml:space="preserve">“One possible explanation is…”</w:t>
      </w:r>
    </w:p>
    <w:p>
      <w:pPr>
        <w:numPr>
          <w:ilvl w:val="0"/>
          <w:numId w:val="1000"/>
        </w:numPr>
      </w:pPr>
      <w:r>
        <w:t xml:space="preserve">rather than:</w:t>
      </w:r>
    </w:p>
    <w:p>
      <w:pPr>
        <w:pStyle w:val="Compact"/>
        <w:numPr>
          <w:ilvl w:val="1"/>
          <w:numId w:val="1101"/>
        </w:numPr>
      </w:pPr>
      <w:r>
        <w:t xml:space="preserve">“This proves…”</w:t>
      </w:r>
    </w:p>
    <w:p>
      <w:pPr>
        <w:pStyle w:val="Compact"/>
        <w:numPr>
          <w:ilvl w:val="1"/>
          <w:numId w:val="1101"/>
        </w:numPr>
      </w:pPr>
      <w:r>
        <w:t xml:space="preserve">“This stems from…”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Add a dedicated advantages/limitations subsection.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Condense repetitive material as Reviewer 1 requested.</w:t>
      </w:r>
    </w:p>
    <w:p>
      <w:r>
        <w:pict>
          <v:rect style="width:0;height:1.5pt" o:hralign="center" o:hrstd="t" o:hr="t"/>
        </w:pict>
      </w:r>
    </w:p>
    <w:bookmarkEnd w:id="18"/>
    <w:bookmarkStart w:id="19" w:name="phase-11-expand-the-limitations-honestly"/>
    <w:p>
      <w:pPr>
        <w:pStyle w:val="Heading2"/>
      </w:pPr>
      <w:r>
        <w:t xml:space="preserve">Phase 11 — Expand the Limitations Honestly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No formal differential privacy guarantee.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DCR and similar metrics are empirical privacy-risk indicators only.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Primarily pairwise dependency discovery.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Potential discriminator errors/bias.</w:t>
      </w:r>
    </w:p>
    <w:p>
      <w:pPr>
        <w:numPr>
          <w:ilvl w:val="0"/>
          <w:numId w:val="1108"/>
        </w:numPr>
      </w:pPr>
      <w:r>
        <w:rPr>
          <w:b/>
          <w:bCs/>
        </w:rPr>
        <w:t xml:space="preserve">Potential reward hacking.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Sensitivity to reward weights.</w:t>
      </w:r>
    </w:p>
    <w:p>
      <w:pPr>
        <w:numPr>
          <w:ilvl w:val="0"/>
          <w:numId w:val="1110"/>
        </w:numPr>
      </w:pPr>
      <w:r>
        <w:rPr>
          <w:b/>
          <w:bCs/>
        </w:rPr>
        <w:t xml:space="preserve">Sensitivity to serialization order.</w:t>
      </w:r>
    </w:p>
    <w:p>
      <w:pPr>
        <w:numPr>
          <w:ilvl w:val="0"/>
          <w:numId w:val="1111"/>
        </w:numPr>
      </w:pPr>
      <w:r>
        <w:rPr>
          <w:b/>
          <w:bCs/>
        </w:rPr>
        <w:t xml:space="preserve">Dependence on target-label choice for inverse-frequency reward shaping.</w:t>
      </w:r>
    </w:p>
    <w:p>
      <w:pPr>
        <w:numPr>
          <w:ilvl w:val="0"/>
          <w:numId w:val="1112"/>
        </w:numPr>
      </w:pPr>
      <w:r>
        <w:rPr>
          <w:b/>
          <w:bCs/>
        </w:rPr>
        <w:t xml:space="preserve">Computational overhead of PPO + several discriminators.</w:t>
      </w:r>
    </w:p>
    <w:p>
      <w:pPr>
        <w:numPr>
          <w:ilvl w:val="0"/>
          <w:numId w:val="1113"/>
        </w:numPr>
      </w:pPr>
      <w:r>
        <w:rPr>
          <w:b/>
          <w:bCs/>
        </w:rPr>
        <w:t xml:space="preserve">Limited external clinical validation.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No clinician evaluation of clinical plausibility, if true.</w:t>
      </w:r>
    </w:p>
    <w:p>
      <w:pPr>
        <w:numPr>
          <w:ilvl w:val="0"/>
          <w:numId w:val="1115"/>
        </w:numPr>
      </w:pPr>
      <w:r>
        <w:rPr>
          <w:b/>
          <w:bCs/>
        </w:rPr>
        <w:t xml:space="preserve">Potential dataset-specific artifacts.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Need for larger multi-institutional EHR validation.</w:t>
      </w:r>
    </w:p>
    <w:p>
      <w:r>
        <w:pict>
          <v:rect style="width:0;height:1.5pt" o:hralign="center" o:hrstd="t" o:hr="t"/>
        </w:pict>
      </w:r>
    </w:p>
    <w:bookmarkEnd w:id="19"/>
    <w:bookmarkStart w:id="20" w:name="Xba6d6283e98f0ab7ebe8f2c3bc984a72dd9e69d"/>
    <w:p>
      <w:pPr>
        <w:pStyle w:val="Heading2"/>
      </w:pPr>
      <w:r>
        <w:t xml:space="preserve">Phase 12 — Strengthen Practical Implications</w:t>
      </w:r>
    </w:p>
    <w:p>
      <w:pPr>
        <w:numPr>
          <w:ilvl w:val="0"/>
          <w:numId w:val="1117"/>
        </w:numPr>
      </w:pPr>
      <w:r>
        <w:rPr>
          <w:b/>
          <w:bCs/>
        </w:rPr>
        <w:t xml:space="preserve">Explain realistic applications.</w:t>
      </w:r>
    </w:p>
    <w:p>
      <w:pPr>
        <w:pStyle w:val="Compact"/>
        <w:numPr>
          <w:ilvl w:val="1"/>
          <w:numId w:val="1118"/>
        </w:numPr>
      </w:pPr>
      <w:r>
        <w:t xml:space="preserve">Model development under limited clinical-data access.</w:t>
      </w:r>
    </w:p>
    <w:p>
      <w:pPr>
        <w:pStyle w:val="Compact"/>
        <w:numPr>
          <w:ilvl w:val="1"/>
          <w:numId w:val="1118"/>
        </w:numPr>
      </w:pPr>
      <w:r>
        <w:t xml:space="preserve">Minority-class augmentation.</w:t>
      </w:r>
    </w:p>
    <w:p>
      <w:pPr>
        <w:pStyle w:val="Compact"/>
        <w:numPr>
          <w:ilvl w:val="1"/>
          <w:numId w:val="1118"/>
        </w:numPr>
      </w:pPr>
      <w:r>
        <w:t xml:space="preserve">Algorithm benchmarking.</w:t>
      </w:r>
    </w:p>
    <w:p>
      <w:pPr>
        <w:pStyle w:val="Compact"/>
        <w:numPr>
          <w:ilvl w:val="1"/>
          <w:numId w:val="1118"/>
        </w:numPr>
      </w:pPr>
      <w:r>
        <w:t xml:space="preserve">Controlled data-sharing environments.</w:t>
      </w:r>
    </w:p>
    <w:p>
      <w:pPr>
        <w:pStyle w:val="Compact"/>
        <w:numPr>
          <w:ilvl w:val="1"/>
          <w:numId w:val="1118"/>
        </w:numPr>
      </w:pPr>
      <w:r>
        <w:t xml:space="preserve">Simulation/prototyping.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Avoid saying synthetic records are automatically safe for public release.</w:t>
      </w:r>
    </w:p>
    <w:p>
      <w:pPr>
        <w:numPr>
          <w:ilvl w:val="0"/>
          <w:numId w:val="1120"/>
        </w:numPr>
      </w:pPr>
      <w:r>
        <w:rPr>
          <w:b/>
          <w:bCs/>
        </w:rPr>
        <w:t xml:space="preserve">Explain that deployment requires dataset-specific privacy assessment and governance.</w:t>
      </w:r>
    </w:p>
    <w:p>
      <w:r>
        <w:pict>
          <v:rect style="width:0;height:1.5pt" o:hralign="center" o:hrstd="t" o:hr="t"/>
        </w:pict>
      </w:r>
    </w:p>
    <w:bookmarkEnd w:id="20"/>
    <w:bookmarkStart w:id="21" w:name="phase-13-rewrite-the-conclusion"/>
    <w:p>
      <w:pPr>
        <w:pStyle w:val="Heading2"/>
      </w:pPr>
      <w:r>
        <w:t xml:space="preserve">Phase 13 — Rewrite the Conclusion</w:t>
      </w:r>
    </w:p>
    <w:p>
      <w:pPr>
        <w:numPr>
          <w:ilvl w:val="0"/>
          <w:numId w:val="1121"/>
        </w:numPr>
      </w:pPr>
      <w:r>
        <w:rPr>
          <w:b/>
          <w:bCs/>
        </w:rPr>
        <w:t xml:space="preserve">State the problem in one concise sentence.</w:t>
      </w:r>
    </w:p>
    <w:p>
      <w:pPr>
        <w:numPr>
          <w:ilvl w:val="0"/>
          <w:numId w:val="1122"/>
        </w:numPr>
      </w:pPr>
      <w:r>
        <w:rPr>
          <w:b/>
          <w:bCs/>
        </w:rPr>
        <w:t xml:space="preserve">State what DISCO-TAB does.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Summarize the strongest verified results.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Do not introduce new numerical claims.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Explicitly acknowledge absence of formal privacy guarantees.</w:t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Give 2–3 specific future directions.</w:t>
      </w:r>
    </w:p>
    <w:p>
      <w:r>
        <w:pict>
          <v:rect style="width:0;height:1.5pt" o:hralign="center" o:hrstd="t" o:hr="t"/>
        </w:pict>
      </w:r>
    </w:p>
    <w:bookmarkEnd w:id="21"/>
    <w:bookmarkStart w:id="22" w:name="Xe1a08b8060a0e03dc5292356b572516104d1668"/>
    <w:p>
      <w:pPr>
        <w:pStyle w:val="Heading2"/>
      </w:pPr>
      <w:r>
        <w:t xml:space="preserve">Phase 14 — Perform a Full Manuscript Consistency Audit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Define every abbreviation at first occurrence.</w:t>
      </w:r>
    </w:p>
    <w:p>
      <w:pPr>
        <w:numPr>
          <w:ilvl w:val="0"/>
          <w:numId w:val="1128"/>
        </w:numPr>
      </w:pPr>
      <w:r>
        <w:rPr>
          <w:b/>
          <w:bCs/>
        </w:rPr>
        <w:t xml:space="preserve">Check every mathematical symbol.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Remove duplicated definitions.</w:t>
      </w:r>
    </w:p>
    <w:p>
      <w:pPr>
        <w:numPr>
          <w:ilvl w:val="0"/>
          <w:numId w:val="1130"/>
        </w:numPr>
      </w:pPr>
      <w:r>
        <w:rPr>
          <w:b/>
          <w:bCs/>
        </w:rPr>
        <w:t xml:space="preserve">Check equation numbering.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Check section numbering.</w:t>
      </w:r>
    </w:p>
    <w:p>
      <w:pPr>
        <w:numPr>
          <w:ilvl w:val="0"/>
          <w:numId w:val="1132"/>
        </w:numPr>
      </w:pPr>
      <w:r>
        <w:rPr>
          <w:b/>
          <w:bCs/>
        </w:rPr>
        <w:t xml:space="preserve">Check figure numbering.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Check table numbering.</w:t>
      </w:r>
    </w:p>
    <w:p>
      <w:pPr>
        <w:numPr>
          <w:ilvl w:val="0"/>
          <w:numId w:val="1134"/>
        </w:numPr>
      </w:pPr>
      <w:r>
        <w:rPr>
          <w:b/>
          <w:bCs/>
        </w:rPr>
        <w:t xml:space="preserve">Check all cross-references.</w:t>
      </w:r>
    </w:p>
    <w:p>
      <w:pPr>
        <w:numPr>
          <w:ilvl w:val="0"/>
          <w:numId w:val="1135"/>
        </w:numPr>
      </w:pPr>
      <w:r>
        <w:rPr>
          <w:b/>
          <w:bCs/>
        </w:rPr>
        <w:t xml:space="preserve">Check dataset names.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Check metric names.</w:t>
      </w:r>
    </w:p>
    <w:p>
      <w:pPr>
        <w:numPr>
          <w:ilvl w:val="0"/>
          <w:numId w:val="1137"/>
        </w:numPr>
      </w:pPr>
      <w:r>
        <w:rPr>
          <w:b/>
          <w:bCs/>
        </w:rPr>
        <w:t xml:space="preserve">Check capitalization and terminology.</w:t>
      </w:r>
    </w:p>
    <w:p>
      <w:pPr>
        <w:numPr>
          <w:ilvl w:val="0"/>
          <w:numId w:val="1138"/>
        </w:numPr>
      </w:pPr>
      <w:r>
        <w:rPr>
          <w:b/>
          <w:bCs/>
        </w:rPr>
        <w:t xml:space="preserve">Check hardware description.</w:t>
      </w:r>
    </w:p>
    <w:p>
      <w:pPr>
        <w:pStyle w:val="Compact"/>
        <w:numPr>
          <w:ilvl w:val="1"/>
          <w:numId w:val="1139"/>
        </w:numPr>
      </w:pPr>
      <w:r>
        <w:t xml:space="preserve">Fix the inconsistent A100/T4/GTX3080 and VRAM statement.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Proofread grammar and punctuation.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Remove promotional wording.</w:t>
      </w:r>
      <w:r>
        <w:t xml:space="preserve"> </w:t>
      </w:r>
      <w:r>
        <w:t xml:space="preserve">Examples:</w:t>
      </w:r>
    </w:p>
    <w:p>
      <w:pPr>
        <w:pStyle w:val="Compact"/>
        <w:numPr>
          <w:ilvl w:val="1"/>
          <w:numId w:val="1142"/>
        </w:numPr>
      </w:pPr>
      <w:r>
        <w:t xml:space="preserve">“catastrophic.”</w:t>
      </w:r>
    </w:p>
    <w:p>
      <w:pPr>
        <w:pStyle w:val="Compact"/>
        <w:numPr>
          <w:ilvl w:val="1"/>
          <w:numId w:val="1142"/>
        </w:numPr>
      </w:pPr>
      <w:r>
        <w:t xml:space="preserve">“new standard.”</w:t>
      </w:r>
    </w:p>
    <w:p>
      <w:pPr>
        <w:pStyle w:val="Compact"/>
        <w:numPr>
          <w:ilvl w:val="1"/>
          <w:numId w:val="1142"/>
        </w:numPr>
      </w:pPr>
      <w:r>
        <w:t xml:space="preserve">“near-perfect” unless necessary.</w:t>
      </w:r>
    </w:p>
    <w:p>
      <w:pPr>
        <w:pStyle w:val="Compact"/>
        <w:numPr>
          <w:ilvl w:val="1"/>
          <w:numId w:val="1142"/>
        </w:numPr>
      </w:pPr>
      <w:r>
        <w:t xml:space="preserve">“physics of clinical data.”</w:t>
      </w:r>
    </w:p>
    <w:p>
      <w:pPr>
        <w:pStyle w:val="Compact"/>
        <w:numPr>
          <w:ilvl w:val="1"/>
          <w:numId w:val="1142"/>
        </w:numPr>
      </w:pPr>
      <w:r>
        <w:t xml:space="preserve">“robust privacy guarantees.”</w:t>
      </w:r>
    </w:p>
    <w:p>
      <w:r>
        <w:pict>
          <v:rect style="width:0;height:1.5pt" o:hralign="center" o:hrstd="t" o:hr="t"/>
        </w:pict>
      </w:r>
    </w:p>
    <w:bookmarkEnd w:id="22"/>
    <w:bookmarkStart w:id="23" w:name="X704cd4abcf26c6871b6d62164ffa07daf1dbff9"/>
    <w:p>
      <w:pPr>
        <w:pStyle w:val="Heading2"/>
      </w:pPr>
      <w:r>
        <w:t xml:space="preserve">Phase 15 — Build the Final Response-to-Reviewers Document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every single reviewer comment</w:t>
      </w:r>
      <w:r>
        <w:t xml:space="preserve">:</w:t>
      </w:r>
    </w:p>
    <w:p>
      <w:pPr>
        <w:pStyle w:val="Compact"/>
        <w:numPr>
          <w:ilvl w:val="0"/>
          <w:numId w:val="1143"/>
        </w:numPr>
      </w:pPr>
      <w:r>
        <w:t xml:space="preserve">Copy the reviewer comment verbatim.</w:t>
      </w:r>
    </w:p>
    <w:p>
      <w:pPr>
        <w:pStyle w:val="Compact"/>
        <w:numPr>
          <w:ilvl w:val="0"/>
          <w:numId w:val="1144"/>
        </w:numPr>
      </w:pPr>
      <w:r>
        <w:t xml:space="preserve">Thank the reviewer where appropriate.</w:t>
      </w:r>
    </w:p>
    <w:p>
      <w:pPr>
        <w:pStyle w:val="Compact"/>
        <w:numPr>
          <w:ilvl w:val="0"/>
          <w:numId w:val="1145"/>
        </w:numPr>
      </w:pPr>
      <w:r>
        <w:t xml:space="preserve">State clearly whether you agree.</w:t>
      </w:r>
    </w:p>
    <w:p>
      <w:pPr>
        <w:pStyle w:val="Compact"/>
        <w:numPr>
          <w:ilvl w:val="0"/>
          <w:numId w:val="1146"/>
        </w:numPr>
      </w:pPr>
      <w:r>
        <w:t xml:space="preserve">Explain exactly what you did.</w:t>
      </w:r>
    </w:p>
    <w:p>
      <w:pPr>
        <w:pStyle w:val="Compact"/>
        <w:numPr>
          <w:ilvl w:val="0"/>
          <w:numId w:val="1147"/>
        </w:numPr>
      </w:pPr>
      <w:r>
        <w:t xml:space="preserve">Give the resulting finding when an experiment was performed.</w:t>
      </w:r>
    </w:p>
    <w:p>
      <w:pPr>
        <w:pStyle w:val="Compact"/>
        <w:numPr>
          <w:ilvl w:val="0"/>
          <w:numId w:val="1148"/>
        </w:numPr>
      </w:pPr>
      <w:r>
        <w:t xml:space="preserve">Identify the precise location in the revised manuscript.</w:t>
      </w:r>
    </w:p>
    <w:p>
      <w:pPr>
        <w:pStyle w:val="Compact"/>
        <w:numPr>
          <w:ilvl w:val="0"/>
          <w:numId w:val="1149"/>
        </w:numPr>
      </w:pPr>
      <w:r>
        <w:t xml:space="preserve">Use page, column, section, table, or line references.</w:t>
      </w:r>
    </w:p>
    <w:p>
      <w:pPr>
        <w:pStyle w:val="Compact"/>
        <w:numPr>
          <w:ilvl w:val="0"/>
          <w:numId w:val="1150"/>
        </w:numPr>
      </w:pPr>
      <w:r>
        <w:t xml:space="preserve">Never claim an experiment/change that was not actually performed.</w:t>
      </w:r>
    </w:p>
    <w:p>
      <w:pPr>
        <w:pStyle w:val="Compact"/>
        <w:numPr>
          <w:ilvl w:val="0"/>
          <w:numId w:val="1151"/>
        </w:numPr>
      </w:pPr>
      <w:r>
        <w:t xml:space="preserve">Never become defensive.</w:t>
      </w:r>
    </w:p>
    <w:p>
      <w:pPr>
        <w:pStyle w:val="Compact"/>
        <w:numPr>
          <w:ilvl w:val="0"/>
          <w:numId w:val="1152"/>
        </w:numPr>
      </w:pPr>
      <w:r>
        <w:t xml:space="preserve">Where you disagree, explain scientifically and respectfully.</w:t>
      </w:r>
    </w:p>
    <w:p>
      <w:r>
        <w:pict>
          <v:rect style="width:0;height:1.5pt" o:hralign="center" o:hrstd="t" o:hr="t"/>
        </w:pict>
      </w:r>
    </w:p>
    <w:bookmarkEnd w:id="23"/>
    <w:bookmarkStart w:id="24" w:name="phase-16-final-pre-submission-audit"/>
    <w:p>
      <w:pPr>
        <w:pStyle w:val="Heading2"/>
      </w:pPr>
      <w:r>
        <w:t xml:space="preserve">Phase 16 — Final Pre-Submission Audit</w:t>
      </w:r>
    </w:p>
    <w:p>
      <w:pPr>
        <w:numPr>
          <w:ilvl w:val="0"/>
          <w:numId w:val="1153"/>
        </w:numPr>
      </w:pPr>
      <w:r>
        <w:rPr>
          <w:b/>
          <w:bCs/>
        </w:rPr>
        <w:t xml:space="preserve">Freeze all experimental results before final manuscript editing.</w:t>
      </w:r>
    </w:p>
    <w:p>
      <w:pPr>
        <w:numPr>
          <w:ilvl w:val="0"/>
          <w:numId w:val="1154"/>
        </w:numPr>
      </w:pPr>
      <w:r>
        <w:rPr>
          <w:b/>
          <w:bCs/>
        </w:rPr>
        <w:t xml:space="preserve">Make sure the abstract numbers match the tables exactly.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Make sure the rebuttal matches the manuscript exactly.</w:t>
      </w:r>
    </w:p>
    <w:p>
      <w:pPr>
        <w:numPr>
          <w:ilvl w:val="0"/>
          <w:numId w:val="1156"/>
        </w:numPr>
      </w:pPr>
      <w:r>
        <w:rPr>
          <w:b/>
          <w:bCs/>
        </w:rPr>
        <w:t xml:space="preserve">Highlight every change in the revision as requested by JBHI.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Prepare a clean manuscript version if the portal requests one.</w:t>
      </w:r>
    </w:p>
    <w:p>
      <w:pPr>
        <w:numPr>
          <w:ilvl w:val="0"/>
          <w:numId w:val="1158"/>
        </w:numPr>
      </w:pPr>
      <w:r>
        <w:rPr>
          <w:b/>
          <w:bCs/>
        </w:rPr>
        <w:t xml:space="preserve">Check JBHI page limits.</w:t>
      </w:r>
    </w:p>
    <w:p>
      <w:pPr>
        <w:numPr>
          <w:ilvl w:val="0"/>
          <w:numId w:val="1159"/>
        </w:numPr>
      </w:pPr>
      <w:r>
        <w:rPr>
          <w:b/>
          <w:bCs/>
        </w:rPr>
        <w:t xml:space="preserve">Check figure resolution.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Check overlength charges.</w:t>
      </w:r>
    </w:p>
    <w:p>
      <w:pPr>
        <w:numPr>
          <w:ilvl w:val="0"/>
          <w:numId w:val="1161"/>
        </w:numPr>
      </w:pPr>
      <w:r>
        <w:rPr>
          <w:b/>
          <w:bCs/>
        </w:rPr>
        <w:t xml:space="preserve">Check supplementary-material formatting.</w:t>
      </w:r>
    </w:p>
    <w:p>
      <w:pPr>
        <w:numPr>
          <w:ilvl w:val="0"/>
          <w:numId w:val="1162"/>
        </w:numPr>
      </w:pPr>
      <w:r>
        <w:rPr>
          <w:b/>
          <w:bCs/>
        </w:rPr>
        <w:t xml:space="preserve">Check author names/affiliations.</w:t>
      </w:r>
    </w:p>
    <w:p>
      <w:pPr>
        <w:numPr>
          <w:ilvl w:val="0"/>
          <w:numId w:val="1163"/>
        </w:numPr>
      </w:pPr>
      <w:r>
        <w:rPr>
          <w:b/>
          <w:bCs/>
        </w:rPr>
        <w:t xml:space="preserve">Check acknowledgments and funding.</w:t>
      </w:r>
    </w:p>
    <w:p>
      <w:pPr>
        <w:numPr>
          <w:ilvl w:val="0"/>
          <w:numId w:val="1164"/>
        </w:numPr>
      </w:pPr>
      <w:r>
        <w:rPr>
          <w:b/>
          <w:bCs/>
        </w:rPr>
        <w:t xml:space="preserve">Check references one final time.</w:t>
      </w:r>
    </w:p>
    <w:p>
      <w:pPr>
        <w:numPr>
          <w:ilvl w:val="0"/>
          <w:numId w:val="1165"/>
        </w:numPr>
      </w:pPr>
      <w:r>
        <w:rPr>
          <w:b/>
          <w:bCs/>
        </w:rPr>
        <w:t xml:space="preserve">Submit well before the 10-week deadline rather than on the final day.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1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1"/>
  </w:num>
  <w:num w:numId="1036">
    <w:abstractNumId w:val="992"/>
  </w:num>
  <w:num w:numId="1037">
    <w:abstractNumId w:val="991"/>
  </w:num>
  <w:num w:numId="1038">
    <w:abstractNumId w:val="992"/>
  </w:num>
  <w:num w:numId="1039">
    <w:abstractNumId w:val="991"/>
  </w:num>
  <w:num w:numId="1040">
    <w:abstractNumId w:val="992"/>
  </w:num>
  <w:num w:numId="1041">
    <w:abstractNumId w:val="991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1"/>
  </w:num>
  <w:num w:numId="1046">
    <w:abstractNumId w:val="992"/>
  </w:num>
  <w:num w:numId="1047">
    <w:abstractNumId w:val="991"/>
  </w:num>
  <w:num w:numId="1048">
    <w:abstractNumId w:val="992"/>
  </w:num>
  <w:num w:numId="1049">
    <w:abstractNumId w:val="991"/>
  </w:num>
  <w:num w:numId="1050">
    <w:abstractNumId w:val="992"/>
  </w:num>
  <w:num w:numId="1051">
    <w:abstractNumId w:val="991"/>
  </w:num>
  <w:num w:numId="1052">
    <w:abstractNumId w:val="992"/>
  </w:num>
  <w:num w:numId="1053">
    <w:abstractNumId w:val="991"/>
  </w:num>
  <w:num w:numId="1054">
    <w:abstractNumId w:val="991"/>
  </w:num>
  <w:num w:numId="1055">
    <w:abstractNumId w:val="992"/>
  </w:num>
  <w:num w:numId="1056">
    <w:abstractNumId w:val="991"/>
  </w:num>
  <w:num w:numId="1057">
    <w:abstractNumId w:val="992"/>
  </w:num>
  <w:num w:numId="1058">
    <w:abstractNumId w:val="991"/>
  </w:num>
  <w:num w:numId="1059">
    <w:abstractNumId w:val="992"/>
  </w:num>
  <w:num w:numId="1060">
    <w:abstractNumId w:val="991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2"/>
  </w:num>
  <w:num w:numId="1069">
    <w:abstractNumId w:val="991"/>
  </w:num>
  <w:num w:numId="1070">
    <w:abstractNumId w:val="992"/>
  </w:num>
  <w:num w:numId="1071">
    <w:abstractNumId w:val="991"/>
  </w:num>
  <w:num w:numId="1072">
    <w:abstractNumId w:val="992"/>
  </w:num>
  <w:num w:numId="1073">
    <w:abstractNumId w:val="991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1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1"/>
  </w:num>
  <w:num w:numId="1085">
    <w:abstractNumId w:val="992"/>
  </w:num>
  <w:num w:numId="1086">
    <w:abstractNumId w:val="991"/>
  </w:num>
  <w:num w:numId="1087">
    <w:abstractNumId w:val="992"/>
  </w:num>
  <w:num w:numId="1088">
    <w:abstractNumId w:val="991"/>
  </w:num>
  <w:num w:numId="1089">
    <w:abstractNumId w:val="992"/>
  </w:num>
  <w:num w:numId="1090">
    <w:abstractNumId w:val="991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1"/>
  </w:num>
  <w:num w:numId="1101">
    <w:abstractNumId w:val="991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1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1"/>
  </w:num>
  <w:num w:numId="1140">
    <w:abstractNumId w:val="992"/>
  </w:num>
  <w:num w:numId="1141">
    <w:abstractNumId w:val="992"/>
  </w:num>
  <w:num w:numId="1142">
    <w:abstractNumId w:val="991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