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Play-bold.ttf" ContentType="application/x-font-ttf"/>
  <Override PartName="/word/fonts/Play-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toeuqeng760i" w:id="0"/>
    <w:bookmarkEnd w:id="0"/>
    <w:p w:rsidR="00000000" w:rsidDel="00000000" w:rsidP="00000000" w:rsidRDefault="00000000" w:rsidRPr="00000000" w14:paraId="00000001">
      <w:pPr>
        <w:pStyle w:val="Heading1"/>
        <w:jc w:val="left"/>
        <w:rPr>
          <w:rFonts w:ascii="Arial" w:cs="Arial" w:eastAsia="Arial" w:hAnsi="Arial"/>
          <w:color w:val="000000"/>
        </w:rPr>
      </w:pPr>
      <w:r w:rsidDel="00000000" w:rsidR="00000000" w:rsidRPr="00000000">
        <w:rPr>
          <w:rFonts w:ascii="Arial" w:cs="Arial" w:eastAsia="Arial" w:hAnsi="Arial"/>
          <w:color w:val="000000"/>
          <w:rtl w:val="0"/>
        </w:rPr>
        <w:t xml:space="preserve">Response to the Associate Editor and Reviewers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rPr>
          <w:rFonts w:ascii="Arial" w:cs="Arial" w:eastAsia="Arial" w:hAnsi="Arial"/>
          <w:i w:val="0"/>
          <w:iCs w:val="0"/>
          <w:smallCaps w:val="0"/>
          <w:strike w:val="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Manuscript ID:</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 JBHI-00</w:t>
      </w:r>
      <w:sdt>
        <w:sdtPr>
          <w:id w:val="471276771"/>
          <w:tag w:val="goog_rdk_0"/>
        </w:sdtPr>
        <w:sdtContent>
          <w:commentRangeStart w:id="0"/>
        </w:sdtContent>
      </w:sdt>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758-2026</w:t>
        <w:br w:type="textWrapping"/>
      </w: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Manuscript Title:</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 “DISCO-TAB: A Hierarchical Reinforcement Learning Framework for </w:t>
      </w:r>
      <w:commentRangeEnd w:id="0"/>
      <w:r w:rsidDel="00000000" w:rsidR="00000000" w:rsidRPr="00000000">
        <w:commentReference w:id="0"/>
      </w:r>
      <w:r w:rsidDel="00000000" w:rsidR="00000000" w:rsidRPr="00000000">
        <w:rPr>
          <w:rFonts w:ascii="Arial" w:cs="Arial" w:eastAsia="Arial" w:hAnsi="Arial"/>
          <w:i w:val="0"/>
          <w:iCs w:val="0"/>
          <w:smallCaps w:val="0"/>
          <w:strike w:val="0"/>
          <w:sz w:val="24"/>
          <w:szCs w:val="24"/>
          <w:u w:val="none"/>
          <w:shd w:fill="auto" w:val="clear"/>
          <w:vertAlign w:val="baseline"/>
          <w:rtl w:val="0"/>
        </w:rPr>
        <w:t>Clinically Constrained Tabular Data Synthesis”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rPr>
          <w:rFonts w:ascii="Arial" w:cs="Arial" w:eastAsia="Arial" w:hAnsi="Arial"/>
          <w:i w:val="0"/>
          <w:iCs w:val="0"/>
          <w:smallCaps w:val="0"/>
          <w:strike w:val="0"/>
          <w:sz w:val="24"/>
          <w:szCs w:val="24"/>
          <w:u w:val="none"/>
          <w:shd w:fill="auto" w:val="clear"/>
          <w:vertAlign w:val="baseline"/>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Dear Editor-in-Chief, Associate Editor, and Reviewers,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rPr>
          <w:rFonts w:ascii="Arial" w:cs="Arial" w:eastAsia="Arial" w:hAnsi="Arial"/>
          <w:i w:val="0"/>
          <w:iCs w:val="0"/>
          <w:smallCaps w:val="0"/>
          <w:strike w:val="0"/>
          <w:sz w:val="24"/>
          <w:szCs w:val="24"/>
          <w:u w:val="none"/>
          <w:shd w:fill="auto" w:val="clear"/>
          <w:vertAlign w:val="baseline"/>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We sincerely thank you for the careful evaluation of our manuscript and for the constructive and detailed comments. We greatly appreciate the opportunity to revise and resubmit our work. The reviewers’ suggestions have helped us identify several areas in which the manuscript can be made more precise, reproducible, and appropriately scoped.</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rPr>
          <w:rFonts w:ascii="Arial" w:cs="Arial" w:eastAsia="Arial" w:hAnsi="Arial"/>
          <w:i w:val="0"/>
          <w:iCs w:val="0"/>
          <w:smallCaps w:val="0"/>
          <w:strike w:val="0"/>
          <w:sz w:val="24"/>
          <w:szCs w:val="24"/>
          <w:u w:val="none"/>
          <w:shd w:fill="auto" w:val="clear"/>
          <w:vertAlign w:val="baseline"/>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We have carefully considered every comment and have undertaken a substantial revision of the manuscript. In particular, the revised manuscript:</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rPr>
          <w:rFonts w:ascii="Arial" w:cs="Arial" w:eastAsia="Arial" w:hAnsi="Arial"/>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clarifies and strengthens the positioning of DISCO-TAB relative to recent state-of-the-art synthetic tabular data generation methods;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rPr>
          <w:rFonts w:ascii="Arial" w:cs="Arial" w:eastAsia="Arial" w:hAnsi="Arial"/>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expands the methodological and experimental details to improve reproducibility;</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rPr>
          <w:rFonts w:ascii="Arial" w:cs="Arial" w:eastAsia="Arial" w:hAnsi="Arial"/>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revises the terminology concerning privacy to clearly distinguish empirical privacy-risk assessment from formal privacy guarantees;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rPr>
          <w:rFonts w:ascii="Arial" w:cs="Arial" w:eastAsia="Arial" w:hAnsi="Arial"/>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clarifies the computation and interpretation of the distance-to-closest-record (DCR) analysis;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rPr>
          <w:rFonts w:ascii="Arial" w:cs="Arial" w:eastAsia="Arial" w:hAnsi="Arial"/>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clarifies the distinction between multi-granular discriminator feedback and the scalar terminal reward used by PPO;</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rPr>
          <w:rFonts w:ascii="Arial" w:cs="Arial" w:eastAsia="Arial" w:hAnsi="Arial"/>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investigates and provides additional context for the reported Heart Failure classification result;</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rPr>
          <w:rFonts w:ascii="Arial" w:cs="Arial" w:eastAsia="Arial" w:hAnsi="Arial"/>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strengthens the statistical analysis and reporting of experimental variability;</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rPr>
          <w:rFonts w:ascii="Arial" w:cs="Arial" w:eastAsia="Arial" w:hAnsi="Arial"/>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expands the discussion of practical implications, limitations, and future directions;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rPr>
          <w:rFonts w:ascii="Arial" w:cs="Arial" w:eastAsia="Arial" w:hAnsi="Arial"/>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improves figures, captions, notation, abbreviations, cross-references, and references; and</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rPr>
          <w:rFonts w:ascii="Arial" w:cs="Arial" w:eastAsia="Arial" w:hAnsi="Arial"/>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corrects several typographical and formatting inconsistencies.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rPr>
          <w:rFonts w:ascii="Arial" w:cs="Arial" w:eastAsia="Arial" w:hAnsi="Arial"/>
          <w:i w:val="0"/>
          <w:iCs w:val="0"/>
          <w:smallCaps w:val="0"/>
          <w:strike w:val="0"/>
          <w:sz w:val="24"/>
          <w:szCs w:val="24"/>
          <w:u w:val="none"/>
          <w:shd w:fill="auto" w:val="clear"/>
          <w:vertAlign w:val="baseline"/>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All modifications are highlighted in the revised manuscript, as requested. Below, we reproduce each reviewer comment followed by our point-by-point response and the corresponding changes.</w:t>
      </w:r>
    </w:p>
    <w:p w:rsidR="00000000" w:rsidDel="00000000" w:rsidP="00000000" w:rsidRDefault="00000000" w:rsidRPr="00000000" w14:paraId="00000011">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jc w:val="left"/>
        <w:rPr>
          <w:rFonts w:ascii="Arial" w:cs="Arial" w:eastAsia="Arial" w:hAnsi="Arial"/>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jc w:val="left"/>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Reviewer 1</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rPr>
          <w:rFonts w:ascii="Arial" w:cs="Arial" w:eastAsia="Arial" w:hAnsi="Arial"/>
          <w:i w:val="0"/>
          <w:iCs w:val="0"/>
          <w:smallCaps w:val="0"/>
          <w:strike w:val="0"/>
          <w:sz w:val="24"/>
          <w:szCs w:val="24"/>
          <w:u w:val="none"/>
          <w:shd w:fill="auto" w:val="clear"/>
          <w:vertAlign w:val="baseline"/>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We sincerely thank Reviewer 1 for the positive assessment of the motivation, presentation, and multi-dataset evaluation of our work, as well as for the specific suggestions for improving clarity and reproducibility.</w:t>
      </w:r>
    </w:p>
    <w:p w:rsidR="00000000" w:rsidDel="00000000" w:rsidP="00000000" w:rsidRDefault="00000000" w:rsidRPr="00000000" w14:paraId="00000015">
      <w:pPr>
        <w:pStyle w:val="Heading3"/>
        <w:jc w:val="left"/>
        <w:rPr>
          <w:rFonts w:ascii="Arial" w:cs="Arial" w:eastAsia="Arial" w:hAnsi="Arial"/>
          <w:i w:val="1"/>
          <w:iCs w:val="1"/>
          <w:smallCaps w:val="0"/>
          <w:strike w:val="0"/>
          <w:color w:val="000000"/>
          <w:sz w:val="24"/>
          <w:szCs w:val="24"/>
          <w:u w:val="none"/>
          <w:shd w:fill="auto" w:val="clear"/>
          <w:vertAlign w:val="baseline"/>
        </w:rPr>
      </w:pPr>
      <w:r w:rsidDel="00000000" w:rsidR="00000000" w:rsidRPr="00000000">
        <w:rPr>
          <w:rFonts w:ascii="Arial" w:cs="Arial" w:eastAsia="Arial" w:hAnsi="Arial"/>
          <w:i w:val="1"/>
          <w:iCs w:val="1"/>
          <w:color w:val="000000"/>
          <w:rtl w:val="0"/>
        </w:rPr>
        <w:t xml:space="preserve">Comment 1:</w:t>
      </w:r>
      <w:r w:rsidDel="00000000" w:rsidR="00000000" w:rsidRPr="00000000">
        <w:rPr>
          <w:rFonts w:ascii="Arial" w:cs="Arial" w:eastAsia="Arial" w:hAnsi="Arial"/>
          <w:i w:val="1"/>
          <w:iCs w:val="1"/>
          <w:color w:val="000000"/>
          <w:rtl w:val="0"/>
        </w:rPr>
        <w:t xml:space="preserve">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p. 5, Col. 2, Ln. 57: The text references “Table ?? summarizes…”, but this table is missing. Please insert the table or correct the cross-reference.</w:t>
      </w:r>
    </w:p>
    <w:p w:rsidR="00000000" w:rsidDel="00000000" w:rsidP="00000000" w:rsidRDefault="00000000" w:rsidRPr="00000000" w14:paraId="00000016">
      <w:pPr>
        <w:pStyle w:val="Heading3"/>
        <w:jc w:val="left"/>
        <w:rPr>
          <w:rFonts w:ascii="Arial" w:cs="Arial" w:eastAsia="Arial" w:hAnsi="Arial"/>
          <w:i w:val="1"/>
          <w:iCs w:val="1"/>
          <w:smallCaps w:val="0"/>
          <w:strike w:val="0"/>
          <w:color w:val="000000"/>
          <w:sz w:val="24"/>
          <w:szCs w:val="24"/>
          <w:u w:val="none"/>
          <w:shd w:fill="auto" w:val="clear"/>
          <w:vertAlign w:val="baseline"/>
        </w:rPr>
      </w:pPr>
      <w:r w:rsidDel="00000000" w:rsidR="00000000" w:rsidRPr="00000000">
        <w:rPr>
          <w:rFonts w:ascii="Arial" w:cs="Arial" w:eastAsia="Arial" w:hAnsi="Arial"/>
          <w:i w:val="1"/>
          <w:iCs w:val="1"/>
          <w:color w:val="000000"/>
          <w:rtl w:val="0"/>
        </w:rPr>
        <w:t xml:space="preserve">Comment 2:</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p. 6, Col. 2, Ln. 42: The definition of [symbol] is repeated. It was already introduced on Col. 1, after Eq. 3. Please remove the redundancy.</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rPr>
          <w:rFonts w:ascii="Arial" w:cs="Arial" w:eastAsia="Arial" w:hAnsi="Arial"/>
          <w:i w:val="0"/>
          <w:iCs w:val="0"/>
          <w:smallCaps w:val="0"/>
          <w:strike w:val="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Response: </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Thank you for identifying this issue. We have corrected this and other unresolved cross-references throughout the manuscript.</w:t>
      </w:r>
    </w:p>
    <w:p w:rsidR="00000000" w:rsidDel="00000000" w:rsidP="00000000" w:rsidRDefault="00000000" w:rsidRPr="00000000" w14:paraId="00000018">
      <w:pPr>
        <w:pStyle w:val="Heading3"/>
        <w:jc w:val="left"/>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019">
      <w:pPr>
        <w:pStyle w:val="Heading3"/>
        <w:jc w:val="left"/>
        <w:rPr>
          <w:rFonts w:ascii="Arial" w:cs="Arial" w:eastAsia="Arial" w:hAnsi="Arial"/>
          <w:i w:val="1"/>
          <w:iCs w:val="1"/>
          <w:smallCaps w:val="0"/>
          <w:strike w:val="0"/>
          <w:color w:val="000000"/>
          <w:sz w:val="24"/>
          <w:szCs w:val="24"/>
          <w:u w:val="none"/>
          <w:shd w:fill="auto" w:val="clear"/>
          <w:vertAlign w:val="baseline"/>
        </w:rPr>
      </w:pPr>
      <w:r w:rsidDel="00000000" w:rsidR="00000000" w:rsidRPr="00000000">
        <w:rPr>
          <w:rFonts w:ascii="Arial" w:cs="Arial" w:eastAsia="Arial" w:hAnsi="Arial"/>
          <w:i w:val="1"/>
          <w:iCs w:val="1"/>
          <w:color w:val="000000"/>
          <w:rtl w:val="0"/>
        </w:rPr>
        <w:t xml:space="preserve">Comment 3: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pp. 8–9: To better summarize the margin analysis (relative gain Δ) and statistical fidelity results discussed alongside Tables I and II, please add concise visualizations (e.g., bar/box plots) for each dataset.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rPr>
          <w:rFonts w:ascii="Arial" w:cs="Arial" w:eastAsia="Arial" w:hAnsi="Arial"/>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Response: </w:t>
      </w:r>
      <w:r w:rsidDel="00000000" w:rsidR="00000000" w:rsidRPr="00000000">
        <w:rPr>
          <w:rFonts w:ascii="Arial" w:cs="Arial" w:eastAsia="Arial" w:hAnsi="Arial"/>
          <w:rtl w:val="0"/>
        </w:rPr>
        <w:t xml:space="preserve">Response: Thank you for this suggestion. We have added Figure 2 to summarize the per-dataset F1 improvement (Δ) over the strongest baseline and Figure 3 to show statistical fidelity using Jensen–Shannon divergence. These visualizations complement Tables IV and V, respectively.</w:t>
      </w:r>
    </w:p>
    <w:p w:rsidR="00000000" w:rsidDel="00000000" w:rsidP="00000000" w:rsidRDefault="00000000" w:rsidRPr="00000000" w14:paraId="0000001B">
      <w:pPr>
        <w:pStyle w:val="Heading3"/>
        <w:jc w:val="left"/>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01C">
      <w:pPr>
        <w:pStyle w:val="Heading3"/>
        <w:jc w:val="left"/>
        <w:rPr>
          <w:rFonts w:ascii="Arial" w:cs="Arial" w:eastAsia="Arial" w:hAnsi="Arial"/>
          <w:i w:val="1"/>
          <w:iCs w:val="1"/>
          <w:smallCaps w:val="0"/>
          <w:strike w:val="0"/>
          <w:color w:val="000000"/>
          <w:sz w:val="24"/>
          <w:szCs w:val="24"/>
          <w:u w:val="none"/>
          <w:shd w:fill="auto" w:val="clear"/>
          <w:vertAlign w:val="baseline"/>
        </w:rPr>
      </w:pPr>
      <w:r w:rsidDel="00000000" w:rsidR="00000000" w:rsidRPr="00000000">
        <w:rPr>
          <w:rFonts w:ascii="Arial" w:cs="Arial" w:eastAsia="Arial" w:hAnsi="Arial"/>
          <w:i w:val="1"/>
          <w:iCs w:val="1"/>
          <w:color w:val="000000"/>
          <w:rtl w:val="0"/>
        </w:rPr>
        <w:t xml:space="preserve">Comment 4: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Table II: The metric JS is used but not defined. Please provide its full name and formula in the table caption or nomenclature.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rPr>
          <w:rFonts w:ascii="Arial" w:cs="Arial" w:eastAsia="Arial" w:hAnsi="Arial"/>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Response: </w:t>
      </w:r>
      <w:r w:rsidDel="00000000" w:rsidR="00000000" w:rsidRPr="00000000">
        <w:rPr>
          <w:rFonts w:ascii="Arial" w:cs="Arial" w:eastAsia="Arial" w:hAnsi="Arial"/>
          <w:rtl w:val="0"/>
        </w:rPr>
        <w:t xml:space="preserve">Response: We have defined Jensen–Shannon divergence (JSD), provided its formula in Eq. (30), and clarified that lower values indicate greater distributional similarity.</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F">
      <w:pPr>
        <w:pStyle w:val="Heading3"/>
        <w:jc w:val="left"/>
        <w:rPr>
          <w:rFonts w:ascii="Arial" w:cs="Arial" w:eastAsia="Arial" w:hAnsi="Arial"/>
          <w:i w:val="1"/>
          <w:iCs w:val="1"/>
          <w:smallCaps w:val="0"/>
          <w:strike w:val="0"/>
          <w:color w:val="000000"/>
          <w:sz w:val="24"/>
          <w:szCs w:val="24"/>
          <w:u w:val="none"/>
          <w:shd w:fill="auto" w:val="clear"/>
          <w:vertAlign w:val="baseline"/>
        </w:rPr>
      </w:pPr>
      <w:r w:rsidDel="00000000" w:rsidR="00000000" w:rsidRPr="00000000">
        <w:rPr>
          <w:rFonts w:ascii="Arial" w:cs="Arial" w:eastAsia="Arial" w:hAnsi="Arial"/>
          <w:i w:val="1"/>
          <w:iCs w:val="1"/>
          <w:color w:val="000000"/>
          <w:rtl w:val="0"/>
        </w:rPr>
        <w:t xml:space="preserve">Comment 5: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The Section of Discussion and Limitations is better to be summarized as possible. </w:t>
      </w:r>
    </w:p>
    <w:p w:rsidR="00000000" w:rsidDel="00000000" w:rsidP="00000000" w:rsidRDefault="00000000" w:rsidRPr="00000000" w14:paraId="00000020">
      <w:pPr>
        <w:spacing w:after="180" w:before="180" w:lineRule="auto"/>
        <w:rPr>
          <w:rFonts w:ascii="Arial" w:cs="Arial" w:eastAsia="Arial" w:hAnsi="Arial"/>
        </w:rPr>
      </w:pPr>
      <w:r w:rsidDel="00000000" w:rsidR="00000000" w:rsidRPr="00000000">
        <w:rPr>
          <w:rFonts w:ascii="Arial" w:cs="Arial" w:eastAsia="Arial" w:hAnsi="Arial"/>
          <w:b w:val="1"/>
          <w:bCs w:val="1"/>
          <w:rtl w:val="0"/>
        </w:rPr>
        <w:t xml:space="preserve">Response: </w:t>
      </w:r>
      <w:r w:rsidDel="00000000" w:rsidR="00000000" w:rsidRPr="00000000">
        <w:rPr>
          <w:rFonts w:ascii="Arial" w:cs="Arial" w:eastAsia="Arial" w:hAnsi="Arial"/>
          <w:rtl w:val="0"/>
        </w:rPr>
        <w:t xml:space="preserve">Thank you for this recommendation. We agree that portions of the original Discussion and Limitations section were overly lengthy. We have condensed repetitive descriptions while retaining the material necessary to interpret the results, acknowledge the methodological limitations, and discuss their implications. At the same time, in response to Reviewers 2 and 3, we have strengthened the discussion where deeper interpretation was specifically needed. The resulting section is more focused and avoids repeating numerical results already reported in the Results section. </w:t>
      </w:r>
    </w:p>
    <w:p w:rsidR="00000000" w:rsidDel="00000000" w:rsidP="00000000" w:rsidRDefault="00000000" w:rsidRPr="00000000" w14:paraId="00000021">
      <w:pPr>
        <w:pStyle w:val="Heading1"/>
        <w:jc w:val="left"/>
        <w:rPr>
          <w:rFonts w:ascii="Arial" w:cs="Arial" w:eastAsia="Arial" w:hAnsi="Arial"/>
          <w:color w:val="000000"/>
        </w:rPr>
      </w:pPr>
      <w:r w:rsidDel="00000000" w:rsidR="00000000" w:rsidRPr="00000000">
        <w:rPr>
          <w:rFonts w:ascii="Arial" w:cs="Arial" w:eastAsia="Arial" w:hAnsi="Arial"/>
          <w:color w:val="000000"/>
          <w:rtl w:val="0"/>
        </w:rPr>
        <w:t xml:space="preserve">Reviewer 2</w:t>
      </w:r>
    </w:p>
    <w:p w:rsidR="00000000" w:rsidDel="00000000" w:rsidP="00000000" w:rsidRDefault="00000000" w:rsidRPr="00000000" w14:paraId="00000022">
      <w:pPr>
        <w:spacing w:after="240" w:before="240" w:lineRule="auto"/>
        <w:rPr>
          <w:rFonts w:ascii="Arial" w:cs="Arial" w:eastAsia="Arial" w:hAnsi="Arial"/>
        </w:rPr>
      </w:pPr>
      <w:r w:rsidDel="00000000" w:rsidR="00000000" w:rsidRPr="00000000">
        <w:rPr>
          <w:rFonts w:ascii="Arial" w:cs="Arial" w:eastAsia="Arial" w:hAnsi="Arial"/>
          <w:rtl w:val="0"/>
        </w:rPr>
        <w:t xml:space="preserve">We thank Reviewer 2 for the constructive comments. In response, we have clarified DISCO-TAB’s novelty, strengthened its comparison with recent approaches, and expanded the methodological and experimental descriptions to improve reproducibility. We have also revised the discussion to better explain the findings, practical implications, assumptions, limitations, and future directions, and improved the manuscript’s presentation. Our point-by-point responses below detail these revisions.</w:t>
      </w:r>
    </w:p>
    <w:p w:rsidR="00000000" w:rsidDel="00000000" w:rsidP="00000000" w:rsidRDefault="00000000" w:rsidRPr="00000000" w14:paraId="00000023">
      <w:pPr>
        <w:spacing w:after="240" w:before="240" w:lineRule="auto"/>
        <w:rPr>
          <w:rFonts w:ascii="Arial" w:cs="Arial" w:eastAsia="Arial" w:hAnsi="Arial"/>
          <w:i w:val="1"/>
          <w:iCs w:val="1"/>
          <w:smallCaps w:val="0"/>
          <w:strike w:val="0"/>
          <w:sz w:val="24"/>
          <w:szCs w:val="24"/>
          <w:u w:val="none"/>
          <w:shd w:fill="auto" w:val="clear"/>
          <w:vertAlign w:val="baseline"/>
        </w:rPr>
      </w:pPr>
      <w:r w:rsidDel="00000000" w:rsidR="00000000" w:rsidRPr="00000000">
        <w:rPr>
          <w:rFonts w:ascii="Arial" w:cs="Arial" w:eastAsia="Arial" w:hAnsi="Arial"/>
          <w:i w:val="1"/>
          <w:iCs w:val="1"/>
          <w:color w:val="000000"/>
          <w:rtl w:val="0"/>
        </w:rPr>
        <w:t xml:space="preserve">Comment 1: </w:t>
      </w:r>
      <w:r w:rsidDel="00000000" w:rsidR="00000000" w:rsidRPr="00000000">
        <w:rPr>
          <w:rFonts w:ascii="Arial" w:cs="Arial" w:eastAsia="Arial" w:hAnsi="Arial"/>
          <w:i w:val="1"/>
          <w:iCs w:val="1"/>
          <w:smallCaps w:val="0"/>
          <w:strike w:val="0"/>
          <w:sz w:val="24"/>
          <w:szCs w:val="24"/>
          <w:u w:val="none"/>
          <w:shd w:fill="auto" w:val="clear"/>
          <w:vertAlign w:val="baseline"/>
          <w:rtl w:val="0"/>
        </w:rPr>
        <w:t xml:space="preserve">The authors should clearly articulate the novelty and scientific contribution of the proposed work compared with the most recent state-of-the-art studies.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rPr>
          <w:rFonts w:ascii="Arial" w:cs="Arial" w:eastAsia="Arial" w:hAnsi="Arial"/>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Response:  </w:t>
      </w:r>
      <w:r w:rsidDel="00000000" w:rsidR="00000000" w:rsidRPr="00000000">
        <w:rPr>
          <w:rFonts w:ascii="Arial" w:cs="Arial" w:eastAsia="Arial" w:hAnsi="Arial"/>
          <w:rtl w:val="0"/>
        </w:rPr>
        <w:t xml:space="preserve">We have revised the Introduction (Section I) and Related Work (Section II) to clarify DISCO-TAB’s novelty and distinguish it from existing generative and feedback-guided approaches. Its central contribution is a hierarchical architecture that combines token-, clause-, feature-, and record-level discriminator feedback into a terminal reward for reinforcement learning, enabling optimization across complementary aspects of tabular consistency.</w:t>
      </w:r>
    </w:p>
    <w:p w:rsidR="00000000" w:rsidDel="00000000" w:rsidP="00000000" w:rsidRDefault="00000000" w:rsidRPr="00000000" w14:paraId="00000025">
      <w:pPr>
        <w:spacing w:after="240" w:before="240" w:lineRule="auto"/>
        <w:rPr>
          <w:rFonts w:ascii="Arial" w:cs="Arial" w:eastAsia="Arial" w:hAnsi="Arial"/>
        </w:rPr>
      </w:pPr>
      <w:r w:rsidDel="00000000" w:rsidR="00000000" w:rsidRPr="00000000">
        <w:rPr>
          <w:rFonts w:ascii="Arial" w:cs="Arial" w:eastAsia="Arial" w:hAnsi="Arial"/>
          <w:rtl w:val="0"/>
        </w:rPr>
        <w:t xml:space="preserve">The framework integrates automated dependency discovery to identify feature relationships without exhaustive manual rule specification and inverse-frequency reward shaping to emphasize underrepresented classes during optimization. The revised contribution statements and comparative discussion attribute the novelty to the integration and empirical evaluation of these mechanisms, rather than to the individual generators, discriminators, or reinforcement learning algorithms.</w:t>
      </w:r>
    </w:p>
    <w:p w:rsidR="00000000" w:rsidDel="00000000" w:rsidP="00000000" w:rsidRDefault="00000000" w:rsidRPr="00000000" w14:paraId="00000026">
      <w:pPr>
        <w:pStyle w:val="Heading3"/>
        <w:jc w:val="lef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7">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Comment 2: A dedicated discussion highlighting the unique advantages and limitations of the proposed approach is recommended.</w:t>
      </w:r>
    </w:p>
    <w:p w:rsidR="00000000" w:rsidDel="00000000" w:rsidP="00000000" w:rsidRDefault="00000000" w:rsidRPr="00000000" w14:paraId="00000028">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Response:</w:t>
      </w:r>
      <w:r w:rsidDel="00000000" w:rsidR="00000000" w:rsidRPr="00000000">
        <w:rPr>
          <w:rFonts w:ascii="Arial" w:cs="Arial" w:eastAsia="Arial" w:hAnsi="Arial"/>
          <w:rtl w:val="0"/>
        </w:rPr>
        <w:t xml:space="preserve"> We agree. A dedicated “Advantages and Limitations” paragraph has been added to the Discussion (Section VII, p. 16). It lists the main advantages (heterogeneous validity signals in one RL objective, minority-class preservation, automated dependency discovery, applicability across heterogeneous datasets) and seven explicit limitations (e.g., no formal differential privacy, pairwise-only dependency discovery, dependence on discriminator quality, PPO computational overhead).</w:t>
      </w:r>
    </w:p>
    <w:p w:rsidR="00000000" w:rsidDel="00000000" w:rsidP="00000000" w:rsidRDefault="00000000" w:rsidRPr="00000000" w14:paraId="00000029">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A">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Comment 3: The literature review should be strengthened by incorporating additional recent and relevant studies published within the last 3–5 years.</w:t>
      </w:r>
    </w:p>
    <w:p w:rsidR="00000000" w:rsidDel="00000000" w:rsidP="00000000" w:rsidRDefault="00000000" w:rsidRPr="00000000" w14:paraId="0000002B">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Response:</w:t>
      </w:r>
      <w:r w:rsidDel="00000000" w:rsidR="00000000" w:rsidRPr="00000000">
        <w:rPr>
          <w:rFonts w:ascii="Arial" w:cs="Arial" w:eastAsia="Arial" w:hAnsi="Arial"/>
          <w:rtl w:val="0"/>
        </w:rPr>
        <w:t xml:space="preserve"> We agree. Section II (pp. 2–3) now covers recent work, including TabDDPM [9], REaLTabFormer [11], TabSyn [13], TAEGAN [12], HARMONIC [15], SynLLM [16], AIGT [17], TabularARGN [18], TAGAL [21], and P-TA [22] (2023–2025). Table I (p. 4) summarizes how these families differ.</w:t>
      </w:r>
    </w:p>
    <w:p w:rsidR="00000000" w:rsidDel="00000000" w:rsidP="00000000" w:rsidRDefault="00000000" w:rsidRPr="00000000" w14:paraId="0000002C">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D">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Comment 4: The authors should provide a more critical comparison between existing approaches and the proposed methodology.</w:t>
      </w:r>
    </w:p>
    <w:p w:rsidR="00000000" w:rsidDel="00000000" w:rsidP="00000000" w:rsidRDefault="00000000" w:rsidRPr="00000000" w14:paraId="0000002E">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Response:</w:t>
      </w:r>
      <w:r w:rsidDel="00000000" w:rsidR="00000000" w:rsidRPr="00000000">
        <w:rPr>
          <w:rFonts w:ascii="Arial" w:cs="Arial" w:eastAsia="Arial" w:hAnsi="Arial"/>
          <w:rtl w:val="0"/>
        </w:rPr>
        <w:t xml:space="preserve"> We agree. Section II (pp. 2–3) now compares each method family (adversarial, diffusion, autoregressive/LLM, constraint- and feedback-driven, privacy-focused) in terms of objective, constraint enforcement, class imbalance, and privacy. The “Summary and Positioning” paragraph (p. 3) and Table I (p. 4) state where DISCO-TAB differs (hierarchical discriminator rewards versus the textual or scalar feedback of TAGAL and P-TA) and where it does not (no formal privacy, unlike PATE-GAN).</w:t>
      </w:r>
    </w:p>
    <w:p w:rsidR="00000000" w:rsidDel="00000000" w:rsidP="00000000" w:rsidRDefault="00000000" w:rsidRPr="00000000" w14:paraId="0000002F">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0">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Comment 5: The methodology section requires additional details to ensure reproducibility.</w:t>
      </w:r>
    </w:p>
    <w:p w:rsidR="00000000" w:rsidDel="00000000" w:rsidP="00000000" w:rsidRDefault="00000000" w:rsidRPr="00000000" w14:paraId="00000031">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Response:</w:t>
      </w:r>
      <w:r w:rsidDel="00000000" w:rsidR="00000000" w:rsidRPr="00000000">
        <w:rPr>
          <w:rFonts w:ascii="Arial" w:cs="Arial" w:eastAsia="Arial" w:hAnsi="Arial"/>
          <w:rtl w:val="0"/>
        </w:rPr>
        <w:t xml:space="preserve"> We agree. Section III now specifies the linearization and [MISSING]-token handling (pp. 4–5), constraint discovery (p. 5), each discriminator (pp. 5–7), reward construction and the PPO objective (pp. 7–8), and the full training procedure (Algorithm 1, p. 7). Hyperparameters and software details are in Section III-E (p. 8) and Appendix A (p. 17).</w:t>
      </w:r>
    </w:p>
    <w:p w:rsidR="00000000" w:rsidDel="00000000" w:rsidP="00000000" w:rsidRDefault="00000000" w:rsidRPr="00000000" w14:paraId="00000032">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3">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Comment 6: The selection of parameters, model configurations, datasets, and evaluation protocols should be better justified.</w:t>
      </w:r>
    </w:p>
    <w:p w:rsidR="00000000" w:rsidDel="00000000" w:rsidP="00000000" w:rsidRDefault="00000000" w:rsidRPr="00000000" w14:paraId="00000034">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Response:</w:t>
      </w:r>
      <w:r w:rsidDel="00000000" w:rsidR="00000000" w:rsidRPr="00000000">
        <w:rPr>
          <w:rFonts w:ascii="Arial" w:cs="Arial" w:eastAsia="Arial" w:hAnsi="Arial"/>
          <w:rtl w:val="0"/>
        </w:rPr>
        <w:t xml:space="preserve"> We agree. Section IV-A (pp. 8–9) now justifies the 23 datasets (the original nine clinical, financial, and social sets, expanded with ten SurvSet survival cohorts and four TabArena/OpenML sets) (small high-dimensional, moderate-sized, large imbalanced, and non-medical sets for cross-domain testing; Table III, p. 9), the shared preprocessing and train/test splits, and the evaluation protocol (utility, fidelity, disclosure risk). Parameter choices and settings held fixed across datasets are explained in Section III-E (p. 8) and Appendix A.3 (p. 17).</w:t>
      </w:r>
    </w:p>
    <w:p w:rsidR="00000000" w:rsidDel="00000000" w:rsidP="00000000" w:rsidRDefault="00000000" w:rsidRPr="00000000" w14:paraId="00000035">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6">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Comment 7: Any assumptions and limitations of the proposed method should be explicitly stated.</w:t>
      </w:r>
    </w:p>
    <w:p w:rsidR="00000000" w:rsidDel="00000000" w:rsidP="00000000" w:rsidRDefault="00000000" w:rsidRPr="00000000" w14:paraId="00000037">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Response:</w:t>
      </w:r>
      <w:r w:rsidDel="00000000" w:rsidR="00000000" w:rsidRPr="00000000">
        <w:rPr>
          <w:rFonts w:ascii="Arial" w:cs="Arial" w:eastAsia="Arial" w:hAnsi="Arial"/>
          <w:rtl w:val="0"/>
        </w:rPr>
        <w:t xml:space="preserve"> We agree. Three assumptions are now stated in Section III (p. 4): (i) dependencies are captured to first order by pairwise associations, (ii) serialization retains sufficient record structure, and (iii) reward quality depends on discriminator calibration. Their consequences are discussed as limitations in Section VII (pp. 15–16).</w:t>
      </w:r>
    </w:p>
    <w:p w:rsidR="00000000" w:rsidDel="00000000" w:rsidP="00000000" w:rsidRDefault="00000000" w:rsidRPr="00000000" w14:paraId="00000038">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9">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Comment 8: The experimental setup should be described in greater detail.</w:t>
      </w:r>
    </w:p>
    <w:p w:rsidR="00000000" w:rsidDel="00000000" w:rsidP="00000000" w:rsidRDefault="00000000" w:rsidRPr="00000000" w14:paraId="0000003A">
      <w:pPr>
        <w:spacing w:after="240" w:before="240" w:lineRule="auto"/>
        <w:rPr>
          <w:rFonts w:ascii="Arial" w:cs="Arial" w:eastAsia="Arial" w:hAnsi="Arial"/>
        </w:rPr>
      </w:pPr>
      <w:r w:rsidDel="00000000" w:rsidR="00000000" w:rsidRPr="00000000">
        <w:rPr>
          <w:rFonts w:ascii="Arial" w:cs="Arial" w:eastAsia="Arial" w:hAnsi="Arial"/>
          <w:b w:val="1"/>
          <w:bCs w:val="1"/>
          <w:rtl w:val="0"/>
        </w:rPr>
        <w:t>Response: We agree. Section IV-A (pp. 8-9) now describes the datasets (Table III), preprocessing, identical train/test splits, baselines, downstream classifier, and repeated-run protocol. Appendix A reports the hardware (a single NVIDIA T4, 16 GB), software versions, and hyperparameters.</w:t>
      </w:r>
      <w:r w:rsidDel="00000000" w:rsidR="00000000" w:rsidRPr="00000000">
        <w:rPr>
          <w:rFonts w:ascii="Arial" w:cs="Arial" w:eastAsia="Arial" w:hAnsi="Arial"/>
          <w:rtl w:val="0"/>
        </w:rPr>
      </w:r>
    </w:p>
    <w:p w:rsidR="00000000" w:rsidDel="00000000" w:rsidP="00000000" w:rsidRDefault="00000000" w:rsidRPr="00000000" w14:paraId="0000003B">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C">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Comment 9: Comparative experiments with additional baseline methods would strengthen the validity of the conclusions.</w:t>
      </w:r>
    </w:p>
    <w:p w:rsidR="00000000" w:rsidDel="00000000" w:rsidP="00000000" w:rsidRDefault="00000000" w:rsidRPr="00000000" w14:paraId="0000003D">
      <w:pPr>
        <w:spacing w:after="240" w:before="240" w:lineRule="auto"/>
        <w:rPr>
          <w:rFonts w:ascii="Arial" w:cs="Arial" w:eastAsia="Arial" w:hAnsi="Arial"/>
        </w:rPr>
      </w:pPr>
      <w:r w:rsidDel="00000000" w:rsidR="00000000" w:rsidRPr="00000000">
        <w:rPr>
          <w:rFonts w:ascii="Arial" w:cs="Arial" w:eastAsia="Arial" w:hAnsi="Arial"/>
          <w:b w:val="1"/>
          <w:bCs w:val="1"/>
          <w:rtl w:val="0"/>
        </w:rPr>
        <w:t>Response: We agree. The comparison spans every major family: CTGAN and TAEGAN (adversarial), GReaT and RealTabFormer (autoregressive LLM), TabDDPM and TabSyn (diffusion/latent), and TAGAL (agentic LLM), all on identical splits and downstream evaluation (Section IV-A; Table IV). The comprehensive appendix benchmark additionally reports ADS-GAN, PATE-GAN, TVAE, RTVAE, NFlow, and Marginals, covering 13 generators across 23 datasets and 21 metrics.</w:t>
      </w:r>
      <w:r w:rsidDel="00000000" w:rsidR="00000000" w:rsidRPr="00000000">
        <w:rPr>
          <w:rFonts w:ascii="Arial" w:cs="Arial" w:eastAsia="Arial" w:hAnsi="Arial"/>
          <w:rtl w:val="0"/>
        </w:rPr>
      </w:r>
      <w:r>
        <w:t xml:space="preserve"> Marginals is an independent per-column sampler included as an independence baseline and a sanity check on the metric pipeline.</w:t>
      </w:r>
    </w:p>
    <w:p w:rsidR="00000000" w:rsidDel="00000000" w:rsidP="00000000" w:rsidRDefault="00000000" w:rsidRPr="00000000" w14:paraId="0000003E">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F">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Comment 10: Statistical significance analysis should be included where applicable.</w:t>
      </w:r>
    </w:p>
    <w:p w:rsidR="00000000" w:rsidDel="00000000" w:rsidP="00000000" w:rsidRDefault="00000000" w:rsidRPr="00000000" w14:paraId="00000040">
      <w:pPr>
        <w:spacing w:after="240" w:before="240" w:lineRule="auto"/>
        <w:rPr>
          <w:rFonts w:ascii="Arial" w:cs="Arial" w:eastAsia="Arial" w:hAnsi="Arial"/>
          <w:highlight w:val="yellow"/>
        </w:rPr>
      </w:pPr>
      <w:r w:rsidDel="00000000" w:rsidR="00000000" w:rsidRPr="00000000">
        <w:rPr>
          <w:rFonts w:ascii="Arial" w:cs="Arial" w:eastAsia="Arial" w:hAnsi="Arial"/>
          <w:b w:val="1"/>
          <w:bCs w:val="1"/>
          <w:rtl w:val="0"/>
        </w:rPr>
        <w:t>Response: Reported metrics are now averaged over 3 independent seeds (distinct stratified splits) and given as mean +/- SD with 95% confidence intervals (Section IV-A). We treat differences smaller than the run-to-run spread as inconclusive. Because the most recent baselines were run at a single seed for computational reasons, we restrict formal comparison to the full-coverage methods and otherwise avoid over-interpreting small gaps.</w:t>
      </w:r>
      <w:r w:rsidDel="00000000" w:rsidR="00000000" w:rsidRPr="00000000">
        <w:rPr>
          <w:rFonts w:ascii="Arial" w:cs="Arial" w:eastAsia="Arial" w:hAnsi="Arial"/>
          <w:rtl w:val="0"/>
        </w:rPr>
      </w:r>
      <w:r w:rsidDel="00000000" w:rsidR="00000000" w:rsidRPr="00000000">
        <w:rPr>
          <w:rFonts w:ascii="Arial" w:cs="Arial" w:eastAsia="Arial" w:hAnsi="Arial"/>
          <w:highlight w:val="yellow"/>
          <w:rtl w:val="0"/>
        </w:rPr>
      </w:r>
      <w:r>
        <w:t xml:space="preserve"> A Friedman test across the full-coverage generators (chi-squared = 97.0, p &lt; 10^-16) and post-hoc Wilcoxon signed-rank tests place DISCO-TAB on par with the strongest baseline (TAEGAN, p = 0.94) and significantly above the GAN, flow, and marginal baselines (p &lt; 0.01).</w:t>
      </w:r>
    </w:p>
    <w:p w:rsidR="00000000" w:rsidDel="00000000" w:rsidP="00000000" w:rsidRDefault="00000000" w:rsidRPr="00000000" w14:paraId="00000041">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2">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Comment 11: The discussion section should be expanded to provide deeper interpretation of the results rather than only reporting performance metrics.</w:t>
      </w:r>
    </w:p>
    <w:p w:rsidR="00000000" w:rsidDel="00000000" w:rsidP="00000000" w:rsidRDefault="00000000" w:rsidRPr="00000000" w14:paraId="00000043">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Response:</w:t>
      </w:r>
      <w:r w:rsidDel="00000000" w:rsidR="00000000" w:rsidRPr="00000000">
        <w:rPr>
          <w:rFonts w:ascii="Arial" w:cs="Arial" w:eastAsia="Arial" w:hAnsi="Arial"/>
          <w:rtl w:val="0"/>
        </w:rPr>
        <w:t xml:space="preserve"> We agree. Results are now interpreted rather than only listed: utility gains by data regime (Section IV-B, pp. 9–10), the fidelity and privacy–utility trade-offs including the diffusion privacy paradox (Sections IV-C–D, pp. 10–12), the precision–diversity trade-off (Section V-B, p. 13), and the ablation and synergy analysis (Section VI, pp. 13–15). Section VII (pp. 15–16) links these findings to hierarchical feedback, IFRS, and data-scarce behavior.</w:t>
      </w:r>
    </w:p>
    <w:p w:rsidR="00000000" w:rsidDel="00000000" w:rsidP="00000000" w:rsidRDefault="00000000" w:rsidRPr="00000000" w14:paraId="00000044">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5">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Comment 12: The practical implications and potential real-world applications of the proposed work should be elaborated.</w:t>
      </w:r>
    </w:p>
    <w:p w:rsidR="00000000" w:rsidDel="00000000" w:rsidP="00000000" w:rsidRDefault="00000000" w:rsidRPr="00000000" w14:paraId="00000046">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Response:</w:t>
      </w:r>
      <w:r w:rsidDel="00000000" w:rsidR="00000000" w:rsidRPr="00000000">
        <w:rPr>
          <w:rFonts w:ascii="Arial" w:cs="Arial" w:eastAsia="Arial" w:hAnsi="Arial"/>
          <w:rtl w:val="0"/>
        </w:rPr>
        <w:t xml:space="preserve"> We agree. A “Practical Implications” paragraph has been added (Section VII, pp. 15–16). It describes intended uses (developing and pre-screening ML pipelines, minority-class augmentation, benchmarking, governed data sharing) and cautions that, because DISCO-TAB offers no formal privacy guarantee, its outputs should not be released without a dataset-specific disclosure-risk assessment.</w:t>
      </w:r>
    </w:p>
    <w:p w:rsidR="00000000" w:rsidDel="00000000" w:rsidP="00000000" w:rsidRDefault="00000000" w:rsidRPr="00000000" w14:paraId="00000047">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8">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Comment 13: The conclusion should more clearly summarize the key findings and contributions.</w:t>
      </w:r>
    </w:p>
    <w:p w:rsidR="00000000" w:rsidDel="00000000" w:rsidP="00000000" w:rsidRDefault="00000000" w:rsidRPr="00000000" w14:paraId="00000049">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Response:</w:t>
      </w:r>
      <w:r w:rsidDel="00000000" w:rsidR="00000000" w:rsidRPr="00000000">
        <w:rPr>
          <w:rFonts w:ascii="Arial" w:cs="Arial" w:eastAsia="Arial" w:hAnsi="Arial"/>
          <w:rtl w:val="0"/>
        </w:rPr>
        <w:t xml:space="preserve"> We agree. The Conclusion (Section VIII, p. 16) has been rewritten to summarize the contribution, the main empirical findings (competitive with, and on several datasets better than, GAN, diffusion, and agentic baselines), and the limitations, without introducing new claims.</w:t>
      </w:r>
    </w:p>
    <w:p w:rsidR="00000000" w:rsidDel="00000000" w:rsidP="00000000" w:rsidRDefault="00000000" w:rsidRPr="00000000" w14:paraId="0000004A">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B">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Comment 14: Future research directions and limitations should be discussed in greater detail.</w:t>
      </w:r>
    </w:p>
    <w:p w:rsidR="00000000" w:rsidDel="00000000" w:rsidP="00000000" w:rsidRDefault="00000000" w:rsidRPr="00000000" w14:paraId="0000004C">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Response:</w:t>
      </w:r>
      <w:r w:rsidDel="00000000" w:rsidR="00000000" w:rsidRPr="00000000">
        <w:rPr>
          <w:rFonts w:ascii="Arial" w:cs="Arial" w:eastAsia="Arial" w:hAnsi="Arial"/>
          <w:rtl w:val="0"/>
        </w:rPr>
        <w:t xml:space="preserve"> We agree. Section VII (pp. 15–16) now lists seven specific limitations and three concrete future directions: (i) integrating formal differential privacy (e.g., DP-SGD or PATE-style aggregation) into the reward loop, (ii) constraint discovery beyond pairwise dependencies with clinician-in-the-loop validation, and (iii) validation on large multi-institutional EHR cohorts and longitudinal, multimodal data. Step-level credit assignment (p. 7) and reducing computational overhead (p. 15) are also noted.</w:t>
      </w:r>
    </w:p>
    <w:p w:rsidR="00000000" w:rsidDel="00000000" w:rsidP="00000000" w:rsidRDefault="00000000" w:rsidRPr="00000000" w14:paraId="0000004D">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E">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Comment 15: The manuscript should be carefully proofread for grammatical, typographical, and formatting inconsistencies.</w:t>
      </w:r>
    </w:p>
    <w:p w:rsidR="00000000" w:rsidDel="00000000" w:rsidP="00000000" w:rsidRDefault="00000000" w:rsidRPr="00000000" w14:paraId="0000004F">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Response:</w:t>
      </w:r>
      <w:r w:rsidDel="00000000" w:rsidR="00000000" w:rsidRPr="00000000">
        <w:rPr>
          <w:rFonts w:ascii="Arial" w:cs="Arial" w:eastAsia="Arial" w:hAnsi="Arial"/>
          <w:rtl w:val="0"/>
        </w:rPr>
        <w:t xml:space="preserve"> We agree. The entire manuscript was proofread; typographical errors, unresolved cross-references, and inconsistent terminology were corrected. All changes are highlighted in blue.</w:t>
      </w:r>
    </w:p>
    <w:p w:rsidR="00000000" w:rsidDel="00000000" w:rsidP="00000000" w:rsidRDefault="00000000" w:rsidRPr="00000000" w14:paraId="00000050">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1">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Comment 16: Abbreviations should be defined at first occurrence.</w:t>
      </w:r>
    </w:p>
    <w:p w:rsidR="00000000" w:rsidDel="00000000" w:rsidP="00000000" w:rsidRDefault="00000000" w:rsidRPr="00000000" w14:paraId="00000052">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Response:</w:t>
      </w:r>
      <w:r w:rsidDel="00000000" w:rsidR="00000000" w:rsidRPr="00000000">
        <w:rPr>
          <w:rFonts w:ascii="Arial" w:cs="Arial" w:eastAsia="Arial" w:hAnsi="Arial"/>
          <w:rtl w:val="0"/>
        </w:rPr>
        <w:t xml:space="preserve"> We agree. All abbreviations were checked and are now defined at first use (e.g., EHR and CDSS, p. 1; IFRS, p. 2; PPO, p. 3; DCR, p. 10).</w:t>
      </w:r>
    </w:p>
    <w:p w:rsidR="00000000" w:rsidDel="00000000" w:rsidP="00000000" w:rsidRDefault="00000000" w:rsidRPr="00000000" w14:paraId="00000053">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4">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Comment 17: References should be checked for completeness and consistency according to the journal guidelines.</w:t>
      </w:r>
    </w:p>
    <w:p w:rsidR="00000000" w:rsidDel="00000000" w:rsidP="00000000" w:rsidRDefault="00000000" w:rsidRPr="00000000" w14:paraId="00000055">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Response:</w:t>
      </w:r>
      <w:r w:rsidDel="00000000" w:rsidR="00000000" w:rsidRPr="00000000">
        <w:rPr>
          <w:rFonts w:ascii="Arial" w:cs="Arial" w:eastAsia="Arial" w:hAnsi="Arial"/>
          <w:rtl w:val="0"/>
        </w:rPr>
        <w:t xml:space="preserve"> Thank you. The reference list (pp. 16–17) was checked for completeness, formatting, and correspondence with in-text citations, and was revised to the IEEE/J-BHI style.</w:t>
      </w:r>
    </w:p>
    <w:p w:rsidR="00000000" w:rsidDel="00000000" w:rsidP="00000000" w:rsidRDefault="00000000" w:rsidRPr="00000000" w14:paraId="00000056">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7">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Comment 18: The quality of figure captions can be improved by providing more descriptive explanations.</w:t>
      </w:r>
    </w:p>
    <w:p w:rsidR="00000000" w:rsidDel="00000000" w:rsidP="00000000" w:rsidRDefault="00000000" w:rsidRPr="00000000" w14:paraId="00000058">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Response:</w:t>
      </w:r>
      <w:r w:rsidDel="00000000" w:rsidR="00000000" w:rsidRPr="00000000">
        <w:rPr>
          <w:rFonts w:ascii="Arial" w:cs="Arial" w:eastAsia="Arial" w:hAnsi="Arial"/>
          <w:rtl w:val="0"/>
        </w:rPr>
        <w:t xml:space="preserve"> We agree. Captions for Fig. 1 (p. 4), Figs. 2–3 (p. 10), and Tables I–VI (pp. 4–18) were rewritten to be self-contained, stating what is shown, how to read it (metric direction, bold/colour meaning), and the main takeaway.</w:t>
      </w:r>
    </w:p>
    <w:p w:rsidR="00000000" w:rsidDel="00000000" w:rsidP="00000000" w:rsidRDefault="00000000" w:rsidRPr="00000000" w14:paraId="00000059">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A">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Comment 19: Ensure consistent notation and terminology throughout the manuscript.</w:t>
      </w:r>
    </w:p>
    <w:p w:rsidR="00000000" w:rsidDel="00000000" w:rsidP="00000000" w:rsidRDefault="00000000" w:rsidRPr="00000000" w14:paraId="0000005B">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Response:</w:t>
      </w:r>
      <w:r w:rsidDel="00000000" w:rsidR="00000000" w:rsidRPr="00000000">
        <w:rPr>
          <w:rFonts w:ascii="Arial" w:cs="Arial" w:eastAsia="Arial" w:hAnsi="Arial"/>
          <w:rtl w:val="0"/>
        </w:rPr>
        <w:t xml:space="preserve"> We agree. Notation, metric names (JSD, KS, DCR), abbreviations, and terminology (e.g., “multi-granular,” “disclosure risk”) were harmonized throughout the manuscript.</w:t>
      </w:r>
    </w:p>
    <w:p w:rsidR="00000000" w:rsidDel="00000000" w:rsidP="00000000" w:rsidRDefault="00000000" w:rsidRPr="00000000" w14:paraId="0000005C">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D">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Comment 20: The authors are encouraged to review and cite relevant literature where appropriate… The following reference may be considered: 10.1038/s41598-024-80448-5.</w:t>
      </w:r>
    </w:p>
    <w:p w:rsidR="00000000" w:rsidDel="00000000" w:rsidP="00000000" w:rsidRDefault="00000000" w:rsidRPr="00000000" w14:paraId="0000005E">
      <w:pPr>
        <w:spacing w:after="240" w:before="240" w:lineRule="auto"/>
        <w:rPr>
          <w:rFonts w:ascii="Arial" w:cs="Arial" w:eastAsia="Arial" w:hAnsi="Arial"/>
          <w:highlight w:val="yellow"/>
        </w:rPr>
      </w:pPr>
      <w:r w:rsidDel="00000000" w:rsidR="00000000" w:rsidRPr="00000000">
        <w:rPr>
          <w:rFonts w:ascii="Arial" w:cs="Arial" w:eastAsia="Arial" w:hAnsi="Arial"/>
          <w:b w:val="1"/>
          <w:bCs w:val="1"/>
          <w:rtl w:val="0"/>
        </w:rPr>
        <w:t>Response: We thank the reviewer and reviewed the suggested article (DOI: 10.1038/s41598-024-80448-5). Its focus lies outside the scope of this study, so it has not been added to the reference list.</w:t>
      </w:r>
      <w:r w:rsidDel="00000000" w:rsidR="00000000" w:rsidRPr="00000000">
        <w:rPr>
          <w:rFonts w:ascii="Arial" w:cs="Arial" w:eastAsia="Arial" w:hAnsi="Arial"/>
          <w:rtl w:val="0"/>
        </w:rPr>
      </w:r>
      <w:r w:rsidDel="00000000" w:rsidR="00000000" w:rsidRPr="00000000">
        <w:rPr>
          <w:rFonts w:ascii="Arial" w:cs="Arial" w:eastAsia="Arial" w:hAnsi="Arial"/>
          <w:highlight w:val="yellow"/>
          <w:rtl w:val="0"/>
        </w:rPr>
      </w:r>
    </w:p>
    <w:p w:rsidR="00000000" w:rsidDel="00000000" w:rsidP="00000000" w:rsidRDefault="00000000" w:rsidRPr="00000000" w14:paraId="0000005F">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0">
      <w:pPr>
        <w:rPr>
          <w:rFonts w:ascii="Arial" w:cs="Arial" w:eastAsia="Arial" w:hAnsi="Arial"/>
        </w:rPr>
      </w:pPr>
      <w:r w:rsidDel="00000000" w:rsidR="00000000" w:rsidRPr="00000000">
        <w:rPr>
          <w:rtl w:val="0"/>
        </w:rPr>
      </w:r>
    </w:p>
    <w:p w:rsidR="00000000" w:rsidDel="00000000" w:rsidP="00000000" w:rsidRDefault="00000000" w:rsidRPr="00000000" w14:paraId="00000061">
      <w:pPr>
        <w:pStyle w:val="Heading1"/>
        <w:jc w:val="left"/>
        <w:rPr>
          <w:rFonts w:ascii="Arial" w:cs="Arial" w:eastAsia="Arial" w:hAnsi="Arial"/>
        </w:rPr>
      </w:pPr>
      <w:r w:rsidDel="00000000" w:rsidR="00000000" w:rsidRPr="00000000">
        <w:br w:type="page"/>
      </w:r>
      <w:r w:rsidDel="00000000" w:rsidR="00000000" w:rsidRPr="00000000">
        <w:rPr>
          <w:rtl w:val="0"/>
        </w:rPr>
      </w:r>
    </w:p>
    <w:bookmarkStart w:colFirst="0" w:colLast="0" w:name="bookmark=id.3pqvqp4j0e10" w:id="1"/>
    <w:bookmarkEnd w:id="1"/>
    <w:p w:rsidR="00000000" w:rsidDel="00000000" w:rsidP="00000000" w:rsidRDefault="00000000" w:rsidRPr="00000000" w14:paraId="00000062">
      <w:pPr>
        <w:pStyle w:val="Heading1"/>
        <w:jc w:val="left"/>
        <w:rPr>
          <w:rFonts w:ascii="Arial" w:cs="Arial" w:eastAsia="Arial" w:hAnsi="Arial"/>
          <w:color w:val="000000"/>
        </w:rPr>
      </w:pPr>
      <w:r w:rsidDel="00000000" w:rsidR="00000000" w:rsidRPr="00000000">
        <w:rPr>
          <w:rFonts w:ascii="Arial" w:cs="Arial" w:eastAsia="Arial" w:hAnsi="Arial"/>
          <w:color w:val="000000"/>
          <w:rtl w:val="0"/>
        </w:rPr>
        <w:t xml:space="preserve">Reviewer 3</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rPr>
          <w:rFonts w:ascii="Arial" w:cs="Arial" w:eastAsia="Arial" w:hAnsi="Arial"/>
          <w:i w:val="0"/>
          <w:iCs w:val="0"/>
          <w:smallCaps w:val="0"/>
          <w:strike w:val="0"/>
          <w:sz w:val="24"/>
          <w:szCs w:val="24"/>
          <w:u w:val="none"/>
          <w:shd w:fill="auto" w:val="clear"/>
          <w:vertAlign w:val="baseline"/>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We sincerely thank Reviewer 3 for the careful and technically detailed assessment. The comments identify several places where the original manuscript did not sufficiently distinguish empirical privacy-related evaluation from formal privacy guarantees and where important experimental details required clarification. We agree that these distinctions are particularly important in biomedical synthetic-data research. We have therefore substantially revised the manuscript in response.</w:t>
      </w:r>
    </w:p>
    <w:p w:rsidR="00000000" w:rsidDel="00000000" w:rsidP="00000000" w:rsidRDefault="00000000" w:rsidRPr="00000000" w14:paraId="00000064">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Comment 1: The paper repeatedly uses terminology such as “privacy-preserving,” “privacy-aware,” and “robust privacy guarantees,” although the methodology explicitly states that no formal DP mechanism is used.</w:t>
      </w:r>
    </w:p>
    <w:p w:rsidR="00000000" w:rsidDel="00000000" w:rsidP="00000000" w:rsidRDefault="00000000" w:rsidRPr="00000000" w14:paraId="00000065">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Response:</w:t>
      </w:r>
      <w:r w:rsidDel="00000000" w:rsidR="00000000" w:rsidRPr="00000000">
        <w:rPr>
          <w:rFonts w:ascii="Arial" w:cs="Arial" w:eastAsia="Arial" w:hAnsi="Arial"/>
          <w:rtl w:val="0"/>
        </w:rPr>
        <w:t xml:space="preserve"> We agree. Claims of “privacy-preserving” and “robust privacy guarantees” have been removed, including from the title. We now use “empirical disclosure-risk” and “proximity-based” terminology and state explicitly that DISCO-TAB implements no differential privacy and that DCR is a heuristic, not proof of anonymization or protection against membership or attribute inference (Abstract, p. 1; Section III, p. 4; Section IV-D, p. 10; Section VII, pp. 15–16). Table I (p. 4) adds a “Formal privacy” column.</w:t>
      </w:r>
    </w:p>
    <w:p w:rsidR="00000000" w:rsidDel="00000000" w:rsidP="00000000" w:rsidRDefault="00000000" w:rsidRPr="00000000" w14:paraId="00000066">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7">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Comment 2: Table III reports values such as DCR = 4830.6 for Heart Failure versus 1.27 for DISCO-TAB, but Euclidean distance depends strongly on feature scaling and dimensionality. Required clarification: (a) How are categorical variables represented? (b) Are all numerical variables standardized before DCR? (c) What distance metric is used for mixed-type data? (d) Is DCR normalized? (e) Is the nearest neighbor searched among the complete training set or a held-out set?</w:t>
      </w:r>
    </w:p>
    <w:p w:rsidR="00000000" w:rsidDel="00000000" w:rsidP="00000000" w:rsidRDefault="00000000" w:rsidRPr="00000000" w14:paraId="00000068">
      <w:pPr>
        <w:spacing w:after="240" w:before="240" w:lineRule="auto"/>
        <w:rPr>
          <w:rFonts w:ascii="Arial" w:cs="Arial" w:eastAsia="Arial" w:hAnsi="Arial"/>
          <w:highlight w:val="yellow"/>
        </w:rPr>
      </w:pPr>
      <w:r w:rsidDel="00000000" w:rsidR="00000000" w:rsidRPr="00000000">
        <w:rPr>
          <w:rFonts w:ascii="Arial" w:cs="Arial" w:eastAsia="Arial" w:hAnsi="Arial"/>
          <w:b w:val="1"/>
          <w:bCs w:val="1"/>
          <w:rtl w:val="0"/>
        </w:rPr>
        <w:t>Response: We now specify the DCR protocol and apply it identically to every method (Section IV-D). Categorical variables are one-hot encoded; numerical variables are standardized using statistics from the real training partition only; the per-record distance is the Euclidean distance in this mixed space, divided by the square root of the number of encoded dimensions; and the nearest neighbor is searched over the held-out real test set, disjoint from the generation data. Because raw magnitudes depend on dimensionality, we report DCR against a within-dataset real-real baseline (the median nearest-neighbor distance between two disjoint halves of the real test set). Under this protocol, DISCO-TAB stays near the baseline (ratio 0.6-1.2) on every dataset, whereas TabDDPM inflates to 2-12x on small or imbalanced sets, confirming that large raw DCR reflects off-manifold drift rather than protection.</w:t>
      </w:r>
      <w:sdt>
        <w:sdtPr>
          <w:id w:val="1171552882"/>
          <w:tag w:val="goog_rdk_1"/>
        </w:sdtPr>
        <w:sdtContent>
          <w:r w:rsidDel="00000000" w:rsidR="00000000" w:rsidRPr="00000000">
            <w:rPr>
              <w:rFonts w:ascii="Arial Unicode MS" w:cs="Arial Unicode MS" w:eastAsia="Arial Unicode MS" w:hAnsi="Arial Unicode MS"/>
              <w:rtl w:val="0"/>
            </w:rPr>
            <w:t xml:space="preserve"> We agree. The DCR protocol is now defined in Section IV-D (pp. 10–11; the table is now Table VI): (a) categorical features are one-hot encoded; (b) numerical features are standardized with the mean and SD of the real training partition; (c) distance is Euclidean in this mixed, standardized space; (d) it is normalized by √M (the number of encoded dimensions); (e) the nearest neighbor is searched in a held-out real reference set disjoint from the data used for generation. Raw DCR values are no longer compared across datasets; each is read against a within-dataset real–real baseline (median nearest-neighbor distance between two disjoint real partitions). </w:t>
          </w:r>
        </w:sdtContent>
      </w:sdt>
      <w:r w:rsidDel="00000000" w:rsidR="00000000" w:rsidRPr="00000000">
        <w:rPr>
          <w:rFonts w:ascii="Arial" w:cs="Arial" w:eastAsia="Arial" w:hAnsi="Arial"/>
          <w:highlight w:val="yellow"/>
          <w:rtl w:val="0"/>
        </w:rPr>
      </w:r>
      <w:r>
        <w:t xml:space="preserve"> We also assess disclosure risk directly against the training set with the held-out set as the reference: a DISCO-TAB record is closer to a training record than to a held-out record only 28% of the time, its exact train-duplicate rate (1.7%) is below the held-out baseline, and a membership-inference test remains near chance (AUROC 0.52).</w:t>
      </w:r>
    </w:p>
    <w:p w:rsidR="00000000" w:rsidDel="00000000" w:rsidP="00000000" w:rsidRDefault="00000000" w:rsidRPr="00000000" w14:paraId="00000069">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A">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Comment 3: The paper repeatedly characterizes the approach as providing dense multi-granular feedback, but Equation (8) constructs a single terminal reward, which is subsequently broadcast to all time steps. Need explanation on this.</w:t>
      </w:r>
    </w:p>
    <w:p w:rsidR="00000000" w:rsidDel="00000000" w:rsidP="00000000" w:rsidRDefault="00000000" w:rsidRPr="00000000" w14:paraId="0000006B">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Response:</w:t>
      </w:r>
      <w:r w:rsidDel="00000000" w:rsidR="00000000" w:rsidRPr="00000000">
        <w:rPr>
          <w:rFonts w:ascii="Arial" w:cs="Arial" w:eastAsia="Arial" w:hAnsi="Arial"/>
          <w:rtl w:val="0"/>
        </w:rPr>
        <w:t xml:space="preserve"> We agree that “dense” was imprecise. “Multi-granular” refers to the sources of the reward (token-, sentence-, feature-, and row-level discriminators), not to temporal density. The aggregated score (now Eq. 22) is a single terminal reward computed after the record is complete and used as the return for all steps in PPO (Section III-D, p. 7). The misleading wording was removed, and step-level credit assignment is listed as future work (pp. 7 and 16).</w:t>
      </w:r>
    </w:p>
    <w:p w:rsidR="00000000" w:rsidDel="00000000" w:rsidP="00000000" w:rsidRDefault="00000000" w:rsidRPr="00000000" w14:paraId="0000006C">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D">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Comment 4: The reported F1 = 1.0 on Heart Failure requires careful investigation and explanation.</w:t>
      </w:r>
    </w:p>
    <w:p w:rsidR="00000000" w:rsidDel="00000000" w:rsidP="00000000" w:rsidRDefault="00000000" w:rsidRPr="00000000" w14:paraId="0000006E">
      <w:pPr>
        <w:spacing w:after="240" w:before="240" w:lineRule="auto"/>
        <w:rPr>
          <w:rFonts w:ascii="Arial" w:cs="Arial" w:eastAsia="Arial" w:hAnsi="Arial"/>
        </w:rPr>
      </w:pPr>
      <w:r w:rsidDel="00000000" w:rsidR="00000000" w:rsidRPr="00000000">
        <w:rPr>
          <w:rFonts w:ascii="Arial" w:cs="Arial" w:eastAsia="Arial" w:hAnsi="Arial"/>
          <w:b w:val="1"/>
          <w:bCs w:val="1"/>
          <w:rtl w:val="0"/>
        </w:rPr>
        <w:t>Response: We audited the result (Section IV-B): the target is excluded from both the predictors and the serialized records; no real record appears in the synthetic set (exact and near-duplicate checks); standardization statistics are fit on the training partition only; and the experiment was repeated over 3 seeds. Across seeds, DISCO-TAB attains F1 = 0.67 +/- 0.16 on Heart Failure (per-seed range 0.46-0.84); the perfect score does not persist, so the manuscript now reports the repeated-run estimate. We caution that this small dataset (N = 299, ~60-record test fold) should not be read as evidence of perfect generalization.</w:t>
      </w:r>
      <w:r w:rsidDel="00000000" w:rsidR="00000000" w:rsidRPr="00000000">
        <w:rPr>
          <w:rFonts w:ascii="Arial" w:cs="Arial" w:eastAsia="Arial" w:hAnsi="Arial"/>
          <w:rtl w:val="0"/>
        </w:rPr>
      </w:r>
      <w:r w:rsidDel="00000000" w:rsidR="00000000" w:rsidRPr="00000000">
        <w:rPr>
          <w:rFonts w:ascii="Arial" w:cs="Arial" w:eastAsia="Arial" w:hAnsi="Arial"/>
          <w:highlight w:val="yellow"/>
          <w:rtl w:val="0"/>
        </w:rPr>
      </w:r>
      <w:r w:rsidDel="00000000" w:rsidR="00000000" w:rsidRPr="00000000">
        <w:rPr>
          <w:rFonts w:ascii="Arial" w:cs="Arial" w:eastAsia="Arial" w:hAnsi="Arial"/>
          <w:rtl w:val="0"/>
        </w:rPr>
      </w:r>
      <w:r w:rsidDel="00000000" w:rsidR="00000000" w:rsidRPr="00000000">
        <w:rPr>
          <w:rFonts w:ascii="Arial" w:cs="Arial" w:eastAsia="Arial" w:hAnsi="Arial"/>
          <w:highlight w:val="yellow"/>
          <w:rtl w:val="0"/>
        </w:rPr>
      </w:r>
      <w:r w:rsidDel="00000000" w:rsidR="00000000" w:rsidRPr="00000000">
        <w:rPr>
          <w:rFonts w:ascii="Arial" w:cs="Arial" w:eastAsia="Arial" w:hAnsi="Arial"/>
          <w:rtl w:val="0"/>
        </w:rPr>
      </w:r>
    </w:p>
    <w:p w:rsidR="00000000" w:rsidDel="00000000" w:rsidP="00000000" w:rsidRDefault="00000000" w:rsidRPr="00000000" w14:paraId="0000006F">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0">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Comment 5: The experimental comparison needs stronger statistical testing, analysis and discussion.</w:t>
      </w:r>
    </w:p>
    <w:p w:rsidR="00000000" w:rsidDel="00000000" w:rsidP="00000000" w:rsidRDefault="00000000" w:rsidRPr="00000000" w14:paraId="00000071">
      <w:pPr>
        <w:spacing w:after="240" w:before="240" w:lineRule="auto"/>
        <w:rPr>
          <w:rFonts w:ascii="Arial" w:cs="Arial" w:eastAsia="Arial" w:hAnsi="Arial"/>
        </w:rPr>
      </w:pPr>
      <w:r w:rsidDel="00000000" w:rsidR="00000000" w:rsidRPr="00000000">
        <w:rPr>
          <w:rFonts w:ascii="Arial" w:cs="Arial" w:eastAsia="Arial" w:hAnsi="Arial"/>
          <w:b w:val="1"/>
          <w:bCs w:val="1"/>
          <w:rtl w:val="0"/>
        </w:rPr>
        <w:t>Response: We agree. Results are now reported over 3 seeds as mean +/- SD with 95% confidence intervals (Section IV-A). The Discussion separates consistent trends (gains on small, imbalanced medical datasets) from dataset-specific outcomes (Diabetes, Bank Marketing, Census Income) and avoids drawing conclusions from differences within run-to-run variability.</w:t>
      </w:r>
      <w:r w:rsidDel="00000000" w:rsidR="00000000" w:rsidRPr="00000000">
        <w:rPr>
          <w:rFonts w:ascii="Arial" w:cs="Arial" w:eastAsia="Arial" w:hAnsi="Arial"/>
          <w:rtl w:val="0"/>
        </w:rPr>
      </w:r>
      <w:r>
        <w:t xml:space="preserve"> We additionally apply a Friedman omnibus test and post-hoc Wilcoxon signed-rank comparisons (Section IV-B): DISCO-TAB is statistically indistinguishable from TAEGAN (p = 0.94) and significantly better than the weaker baselines (p &lt; 0.01).</w:t>
      </w:r>
    </w:p>
    <w:p w:rsidR="00000000" w:rsidDel="00000000" w:rsidP="00000000" w:rsidRDefault="00000000" w:rsidRPr="00000000" w14:paraId="00000072">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3">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Comment 6: Abstract claim “JSD &lt; 0.01” appears inconsistent with Table II.</w:t>
      </w:r>
    </w:p>
    <w:p w:rsidR="00000000" w:rsidDel="00000000" w:rsidP="00000000" w:rsidRDefault="00000000" w:rsidRPr="00000000" w14:paraId="00000074">
      <w:pPr>
        <w:spacing w:after="240" w:before="240" w:lineRule="auto"/>
        <w:rPr>
          <w:rFonts w:ascii="Arial" w:cs="Arial" w:eastAsia="Arial" w:hAnsi="Arial"/>
        </w:rPr>
      </w:pPr>
      <w:r w:rsidDel="00000000" w:rsidR="00000000" w:rsidRPr="00000000">
        <w:rPr>
          <w:rFonts w:ascii="Arial" w:cs="Arial" w:eastAsia="Arial" w:hAnsi="Arial"/>
          <w:b w:val="1"/>
          <w:bCs w:val="1"/>
          <w:rtl w:val="0"/>
        </w:rPr>
        <w:t>Response: Thank you. The unsupported 'JSD &lt; 0.01' claim was removed from the Abstract, which now refers to the per-dataset JSD in the fidelity table. DISCO-TAB's JSD is between 0.008 and 0.042 on the medical datasets and larger on some non-medical sets. All numerical claims in the Abstract, Results, Discussion, and Conclusion were rechecked against the tables.</w:t>
      </w:r>
      <w:r w:rsidDel="00000000" w:rsidR="00000000" w:rsidRPr="00000000">
        <w:rPr>
          <w:rFonts w:ascii="Arial" w:cs="Arial" w:eastAsia="Arial" w:hAnsi="Arial"/>
          <w:rtl w:val="0"/>
        </w:rPr>
      </w:r>
    </w:p>
    <w:p w:rsidR="00000000" w:rsidDel="00000000" w:rsidP="00000000" w:rsidRDefault="00000000" w:rsidRPr="00000000" w14:paraId="00000075">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6">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Comment 7: “Privacy-preserving” should be reconsidered in the title as it does not fit the work.</w:t>
      </w:r>
    </w:p>
    <w:p w:rsidR="00000000" w:rsidDel="00000000" w:rsidP="00000000" w:rsidRDefault="00000000" w:rsidRPr="00000000" w14:paraId="00000077">
      <w:pPr>
        <w:spacing w:after="240" w:before="240" w:lineRule="auto"/>
        <w:rPr>
          <w:rFonts w:ascii="Arial" w:cs="Arial" w:eastAsia="Arial" w:hAnsi="Arial"/>
          <w:i w:val="0"/>
          <w:iCs w:val="0"/>
          <w:smallCaps w:val="0"/>
          <w:strike w:val="0"/>
          <w:sz w:val="24"/>
          <w:szCs w:val="24"/>
          <w:u w:val="none"/>
          <w:shd w:fill="auto" w:val="clear"/>
          <w:vertAlign w:val="baseline"/>
        </w:rPr>
      </w:pPr>
      <w:r w:rsidDel="00000000" w:rsidR="00000000" w:rsidRPr="00000000">
        <w:rPr>
          <w:rFonts w:ascii="Arial" w:cs="Arial" w:eastAsia="Arial" w:hAnsi="Arial"/>
          <w:b w:val="1"/>
          <w:bCs w:val="1"/>
          <w:rtl w:val="0"/>
        </w:rPr>
        <w:t xml:space="preserve">Response:</w:t>
      </w:r>
      <w:r w:rsidDel="00000000" w:rsidR="00000000" w:rsidRPr="00000000">
        <w:rPr>
          <w:rFonts w:ascii="Arial" w:cs="Arial" w:eastAsia="Arial" w:hAnsi="Arial"/>
          <w:rtl w:val="0"/>
        </w:rPr>
        <w:t xml:space="preserve"> We agree. The title is now “DISCO-TAB: A Hierarchical Reinforcement Learning Framework for Clinically Constrained Tabular Data Synthesis” (p. 1), and privacy terminology was aligned throughout (Abstract, p. 1; Section VII, pp. 15–16).</w:t>
      </w:r>
      <w:r w:rsidDel="00000000" w:rsidR="00000000" w:rsidRPr="00000000">
        <w:rPr>
          <w:rtl w:val="0"/>
        </w:rPr>
      </w:r>
    </w:p>
    <w:sectPr>
      <w:pgSz w:h="15840" w:w="12240" w:orient="portrait"/>
      <w:pgMar w:bottom="1440" w:top="1440" w:left="1440" w:right="1440" w:header="360" w:footer="36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ajar Homayouni" w:id="0" w:date="2026-10-14T20:05:57Z">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increase the line spacing of the letter?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7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jc w:val="both"/>
    </w:pPr>
    <w:rPr>
      <w:rFonts w:ascii="Georgia" w:cs="Georgia" w:eastAsia="Georgia" w:hAnsi="Georgia"/>
      <w:b w:val="1"/>
      <w:bCs w:val="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jc w:val="both"/>
    </w:pPr>
    <w:rPr>
      <w:rFonts w:ascii="Georgia" w:cs="Georgia" w:eastAsia="Georgia" w:hAnsi="Georgia"/>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character" w:styleId="TitleChar" w:customStyle="1">
    <w:name w:val="Title Char"/>
    <w:basedOn w:val="DefaultParagraphFont"/>
    <w:link w:val="Title"/>
    <w:uiPriority w:val="10"/>
    <w:rsid w:val="00A10FD9"/>
    <w:rPr>
      <w:rFont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rsid w:val="00A10FD9"/>
    <w:rPr>
      <w:rFonts w:cstheme="majorBidi" w:eastAsiaTheme="majorEastAsia"/>
      <w:color w:val="595959" w:themeColor="text1" w:themeTint="0000A6"/>
      <w:spacing w:val="15"/>
      <w:sz w:val="28"/>
      <w:szCs w:val="28"/>
    </w:rPr>
  </w:style>
  <w:style w:type="paragraph" w:styleId="Author" w:customStyle="1">
    <w:name w:val="Author"/>
    <w:basedOn w:val="Title"/>
    <w:next w:val="BodyText"/>
    <w:qFormat w:val="1"/>
    <w:pPr>
      <w:keepNext w:val="1"/>
      <w:keepLines w:val="1"/>
    </w:pPr>
    <w:rPr>
      <w:sz w:val="24"/>
      <w:szCs w:val="24"/>
    </w:rPr>
  </w:style>
  <w:style w:type="paragraph" w:styleId="Date">
    <w:name w:val="Date"/>
    <w:basedOn w:val="Title"/>
    <w:next w:val="BodyText"/>
    <w:qFormat w:val="1"/>
    <w:pPr>
      <w:keepNext w:val="1"/>
      <w:keepLines w:val="1"/>
    </w:pPr>
    <w:rPr>
      <w:sz w:val="24"/>
      <w:szCs w:val="24"/>
    </w:r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outlineLvl w:val="8"/>
    </w:pPr>
    <w:rPr>
      <w:rFonts w:cstheme="majorBidi" w:eastAsiaTheme="majorEastAsia"/>
      <w:color w:val="272727" w:themeColor="text1" w:themeTint="0000D8"/>
    </w:rPr>
  </w:style>
  <w:style w:type="character" w:styleId="Heading1Char" w:customStyle="1">
    <w:name w:val="Heading 1 Char"/>
    <w:basedOn w:val="DefaultParagraphFont"/>
    <w:link w:val="Heading1"/>
    <w:uiPriority w:val="9"/>
    <w:rsid w:val="00A10FD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10FD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10FD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10FD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10FD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10FD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10FD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10FD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10FD9"/>
    <w:rPr>
      <w:rFonts w:cstheme="majorBidi" w:eastAsiaTheme="majorEastAsia"/>
      <w:color w:val="272727" w:themeColor="text1" w:themeTint="0000D8"/>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paragraph" w:styleId="FootnoteBlockText">
    <w:name w:val="Footnote Block Text"/>
    <w:basedOn w:val="FootnoteText"/>
    <w:next w:val="FootnoteText"/>
    <w:uiPriority w:val="9"/>
    <w:unhideWhenUsed w:val="1"/>
    <w:qFormat w:val="1"/>
    <w:pPr>
      <w:spacing w:after="100" w:before="100"/>
      <w:ind w:left="480" w:right="480" w:firstLine="0"/>
    </w:pPr>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SOrMQj/LkuDaO3Nqeph2dLOf+Q==">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cp:coreProperties>
</file>

<file path=docProps/custom.xml><?xml version="1.0" encoding="utf-8"?>
<Properties xmlns="http://schemas.openxmlformats.org/officeDocument/2006/custom-properties" xmlns:vt="http://schemas.openxmlformats.org/officeDocument/2006/docPropsVTypes"/>
</file>